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48" w:rsidRDefault="00AA5AF7" w:rsidP="000F1148">
      <w:pPr>
        <w:spacing w:line="100" w:lineRule="atLeast"/>
        <w:jc w:val="center"/>
        <w:rPr>
          <w:color w:val="000000"/>
        </w:rPr>
      </w:pPr>
      <w:r>
        <w:rPr>
          <w:noProof/>
        </w:rPr>
        <w:drawing>
          <wp:inline distT="0" distB="0" distL="0" distR="0">
            <wp:extent cx="444500" cy="609600"/>
            <wp:effectExtent l="1905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4500" cy="609600"/>
                    </a:xfrm>
                    <a:prstGeom prst="rect">
                      <a:avLst/>
                    </a:prstGeom>
                    <a:noFill/>
                    <a:ln w="9525">
                      <a:noFill/>
                      <a:round/>
                      <a:headEnd/>
                      <a:tailEnd/>
                    </a:ln>
                    <a:effectLst/>
                  </pic:spPr>
                </pic:pic>
              </a:graphicData>
            </a:graphic>
          </wp:inline>
        </w:drawing>
      </w:r>
    </w:p>
    <w:p w:rsidR="000F1148" w:rsidRDefault="000F1148" w:rsidP="000F1148">
      <w:pPr>
        <w:pStyle w:val="3"/>
        <w:rPr>
          <w:color w:val="000000"/>
          <w:lang w:val="uk-UA"/>
        </w:rPr>
      </w:pPr>
      <w:r>
        <w:rPr>
          <w:b w:val="0"/>
          <w:color w:val="000000"/>
          <w:lang w:val="uk-UA"/>
        </w:rPr>
        <w:t>ДЕРЖАВНА ПОДАТКОВА СЛУЖБА УКРАЇНИ</w:t>
      </w:r>
    </w:p>
    <w:p w:rsidR="000F1148" w:rsidRDefault="000F1148" w:rsidP="000F1148">
      <w:pPr>
        <w:jc w:val="center"/>
        <w:rPr>
          <w:sz w:val="20"/>
        </w:rPr>
      </w:pPr>
      <w:r>
        <w:rPr>
          <w:bCs/>
          <w:color w:val="000000"/>
          <w:sz w:val="28"/>
        </w:rPr>
        <w:t>ЗАХІДНЕ МІЖРЕГІОНАЛЬНЕ УПРАВЛІННЯ ДПС ПО РОБОТІ З ВЕЛИКИМИ ПЛАТНИКАМИ ПОДАТКІВ</w:t>
      </w:r>
    </w:p>
    <w:p w:rsidR="00B609C2" w:rsidRDefault="00B609C2" w:rsidP="0081065E">
      <w:pPr>
        <w:rPr>
          <w:sz w:val="28"/>
          <w:szCs w:val="28"/>
        </w:rPr>
      </w:pPr>
    </w:p>
    <w:p w:rsidR="002844BA" w:rsidRDefault="002844BA" w:rsidP="0081065E">
      <w:pPr>
        <w:rPr>
          <w:sz w:val="28"/>
          <w:szCs w:val="28"/>
        </w:rPr>
      </w:pPr>
    </w:p>
    <w:p w:rsidR="00E922DE" w:rsidRDefault="00E922DE" w:rsidP="0081065E">
      <w:pPr>
        <w:rPr>
          <w:sz w:val="28"/>
          <w:szCs w:val="28"/>
        </w:rPr>
      </w:pPr>
    </w:p>
    <w:p w:rsidR="00E922DE" w:rsidRDefault="00E922DE" w:rsidP="0081065E">
      <w:pPr>
        <w:rPr>
          <w:sz w:val="28"/>
          <w:szCs w:val="28"/>
        </w:rPr>
      </w:pPr>
    </w:p>
    <w:p w:rsidR="00E922DE" w:rsidRDefault="00E922DE" w:rsidP="0081065E">
      <w:pPr>
        <w:rPr>
          <w:sz w:val="28"/>
          <w:szCs w:val="28"/>
        </w:rPr>
      </w:pPr>
    </w:p>
    <w:p w:rsidR="00FA0B92" w:rsidRDefault="006249DB" w:rsidP="006249DB">
      <w:pPr>
        <w:jc w:val="center"/>
        <w:rPr>
          <w:b/>
          <w:sz w:val="28"/>
          <w:szCs w:val="28"/>
        </w:rPr>
      </w:pPr>
      <w:r w:rsidRPr="006249DB">
        <w:rPr>
          <w:b/>
          <w:sz w:val="28"/>
          <w:szCs w:val="28"/>
        </w:rPr>
        <w:t>ЗВІТ</w:t>
      </w:r>
    </w:p>
    <w:p w:rsidR="00A06E79" w:rsidRDefault="00A06E79" w:rsidP="00A06E79">
      <w:pPr>
        <w:jc w:val="center"/>
        <w:rPr>
          <w:b/>
          <w:sz w:val="28"/>
          <w:szCs w:val="28"/>
        </w:rPr>
      </w:pPr>
      <w:r>
        <w:rPr>
          <w:b/>
          <w:bCs/>
          <w:sz w:val="28"/>
          <w:szCs w:val="28"/>
        </w:rPr>
        <w:t>про виконання п</w:t>
      </w:r>
      <w:r w:rsidRPr="00D97833">
        <w:rPr>
          <w:b/>
          <w:bCs/>
          <w:sz w:val="28"/>
          <w:szCs w:val="28"/>
        </w:rPr>
        <w:t>лан</w:t>
      </w:r>
      <w:r>
        <w:rPr>
          <w:b/>
          <w:bCs/>
          <w:sz w:val="28"/>
          <w:szCs w:val="28"/>
        </w:rPr>
        <w:t>у</w:t>
      </w:r>
      <w:r w:rsidRPr="00D97833">
        <w:rPr>
          <w:b/>
          <w:bCs/>
          <w:sz w:val="28"/>
          <w:szCs w:val="28"/>
        </w:rPr>
        <w:t xml:space="preserve"> роботи</w:t>
      </w:r>
      <w:r>
        <w:rPr>
          <w:b/>
          <w:bCs/>
          <w:sz w:val="28"/>
          <w:szCs w:val="28"/>
        </w:rPr>
        <w:t xml:space="preserve"> </w:t>
      </w:r>
      <w:r w:rsidR="00D70D55" w:rsidRPr="00D70D55">
        <w:rPr>
          <w:b/>
          <w:sz w:val="28"/>
          <w:szCs w:val="28"/>
        </w:rPr>
        <w:t xml:space="preserve">Західного міжрегіонального управління </w:t>
      </w:r>
    </w:p>
    <w:p w:rsidR="006249DB" w:rsidRPr="00D70D55" w:rsidRDefault="00D70D55" w:rsidP="00A06E79">
      <w:pPr>
        <w:jc w:val="center"/>
        <w:rPr>
          <w:b/>
          <w:bCs/>
          <w:sz w:val="28"/>
          <w:szCs w:val="28"/>
        </w:rPr>
      </w:pPr>
      <w:r w:rsidRPr="00D70D55">
        <w:rPr>
          <w:b/>
          <w:sz w:val="28"/>
          <w:szCs w:val="28"/>
        </w:rPr>
        <w:t>ДПС по роботі з великими платниками податків</w:t>
      </w:r>
      <w:r w:rsidRPr="00D70D55">
        <w:rPr>
          <w:b/>
          <w:bCs/>
          <w:sz w:val="28"/>
          <w:szCs w:val="28"/>
        </w:rPr>
        <w:t xml:space="preserve"> </w:t>
      </w:r>
    </w:p>
    <w:p w:rsidR="006249DB" w:rsidRDefault="006249DB" w:rsidP="006249DB">
      <w:pPr>
        <w:jc w:val="center"/>
        <w:rPr>
          <w:b/>
          <w:bCs/>
          <w:sz w:val="28"/>
          <w:szCs w:val="28"/>
        </w:rPr>
      </w:pPr>
      <w:r w:rsidRPr="00D97833">
        <w:rPr>
          <w:b/>
          <w:bCs/>
          <w:sz w:val="28"/>
          <w:szCs w:val="28"/>
        </w:rPr>
        <w:t>на 20</w:t>
      </w:r>
      <w:r w:rsidR="00D70D55">
        <w:rPr>
          <w:b/>
          <w:bCs/>
          <w:sz w:val="28"/>
          <w:szCs w:val="28"/>
        </w:rPr>
        <w:t>2</w:t>
      </w:r>
      <w:r w:rsidR="00D048C8">
        <w:rPr>
          <w:b/>
          <w:bCs/>
          <w:sz w:val="28"/>
          <w:szCs w:val="28"/>
        </w:rPr>
        <w:t>2</w:t>
      </w:r>
      <w:r w:rsidRPr="00D97833">
        <w:rPr>
          <w:b/>
          <w:bCs/>
          <w:sz w:val="28"/>
          <w:szCs w:val="28"/>
        </w:rPr>
        <w:t xml:space="preserve"> р</w:t>
      </w:r>
      <w:r w:rsidR="00A06E79">
        <w:rPr>
          <w:b/>
          <w:bCs/>
          <w:sz w:val="28"/>
          <w:szCs w:val="28"/>
        </w:rPr>
        <w:t>ік</w:t>
      </w:r>
    </w:p>
    <w:p w:rsidR="00650C5C" w:rsidRDefault="00650C5C" w:rsidP="00650C5C">
      <w:pPr>
        <w:ind w:right="34"/>
        <w:rPr>
          <w:sz w:val="28"/>
          <w:szCs w:val="28"/>
        </w:rPr>
      </w:pPr>
    </w:p>
    <w:p w:rsidR="00666C60" w:rsidRDefault="00666C60" w:rsidP="009D0CBE">
      <w:pPr>
        <w:ind w:left="-108" w:right="34"/>
        <w:jc w:val="center"/>
        <w:rPr>
          <w:b/>
          <w:bCs/>
          <w:sz w:val="28"/>
          <w:szCs w:val="28"/>
        </w:rPr>
      </w:pPr>
    </w:p>
    <w:p w:rsidR="00B81C37" w:rsidRDefault="009D0CBE" w:rsidP="009D0CBE">
      <w:pPr>
        <w:ind w:left="-108" w:right="34"/>
        <w:jc w:val="center"/>
        <w:rPr>
          <w:b/>
          <w:bCs/>
          <w:sz w:val="28"/>
          <w:szCs w:val="28"/>
        </w:rPr>
      </w:pPr>
      <w:r w:rsidRPr="007B66BF">
        <w:rPr>
          <w:b/>
          <w:bCs/>
          <w:sz w:val="28"/>
          <w:szCs w:val="28"/>
        </w:rPr>
        <w:t xml:space="preserve">Розділ 1. Організація роботи щодо забезпечення виконання </w:t>
      </w:r>
    </w:p>
    <w:p w:rsidR="009D0CBE" w:rsidRPr="00B81C37" w:rsidRDefault="00B81C37" w:rsidP="009D0CBE">
      <w:pPr>
        <w:ind w:left="-108" w:right="34"/>
        <w:jc w:val="center"/>
        <w:rPr>
          <w:b/>
          <w:bCs/>
          <w:sz w:val="28"/>
          <w:szCs w:val="28"/>
        </w:rPr>
      </w:pPr>
      <w:r w:rsidRPr="00B81C37">
        <w:rPr>
          <w:b/>
          <w:color w:val="000000"/>
          <w:sz w:val="28"/>
          <w:szCs w:val="28"/>
        </w:rPr>
        <w:t>індикативних показників доходів</w:t>
      </w:r>
    </w:p>
    <w:p w:rsidR="008C18B6" w:rsidRDefault="008C18B6" w:rsidP="00DF7B2B">
      <w:pPr>
        <w:tabs>
          <w:tab w:val="left" w:pos="176"/>
        </w:tabs>
        <w:ind w:firstLine="567"/>
        <w:contextualSpacing/>
        <w:jc w:val="both"/>
        <w:rPr>
          <w:sz w:val="28"/>
          <w:szCs w:val="28"/>
        </w:rPr>
      </w:pPr>
    </w:p>
    <w:p w:rsidR="00C16A9D" w:rsidRPr="002B7FE2" w:rsidRDefault="00C16A9D" w:rsidP="00C16A9D">
      <w:pPr>
        <w:ind w:right="34" w:firstLine="567"/>
        <w:jc w:val="both"/>
        <w:rPr>
          <w:sz w:val="28"/>
          <w:szCs w:val="28"/>
        </w:rPr>
      </w:pPr>
      <w:r w:rsidRPr="002B7FE2">
        <w:rPr>
          <w:sz w:val="28"/>
          <w:szCs w:val="28"/>
          <w:lang w:val="az-Cyrl-AZ"/>
        </w:rPr>
        <w:t xml:space="preserve">Західним </w:t>
      </w:r>
      <w:r w:rsidRPr="007B66BF">
        <w:rPr>
          <w:sz w:val="28"/>
          <w:szCs w:val="28"/>
        </w:rPr>
        <w:t>міжрегіональн</w:t>
      </w:r>
      <w:r>
        <w:rPr>
          <w:sz w:val="28"/>
          <w:szCs w:val="28"/>
        </w:rPr>
        <w:t>им</w:t>
      </w:r>
      <w:r w:rsidRPr="007B66BF">
        <w:rPr>
          <w:sz w:val="28"/>
          <w:szCs w:val="28"/>
        </w:rPr>
        <w:t xml:space="preserve"> управління</w:t>
      </w:r>
      <w:r>
        <w:rPr>
          <w:sz w:val="28"/>
          <w:szCs w:val="28"/>
        </w:rPr>
        <w:t>м</w:t>
      </w:r>
      <w:r w:rsidRPr="007B66BF">
        <w:rPr>
          <w:sz w:val="28"/>
          <w:szCs w:val="28"/>
        </w:rPr>
        <w:t xml:space="preserve"> ДПС по роботі з великими платниками податків</w:t>
      </w:r>
      <w:r w:rsidRPr="00D70D55">
        <w:rPr>
          <w:b/>
          <w:bCs/>
          <w:sz w:val="28"/>
          <w:szCs w:val="28"/>
        </w:rPr>
        <w:t xml:space="preserve"> </w:t>
      </w:r>
      <w:r w:rsidR="00C46E0A">
        <w:rPr>
          <w:b/>
          <w:bCs/>
          <w:sz w:val="28"/>
          <w:szCs w:val="28"/>
        </w:rPr>
        <w:t>(</w:t>
      </w:r>
      <w:r w:rsidR="00355BB0" w:rsidRPr="007B66BF">
        <w:rPr>
          <w:sz w:val="28"/>
          <w:szCs w:val="28"/>
          <w:lang w:eastAsia="en-US"/>
        </w:rPr>
        <w:t xml:space="preserve">далі – Міжрегіональне управління) </w:t>
      </w:r>
      <w:r w:rsidRPr="002B7FE2">
        <w:rPr>
          <w:sz w:val="28"/>
          <w:szCs w:val="28"/>
          <w:lang w:val="az-Cyrl-AZ"/>
        </w:rPr>
        <w:t>з</w:t>
      </w:r>
      <w:r w:rsidRPr="002B7FE2">
        <w:rPr>
          <w:sz w:val="28"/>
          <w:szCs w:val="28"/>
        </w:rPr>
        <w:t>а 12 місяців 202</w:t>
      </w:r>
      <w:r>
        <w:rPr>
          <w:sz w:val="28"/>
          <w:szCs w:val="28"/>
        </w:rPr>
        <w:t>2</w:t>
      </w:r>
      <w:r w:rsidRPr="002B7FE2">
        <w:rPr>
          <w:sz w:val="28"/>
          <w:szCs w:val="28"/>
        </w:rPr>
        <w:t xml:space="preserve"> року забезпечено збір до </w:t>
      </w:r>
      <w:r>
        <w:rPr>
          <w:sz w:val="28"/>
          <w:szCs w:val="28"/>
        </w:rPr>
        <w:t>з</w:t>
      </w:r>
      <w:r w:rsidRPr="002B7FE2">
        <w:rPr>
          <w:sz w:val="28"/>
          <w:szCs w:val="28"/>
        </w:rPr>
        <w:t xml:space="preserve">агального фонду </w:t>
      </w:r>
      <w:r>
        <w:rPr>
          <w:sz w:val="28"/>
          <w:szCs w:val="28"/>
        </w:rPr>
        <w:t>Д</w:t>
      </w:r>
      <w:r w:rsidRPr="002B7FE2">
        <w:rPr>
          <w:sz w:val="28"/>
          <w:szCs w:val="28"/>
        </w:rPr>
        <w:t>ержавного бюджету в сумі</w:t>
      </w:r>
      <w:r>
        <w:rPr>
          <w:sz w:val="28"/>
          <w:szCs w:val="28"/>
        </w:rPr>
        <w:br/>
      </w:r>
      <w:r w:rsidRPr="002B7FE2">
        <w:rPr>
          <w:sz w:val="28"/>
          <w:szCs w:val="28"/>
          <w:lang w:val="ru-RU"/>
        </w:rPr>
        <w:t>1</w:t>
      </w:r>
      <w:r>
        <w:rPr>
          <w:sz w:val="28"/>
          <w:szCs w:val="28"/>
          <w:lang w:val="ru-RU"/>
        </w:rPr>
        <w:t>5</w:t>
      </w:r>
      <w:r>
        <w:rPr>
          <w:sz w:val="28"/>
          <w:szCs w:val="28"/>
          <w:lang w:val="en-US"/>
        </w:rPr>
        <w:t> </w:t>
      </w:r>
      <w:r>
        <w:rPr>
          <w:sz w:val="28"/>
          <w:szCs w:val="28"/>
        </w:rPr>
        <w:t>924,2</w:t>
      </w:r>
      <w:r w:rsidRPr="002B7FE2">
        <w:rPr>
          <w:sz w:val="28"/>
          <w:szCs w:val="28"/>
        </w:rPr>
        <w:t xml:space="preserve">  млн грн або </w:t>
      </w:r>
      <w:r>
        <w:rPr>
          <w:sz w:val="28"/>
          <w:szCs w:val="28"/>
        </w:rPr>
        <w:t>91,8</w:t>
      </w:r>
      <w:r w:rsidRPr="002B7FE2">
        <w:rPr>
          <w:sz w:val="28"/>
          <w:szCs w:val="28"/>
        </w:rPr>
        <w:t xml:space="preserve"> </w:t>
      </w:r>
      <w:r>
        <w:rPr>
          <w:sz w:val="28"/>
          <w:szCs w:val="28"/>
        </w:rPr>
        <w:t xml:space="preserve">відс. </w:t>
      </w:r>
      <w:r w:rsidRPr="002B7FE2">
        <w:rPr>
          <w:sz w:val="28"/>
          <w:szCs w:val="28"/>
        </w:rPr>
        <w:t xml:space="preserve">від доведеного показника (на </w:t>
      </w:r>
      <w:r>
        <w:rPr>
          <w:sz w:val="28"/>
          <w:szCs w:val="28"/>
        </w:rPr>
        <w:t>1 429,3</w:t>
      </w:r>
      <w:r w:rsidRPr="002B7FE2">
        <w:rPr>
          <w:sz w:val="28"/>
          <w:szCs w:val="28"/>
        </w:rPr>
        <w:t xml:space="preserve"> млн грн </w:t>
      </w:r>
      <w:r>
        <w:rPr>
          <w:sz w:val="28"/>
          <w:szCs w:val="28"/>
        </w:rPr>
        <w:t>менше</w:t>
      </w:r>
      <w:r w:rsidRPr="002B7FE2">
        <w:rPr>
          <w:sz w:val="28"/>
          <w:szCs w:val="28"/>
        </w:rPr>
        <w:t xml:space="preserve"> від </w:t>
      </w:r>
      <w:r w:rsidR="00072D56">
        <w:rPr>
          <w:sz w:val="28"/>
          <w:szCs w:val="28"/>
        </w:rPr>
        <w:t xml:space="preserve">доведеного </w:t>
      </w:r>
      <w:r w:rsidRPr="002B7FE2">
        <w:rPr>
          <w:sz w:val="28"/>
          <w:szCs w:val="28"/>
        </w:rPr>
        <w:t>завдання), в т.ч виконання завдання щодо надходжень по основних податках:</w:t>
      </w:r>
    </w:p>
    <w:p w:rsidR="00C16A9D" w:rsidRPr="00A26CC3" w:rsidRDefault="00C16A9D" w:rsidP="00C16A9D">
      <w:pPr>
        <w:ind w:right="23" w:firstLine="567"/>
        <w:jc w:val="both"/>
        <w:rPr>
          <w:sz w:val="28"/>
          <w:szCs w:val="28"/>
        </w:rPr>
      </w:pPr>
      <w:r w:rsidRPr="002B7FE2">
        <w:rPr>
          <w:sz w:val="28"/>
          <w:szCs w:val="28"/>
        </w:rPr>
        <w:t>податку на додану вартість</w:t>
      </w:r>
      <w:r w:rsidR="00924DD5">
        <w:rPr>
          <w:sz w:val="28"/>
          <w:szCs w:val="28"/>
        </w:rPr>
        <w:t xml:space="preserve"> </w:t>
      </w:r>
      <w:r w:rsidRPr="002B7FE2">
        <w:rPr>
          <w:sz w:val="28"/>
          <w:szCs w:val="28"/>
        </w:rPr>
        <w:t xml:space="preserve">- </w:t>
      </w:r>
      <w:r>
        <w:rPr>
          <w:sz w:val="28"/>
          <w:szCs w:val="28"/>
        </w:rPr>
        <w:t>9 291,5</w:t>
      </w:r>
      <w:r w:rsidRPr="002B7FE2">
        <w:rPr>
          <w:sz w:val="28"/>
          <w:szCs w:val="28"/>
        </w:rPr>
        <w:t> млн грн або 10</w:t>
      </w:r>
      <w:r>
        <w:rPr>
          <w:sz w:val="28"/>
          <w:szCs w:val="28"/>
        </w:rPr>
        <w:t>7,3 відс.</w:t>
      </w:r>
      <w:r w:rsidRPr="002B7FE2">
        <w:rPr>
          <w:sz w:val="28"/>
          <w:szCs w:val="28"/>
        </w:rPr>
        <w:t xml:space="preserve"> (на</w:t>
      </w:r>
      <w:r w:rsidRPr="00A26CC3">
        <w:rPr>
          <w:sz w:val="28"/>
          <w:szCs w:val="28"/>
        </w:rPr>
        <w:t xml:space="preserve"> </w:t>
      </w:r>
      <w:r>
        <w:rPr>
          <w:sz w:val="28"/>
          <w:szCs w:val="28"/>
        </w:rPr>
        <w:t>633,9 </w:t>
      </w:r>
      <w:r w:rsidRPr="00A26CC3">
        <w:rPr>
          <w:sz w:val="28"/>
          <w:szCs w:val="28"/>
        </w:rPr>
        <w:t xml:space="preserve">млн грн більше від завдання); </w:t>
      </w:r>
    </w:p>
    <w:p w:rsidR="00C16A9D" w:rsidRPr="00A26CC3" w:rsidRDefault="00C16A9D" w:rsidP="00C16A9D">
      <w:pPr>
        <w:ind w:right="23" w:firstLine="567"/>
        <w:jc w:val="both"/>
        <w:rPr>
          <w:sz w:val="28"/>
          <w:szCs w:val="28"/>
        </w:rPr>
      </w:pPr>
      <w:r w:rsidRPr="00A26CC3">
        <w:rPr>
          <w:sz w:val="28"/>
          <w:szCs w:val="28"/>
        </w:rPr>
        <w:t xml:space="preserve">податку на прибуток - </w:t>
      </w:r>
      <w:r>
        <w:rPr>
          <w:sz w:val="28"/>
          <w:szCs w:val="28"/>
        </w:rPr>
        <w:t>5</w:t>
      </w:r>
      <w:r w:rsidRPr="00A26CC3">
        <w:rPr>
          <w:sz w:val="28"/>
          <w:szCs w:val="28"/>
        </w:rPr>
        <w:t> </w:t>
      </w:r>
      <w:r>
        <w:rPr>
          <w:sz w:val="28"/>
          <w:szCs w:val="28"/>
        </w:rPr>
        <w:t>199</w:t>
      </w:r>
      <w:r w:rsidRPr="00A26CC3">
        <w:rPr>
          <w:sz w:val="28"/>
          <w:szCs w:val="28"/>
        </w:rPr>
        <w:t xml:space="preserve"> млн грн або </w:t>
      </w:r>
      <w:r>
        <w:rPr>
          <w:sz w:val="28"/>
          <w:szCs w:val="28"/>
        </w:rPr>
        <w:t>72,9 відс.</w:t>
      </w:r>
      <w:r w:rsidRPr="00A26CC3">
        <w:rPr>
          <w:sz w:val="28"/>
          <w:szCs w:val="28"/>
        </w:rPr>
        <w:t xml:space="preserve"> (</w:t>
      </w:r>
      <w:r>
        <w:rPr>
          <w:sz w:val="28"/>
          <w:szCs w:val="28"/>
        </w:rPr>
        <w:t>недобір</w:t>
      </w:r>
      <w:r w:rsidRPr="00A26CC3">
        <w:rPr>
          <w:sz w:val="28"/>
          <w:szCs w:val="28"/>
        </w:rPr>
        <w:t xml:space="preserve"> </w:t>
      </w:r>
      <w:r>
        <w:rPr>
          <w:sz w:val="28"/>
          <w:szCs w:val="28"/>
        </w:rPr>
        <w:t>1 929,3</w:t>
      </w:r>
      <w:r w:rsidRPr="00A26CC3">
        <w:rPr>
          <w:sz w:val="28"/>
          <w:szCs w:val="28"/>
        </w:rPr>
        <w:t xml:space="preserve"> млн грн); </w:t>
      </w:r>
    </w:p>
    <w:p w:rsidR="00C16A9D" w:rsidRPr="00A26CC3" w:rsidRDefault="00C16A9D" w:rsidP="00C16A9D">
      <w:pPr>
        <w:ind w:right="23" w:firstLine="567"/>
        <w:jc w:val="both"/>
        <w:rPr>
          <w:sz w:val="28"/>
          <w:szCs w:val="28"/>
        </w:rPr>
      </w:pPr>
      <w:r w:rsidRPr="00A26CC3">
        <w:rPr>
          <w:sz w:val="28"/>
          <w:szCs w:val="28"/>
        </w:rPr>
        <w:t>акцизному податку -</w:t>
      </w:r>
      <w:r w:rsidR="003D47CE">
        <w:rPr>
          <w:sz w:val="28"/>
          <w:szCs w:val="28"/>
        </w:rPr>
        <w:t xml:space="preserve"> </w:t>
      </w:r>
      <w:r>
        <w:rPr>
          <w:sz w:val="28"/>
          <w:szCs w:val="28"/>
        </w:rPr>
        <w:t>371,4</w:t>
      </w:r>
      <w:r w:rsidRPr="00A26CC3">
        <w:rPr>
          <w:sz w:val="28"/>
          <w:szCs w:val="28"/>
        </w:rPr>
        <w:t xml:space="preserve"> млн грн або </w:t>
      </w:r>
      <w:r>
        <w:rPr>
          <w:sz w:val="28"/>
          <w:szCs w:val="28"/>
        </w:rPr>
        <w:t>98,1 відс.</w:t>
      </w:r>
      <w:r w:rsidRPr="00A26CC3">
        <w:rPr>
          <w:sz w:val="28"/>
          <w:szCs w:val="28"/>
        </w:rPr>
        <w:t xml:space="preserve"> (</w:t>
      </w:r>
      <w:r>
        <w:rPr>
          <w:sz w:val="28"/>
          <w:szCs w:val="28"/>
        </w:rPr>
        <w:t>недобір 7,1</w:t>
      </w:r>
      <w:r w:rsidRPr="00A26CC3">
        <w:rPr>
          <w:sz w:val="28"/>
          <w:szCs w:val="28"/>
        </w:rPr>
        <w:t xml:space="preserve"> млн грн); </w:t>
      </w:r>
    </w:p>
    <w:p w:rsidR="00C16A9D" w:rsidRPr="00A26CC3" w:rsidRDefault="00C16A9D" w:rsidP="00C16A9D">
      <w:pPr>
        <w:ind w:right="23" w:firstLine="567"/>
        <w:jc w:val="both"/>
        <w:rPr>
          <w:sz w:val="28"/>
          <w:szCs w:val="28"/>
        </w:rPr>
      </w:pPr>
      <w:r w:rsidRPr="00A26CC3">
        <w:rPr>
          <w:sz w:val="28"/>
          <w:szCs w:val="28"/>
        </w:rPr>
        <w:t xml:space="preserve">частині прибутку державних підприємств </w:t>
      </w:r>
      <w:r>
        <w:rPr>
          <w:sz w:val="28"/>
          <w:szCs w:val="28"/>
        </w:rPr>
        <w:t>– 103,7</w:t>
      </w:r>
      <w:r w:rsidRPr="00A26CC3">
        <w:rPr>
          <w:sz w:val="28"/>
          <w:szCs w:val="28"/>
        </w:rPr>
        <w:t xml:space="preserve"> млн грн або </w:t>
      </w:r>
      <w:r>
        <w:rPr>
          <w:sz w:val="28"/>
          <w:szCs w:val="28"/>
        </w:rPr>
        <w:t>85 відс.</w:t>
      </w:r>
      <w:r w:rsidRPr="00A26CC3">
        <w:rPr>
          <w:sz w:val="28"/>
          <w:szCs w:val="28"/>
        </w:rPr>
        <w:t xml:space="preserve"> (</w:t>
      </w:r>
      <w:r>
        <w:rPr>
          <w:sz w:val="28"/>
          <w:szCs w:val="28"/>
        </w:rPr>
        <w:t>недобір</w:t>
      </w:r>
      <w:r w:rsidRPr="00A26CC3">
        <w:rPr>
          <w:sz w:val="28"/>
          <w:szCs w:val="28"/>
        </w:rPr>
        <w:t xml:space="preserve"> </w:t>
      </w:r>
      <w:r>
        <w:rPr>
          <w:sz w:val="28"/>
          <w:szCs w:val="28"/>
        </w:rPr>
        <w:t>18,3</w:t>
      </w:r>
      <w:r w:rsidRPr="00A26CC3">
        <w:rPr>
          <w:sz w:val="28"/>
          <w:szCs w:val="28"/>
        </w:rPr>
        <w:t xml:space="preserve"> млн грн); </w:t>
      </w:r>
    </w:p>
    <w:p w:rsidR="00C16A9D" w:rsidRPr="00A26CC3" w:rsidRDefault="00C16A9D" w:rsidP="00C16A9D">
      <w:pPr>
        <w:ind w:right="23" w:firstLine="540"/>
        <w:jc w:val="both"/>
        <w:rPr>
          <w:sz w:val="28"/>
          <w:szCs w:val="28"/>
        </w:rPr>
      </w:pPr>
      <w:r w:rsidRPr="00A26CC3">
        <w:rPr>
          <w:sz w:val="28"/>
          <w:szCs w:val="28"/>
        </w:rPr>
        <w:t>податок та збір на доходи фізичних осіб</w:t>
      </w:r>
      <w:r w:rsidR="00C20274">
        <w:rPr>
          <w:sz w:val="28"/>
          <w:szCs w:val="28"/>
        </w:rPr>
        <w:t xml:space="preserve"> (далі - ПДФО)</w:t>
      </w:r>
      <w:r w:rsidRPr="00A26CC3">
        <w:rPr>
          <w:sz w:val="28"/>
          <w:szCs w:val="28"/>
        </w:rPr>
        <w:t xml:space="preserve"> </w:t>
      </w:r>
      <w:r>
        <w:rPr>
          <w:sz w:val="28"/>
          <w:szCs w:val="28"/>
        </w:rPr>
        <w:t>–</w:t>
      </w:r>
      <w:r w:rsidRPr="00A26CC3">
        <w:rPr>
          <w:sz w:val="28"/>
          <w:szCs w:val="28"/>
        </w:rPr>
        <w:t xml:space="preserve"> </w:t>
      </w:r>
      <w:r>
        <w:rPr>
          <w:sz w:val="28"/>
          <w:szCs w:val="28"/>
        </w:rPr>
        <w:t>1 098,8</w:t>
      </w:r>
      <w:r w:rsidRPr="00A26CC3">
        <w:rPr>
          <w:sz w:val="28"/>
          <w:szCs w:val="28"/>
        </w:rPr>
        <w:t xml:space="preserve"> млн грн або </w:t>
      </w:r>
      <w:r>
        <w:rPr>
          <w:sz w:val="28"/>
          <w:szCs w:val="28"/>
        </w:rPr>
        <w:t>77,7</w:t>
      </w:r>
      <w:r w:rsidRPr="00A26CC3">
        <w:rPr>
          <w:sz w:val="28"/>
          <w:szCs w:val="28"/>
          <w:lang w:val="az-Cyrl-AZ"/>
        </w:rPr>
        <w:t xml:space="preserve"> </w:t>
      </w:r>
      <w:r>
        <w:rPr>
          <w:sz w:val="28"/>
          <w:szCs w:val="28"/>
          <w:lang w:val="az-Cyrl-AZ"/>
        </w:rPr>
        <w:t>відс.</w:t>
      </w:r>
      <w:r w:rsidRPr="00A26CC3">
        <w:rPr>
          <w:sz w:val="28"/>
          <w:szCs w:val="28"/>
        </w:rPr>
        <w:t xml:space="preserve"> (</w:t>
      </w:r>
      <w:r>
        <w:rPr>
          <w:sz w:val="28"/>
          <w:szCs w:val="28"/>
        </w:rPr>
        <w:t>недобір</w:t>
      </w:r>
      <w:r w:rsidRPr="00A26CC3">
        <w:rPr>
          <w:sz w:val="28"/>
          <w:szCs w:val="28"/>
        </w:rPr>
        <w:t xml:space="preserve"> </w:t>
      </w:r>
      <w:r>
        <w:rPr>
          <w:sz w:val="28"/>
          <w:szCs w:val="28"/>
        </w:rPr>
        <w:t xml:space="preserve">314,8 </w:t>
      </w:r>
      <w:r w:rsidRPr="00A26CC3">
        <w:rPr>
          <w:sz w:val="28"/>
          <w:szCs w:val="28"/>
        </w:rPr>
        <w:t>млн грн)</w:t>
      </w:r>
      <w:r>
        <w:rPr>
          <w:sz w:val="28"/>
          <w:szCs w:val="28"/>
        </w:rPr>
        <w:t xml:space="preserve"> (Таблиця № 1).</w:t>
      </w:r>
    </w:p>
    <w:p w:rsidR="00C16A9D" w:rsidRDefault="00C16A9D" w:rsidP="00C16A9D">
      <w:pPr>
        <w:jc w:val="both"/>
        <w:rPr>
          <w:color w:val="FF0000"/>
          <w:sz w:val="28"/>
          <w:szCs w:val="28"/>
        </w:rPr>
      </w:pPr>
      <w:r>
        <w:rPr>
          <w:color w:val="FF0000"/>
          <w:sz w:val="28"/>
          <w:szCs w:val="28"/>
        </w:rPr>
        <w:t xml:space="preserve">       </w:t>
      </w:r>
    </w:p>
    <w:p w:rsidR="00C16A9D" w:rsidRDefault="00C16A9D" w:rsidP="00C16A9D">
      <w:pPr>
        <w:ind w:firstLine="540"/>
        <w:jc w:val="both"/>
        <w:rPr>
          <w:sz w:val="28"/>
          <w:szCs w:val="28"/>
        </w:rPr>
      </w:pPr>
      <w:r>
        <w:rPr>
          <w:sz w:val="28"/>
          <w:szCs w:val="28"/>
        </w:rPr>
        <w:t>Так, виконання 2022 року склало: січня – 115 відс., лютого – 103,9 відс.,</w:t>
      </w:r>
      <w:r>
        <w:rPr>
          <w:color w:val="FF0000"/>
          <w:sz w:val="28"/>
          <w:szCs w:val="28"/>
        </w:rPr>
        <w:t xml:space="preserve"> </w:t>
      </w:r>
      <w:r>
        <w:rPr>
          <w:sz w:val="28"/>
          <w:szCs w:val="28"/>
        </w:rPr>
        <w:t>березня – 87,7 відс.,</w:t>
      </w:r>
      <w:r>
        <w:rPr>
          <w:color w:val="FF0000"/>
          <w:sz w:val="28"/>
          <w:szCs w:val="28"/>
        </w:rPr>
        <w:t xml:space="preserve"> </w:t>
      </w:r>
      <w:r>
        <w:rPr>
          <w:sz w:val="28"/>
          <w:szCs w:val="28"/>
        </w:rPr>
        <w:t>квітня – 104,6 відс.,</w:t>
      </w:r>
      <w:r>
        <w:rPr>
          <w:color w:val="FF0000"/>
          <w:sz w:val="28"/>
          <w:szCs w:val="28"/>
        </w:rPr>
        <w:t xml:space="preserve"> </w:t>
      </w:r>
      <w:r>
        <w:rPr>
          <w:sz w:val="28"/>
          <w:szCs w:val="28"/>
        </w:rPr>
        <w:t>травня – 100,6 відс.,</w:t>
      </w:r>
      <w:r>
        <w:rPr>
          <w:color w:val="FF0000"/>
          <w:sz w:val="28"/>
          <w:szCs w:val="28"/>
        </w:rPr>
        <w:t xml:space="preserve"> </w:t>
      </w:r>
      <w:r>
        <w:rPr>
          <w:sz w:val="28"/>
          <w:szCs w:val="28"/>
        </w:rPr>
        <w:t>червня – 101,2 відс.,</w:t>
      </w:r>
      <w:r>
        <w:rPr>
          <w:color w:val="FF0000"/>
          <w:sz w:val="28"/>
          <w:szCs w:val="28"/>
        </w:rPr>
        <w:t xml:space="preserve"> </w:t>
      </w:r>
      <w:r>
        <w:rPr>
          <w:sz w:val="28"/>
          <w:szCs w:val="28"/>
        </w:rPr>
        <w:t>липня – 112,4 відс.,</w:t>
      </w:r>
      <w:r>
        <w:rPr>
          <w:color w:val="FF0000"/>
          <w:sz w:val="28"/>
          <w:szCs w:val="28"/>
        </w:rPr>
        <w:t xml:space="preserve"> </w:t>
      </w:r>
      <w:r>
        <w:rPr>
          <w:sz w:val="28"/>
          <w:szCs w:val="28"/>
        </w:rPr>
        <w:t>серпня – 68,8 відс.,</w:t>
      </w:r>
      <w:r>
        <w:rPr>
          <w:color w:val="FF0000"/>
          <w:sz w:val="28"/>
          <w:szCs w:val="28"/>
        </w:rPr>
        <w:t xml:space="preserve"> </w:t>
      </w:r>
      <w:r>
        <w:rPr>
          <w:sz w:val="28"/>
          <w:szCs w:val="28"/>
        </w:rPr>
        <w:t>вересня – 101,1 відс.,</w:t>
      </w:r>
      <w:r>
        <w:rPr>
          <w:color w:val="FF0000"/>
          <w:sz w:val="28"/>
          <w:szCs w:val="28"/>
        </w:rPr>
        <w:t xml:space="preserve"> </w:t>
      </w:r>
      <w:r>
        <w:rPr>
          <w:sz w:val="28"/>
          <w:szCs w:val="28"/>
        </w:rPr>
        <w:t>жовтня – 109,7 відс.,</w:t>
      </w:r>
      <w:r>
        <w:rPr>
          <w:color w:val="FF0000"/>
          <w:sz w:val="28"/>
          <w:szCs w:val="28"/>
        </w:rPr>
        <w:t xml:space="preserve"> </w:t>
      </w:r>
      <w:r>
        <w:rPr>
          <w:sz w:val="28"/>
          <w:szCs w:val="28"/>
        </w:rPr>
        <w:t>листопада –</w:t>
      </w:r>
      <w:r>
        <w:rPr>
          <w:sz w:val="28"/>
          <w:szCs w:val="28"/>
          <w:lang w:val="ru-RU"/>
        </w:rPr>
        <w:t xml:space="preserve"> 68,7 відс.</w:t>
      </w:r>
      <w:r>
        <w:rPr>
          <w:sz w:val="28"/>
          <w:szCs w:val="28"/>
        </w:rPr>
        <w:t>,</w:t>
      </w:r>
      <w:r>
        <w:rPr>
          <w:color w:val="FF0000"/>
          <w:sz w:val="28"/>
          <w:szCs w:val="28"/>
        </w:rPr>
        <w:t xml:space="preserve"> </w:t>
      </w:r>
      <w:r>
        <w:rPr>
          <w:sz w:val="28"/>
          <w:szCs w:val="28"/>
        </w:rPr>
        <w:t xml:space="preserve">грудня – 101 відсотків. </w:t>
      </w:r>
    </w:p>
    <w:p w:rsidR="00C16A9D" w:rsidRDefault="00C16A9D" w:rsidP="00C16A9D">
      <w:pPr>
        <w:ind w:firstLine="708"/>
        <w:jc w:val="right"/>
        <w:rPr>
          <w:sz w:val="28"/>
          <w:szCs w:val="28"/>
        </w:rPr>
      </w:pPr>
    </w:p>
    <w:p w:rsidR="00C16A9D" w:rsidRDefault="00C16A9D" w:rsidP="00C16A9D">
      <w:pPr>
        <w:ind w:firstLine="708"/>
        <w:jc w:val="right"/>
        <w:rPr>
          <w:sz w:val="28"/>
          <w:szCs w:val="28"/>
        </w:rPr>
      </w:pPr>
    </w:p>
    <w:p w:rsidR="00C16A9D" w:rsidRDefault="00C16A9D" w:rsidP="00C16A9D">
      <w:pPr>
        <w:ind w:firstLine="708"/>
        <w:jc w:val="right"/>
        <w:rPr>
          <w:sz w:val="28"/>
          <w:szCs w:val="28"/>
        </w:rPr>
      </w:pPr>
    </w:p>
    <w:p w:rsidR="00C16A9D" w:rsidRDefault="00C16A9D" w:rsidP="00C16A9D">
      <w:pPr>
        <w:ind w:firstLine="708"/>
        <w:jc w:val="right"/>
        <w:rPr>
          <w:sz w:val="28"/>
          <w:szCs w:val="28"/>
        </w:rPr>
      </w:pPr>
    </w:p>
    <w:p w:rsidR="00C16A9D" w:rsidRDefault="00C16A9D" w:rsidP="00C16A9D">
      <w:pPr>
        <w:ind w:firstLine="708"/>
        <w:jc w:val="right"/>
        <w:rPr>
          <w:sz w:val="28"/>
          <w:szCs w:val="28"/>
        </w:rPr>
      </w:pPr>
    </w:p>
    <w:p w:rsidR="00131833" w:rsidRDefault="00131833" w:rsidP="00C16A9D">
      <w:pPr>
        <w:ind w:firstLine="708"/>
        <w:jc w:val="right"/>
        <w:rPr>
          <w:sz w:val="28"/>
          <w:szCs w:val="28"/>
        </w:rPr>
      </w:pPr>
    </w:p>
    <w:p w:rsidR="00131833" w:rsidRDefault="00131833" w:rsidP="00C16A9D">
      <w:pPr>
        <w:ind w:firstLine="708"/>
        <w:jc w:val="right"/>
        <w:rPr>
          <w:sz w:val="28"/>
          <w:szCs w:val="28"/>
        </w:rPr>
      </w:pPr>
    </w:p>
    <w:p w:rsidR="00C16A9D" w:rsidRDefault="00C16A9D" w:rsidP="00C16A9D">
      <w:pPr>
        <w:ind w:firstLine="708"/>
        <w:jc w:val="right"/>
        <w:rPr>
          <w:sz w:val="28"/>
          <w:szCs w:val="28"/>
        </w:rPr>
      </w:pPr>
    </w:p>
    <w:p w:rsidR="00C16A9D" w:rsidRDefault="00C16A9D" w:rsidP="00C16A9D">
      <w:pPr>
        <w:ind w:firstLine="708"/>
        <w:jc w:val="right"/>
        <w:rPr>
          <w:b/>
          <w:sz w:val="28"/>
          <w:szCs w:val="28"/>
        </w:rPr>
      </w:pPr>
      <w:r>
        <w:rPr>
          <w:sz w:val="28"/>
          <w:szCs w:val="28"/>
        </w:rPr>
        <w:t xml:space="preserve">                                              Таблиця № 1 </w:t>
      </w:r>
    </w:p>
    <w:p w:rsidR="00C16A9D" w:rsidRDefault="00C16A9D" w:rsidP="00C16A9D">
      <w:pPr>
        <w:ind w:firstLine="708"/>
        <w:jc w:val="center"/>
        <w:rPr>
          <w:b/>
          <w:sz w:val="28"/>
          <w:szCs w:val="28"/>
        </w:rPr>
      </w:pPr>
      <w:r>
        <w:rPr>
          <w:b/>
          <w:sz w:val="28"/>
          <w:szCs w:val="28"/>
        </w:rPr>
        <w:t>Виконання Загального фонду по збору до Державного бюджету грошовими коштами за 2022 рік</w:t>
      </w:r>
    </w:p>
    <w:p w:rsidR="00C16A9D" w:rsidRDefault="00C16A9D" w:rsidP="00C16A9D">
      <w:pPr>
        <w:ind w:firstLine="708"/>
        <w:jc w:val="center"/>
        <w:rPr>
          <w:sz w:val="28"/>
          <w:szCs w:val="28"/>
        </w:rPr>
      </w:pPr>
    </w:p>
    <w:p w:rsidR="00C16A9D" w:rsidRDefault="00C16A9D" w:rsidP="00C16A9D">
      <w:pPr>
        <w:ind w:firstLine="708"/>
        <w:jc w:val="right"/>
        <w:rPr>
          <w:b/>
          <w:bCs/>
          <w:sz w:val="28"/>
          <w:szCs w:val="28"/>
          <w:u w:val="single"/>
          <w:lang w:eastAsia="ru-RU"/>
        </w:rPr>
      </w:pPr>
      <w:r>
        <w:rPr>
          <w:sz w:val="28"/>
          <w:szCs w:val="28"/>
        </w:rPr>
        <w:t>млн грн</w:t>
      </w:r>
    </w:p>
    <w:tbl>
      <w:tblPr>
        <w:tblW w:w="9755"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3443"/>
        <w:gridCol w:w="7"/>
        <w:gridCol w:w="1813"/>
        <w:gridCol w:w="1720"/>
        <w:gridCol w:w="1500"/>
        <w:gridCol w:w="1272"/>
      </w:tblGrid>
      <w:tr w:rsidR="00C16A9D" w:rsidRPr="00077858" w:rsidTr="00BE2CFE">
        <w:trPr>
          <w:trHeight w:val="322"/>
        </w:trPr>
        <w:tc>
          <w:tcPr>
            <w:tcW w:w="3443" w:type="dxa"/>
            <w:vMerge w:val="restart"/>
            <w:shd w:val="clear" w:color="auto" w:fill="auto"/>
            <w:vAlign w:val="center"/>
          </w:tcPr>
          <w:p w:rsidR="00C16A9D" w:rsidRPr="00F94457" w:rsidRDefault="00C020F2" w:rsidP="00BE2CFE">
            <w:pPr>
              <w:jc w:val="center"/>
              <w:rPr>
                <w:rFonts w:eastAsia="SimSun"/>
                <w:bCs/>
                <w:sz w:val="28"/>
                <w:szCs w:val="28"/>
                <w:u w:val="single"/>
                <w:lang w:val="ru-RU"/>
              </w:rPr>
            </w:pPr>
            <w:r>
              <w:rPr>
                <w:sz w:val="28"/>
                <w:szCs w:val="28"/>
                <w:lang w:eastAsia="ru-RU"/>
              </w:rPr>
              <w:t>Міжрегіональне</w:t>
            </w:r>
            <w:r w:rsidR="00C16A9D" w:rsidRPr="00F94457">
              <w:rPr>
                <w:sz w:val="28"/>
                <w:szCs w:val="28"/>
                <w:lang w:eastAsia="ru-RU"/>
              </w:rPr>
              <w:t xml:space="preserve"> </w:t>
            </w:r>
            <w:r w:rsidR="00C16A9D" w:rsidRPr="00F94457">
              <w:rPr>
                <w:sz w:val="28"/>
                <w:szCs w:val="28"/>
                <w:lang w:eastAsia="en-US"/>
              </w:rPr>
              <w:t>управління</w:t>
            </w:r>
            <w:r w:rsidR="00C16A9D" w:rsidRPr="00F94457">
              <w:rPr>
                <w:rFonts w:eastAsia="SimSun"/>
                <w:bCs/>
                <w:sz w:val="28"/>
                <w:szCs w:val="28"/>
                <w:u w:val="single"/>
                <w:lang w:val="ru-RU"/>
              </w:rPr>
              <w:t xml:space="preserve">  </w:t>
            </w:r>
          </w:p>
        </w:tc>
        <w:tc>
          <w:tcPr>
            <w:tcW w:w="1820" w:type="dxa"/>
            <w:gridSpan w:val="2"/>
            <w:vMerge w:val="restart"/>
            <w:shd w:val="clear" w:color="auto" w:fill="CCFFFF"/>
            <w:vAlign w:val="center"/>
          </w:tcPr>
          <w:p w:rsidR="00C16A9D" w:rsidRPr="00EE069C" w:rsidRDefault="00C16A9D" w:rsidP="00BE2CFE">
            <w:pPr>
              <w:jc w:val="center"/>
              <w:rPr>
                <w:rFonts w:eastAsia="SimSun"/>
                <w:sz w:val="28"/>
                <w:szCs w:val="28"/>
                <w:lang w:val="ru-RU"/>
              </w:rPr>
            </w:pPr>
            <w:r w:rsidRPr="00EE069C">
              <w:rPr>
                <w:rFonts w:eastAsia="SimSun"/>
                <w:sz w:val="28"/>
                <w:szCs w:val="28"/>
                <w:lang w:val="ru-RU"/>
              </w:rPr>
              <w:t>Збір з початку року</w:t>
            </w:r>
          </w:p>
        </w:tc>
        <w:tc>
          <w:tcPr>
            <w:tcW w:w="1720" w:type="dxa"/>
            <w:vMerge w:val="restart"/>
            <w:shd w:val="clear" w:color="auto" w:fill="CCFFFF"/>
            <w:vAlign w:val="center"/>
          </w:tcPr>
          <w:p w:rsidR="00C16A9D" w:rsidRPr="00EE069C" w:rsidRDefault="00C16A9D" w:rsidP="00BE2CFE">
            <w:pPr>
              <w:jc w:val="center"/>
              <w:rPr>
                <w:rFonts w:eastAsia="SimSun"/>
                <w:sz w:val="28"/>
                <w:szCs w:val="28"/>
                <w:lang w:val="ru-RU"/>
              </w:rPr>
            </w:pPr>
            <w:r w:rsidRPr="00EE069C">
              <w:rPr>
                <w:rFonts w:eastAsia="SimSun"/>
                <w:sz w:val="28"/>
                <w:szCs w:val="28"/>
                <w:lang w:val="ru-RU"/>
              </w:rPr>
              <w:t>План з початку року</w:t>
            </w:r>
          </w:p>
        </w:tc>
        <w:tc>
          <w:tcPr>
            <w:tcW w:w="2772" w:type="dxa"/>
            <w:gridSpan w:val="2"/>
            <w:vMerge w:val="restart"/>
            <w:shd w:val="clear" w:color="auto" w:fill="CCFFFF"/>
            <w:vAlign w:val="center"/>
          </w:tcPr>
          <w:p w:rsidR="00C16A9D" w:rsidRPr="00EE069C" w:rsidRDefault="00C16A9D" w:rsidP="00BE2CFE">
            <w:pPr>
              <w:jc w:val="center"/>
              <w:rPr>
                <w:rFonts w:eastAsia="SimSun"/>
                <w:sz w:val="28"/>
                <w:szCs w:val="28"/>
                <w:lang w:val="ru-RU"/>
              </w:rPr>
            </w:pPr>
            <w:r w:rsidRPr="00EE069C">
              <w:rPr>
                <w:rFonts w:eastAsia="SimSun"/>
                <w:sz w:val="28"/>
                <w:szCs w:val="28"/>
                <w:lang w:val="ru-RU"/>
              </w:rPr>
              <w:t>До плану з початку року</w:t>
            </w:r>
          </w:p>
        </w:tc>
      </w:tr>
      <w:tr w:rsidR="00C16A9D" w:rsidRPr="00077858" w:rsidTr="00BE2CFE">
        <w:trPr>
          <w:trHeight w:val="322"/>
        </w:trPr>
        <w:tc>
          <w:tcPr>
            <w:tcW w:w="3443" w:type="dxa"/>
            <w:vMerge/>
            <w:vAlign w:val="center"/>
          </w:tcPr>
          <w:p w:rsidR="00C16A9D" w:rsidRPr="00EE069C" w:rsidRDefault="00C16A9D" w:rsidP="00BE2CFE">
            <w:pPr>
              <w:rPr>
                <w:rFonts w:eastAsia="SimSun"/>
                <w:b/>
                <w:bCs/>
                <w:sz w:val="28"/>
                <w:szCs w:val="28"/>
                <w:u w:val="single"/>
                <w:lang w:val="ru-RU"/>
              </w:rPr>
            </w:pPr>
          </w:p>
        </w:tc>
        <w:tc>
          <w:tcPr>
            <w:tcW w:w="1820" w:type="dxa"/>
            <w:gridSpan w:val="2"/>
            <w:vMerge/>
            <w:vAlign w:val="center"/>
          </w:tcPr>
          <w:p w:rsidR="00C16A9D" w:rsidRPr="00EE069C" w:rsidRDefault="00C16A9D" w:rsidP="00BE2CFE">
            <w:pPr>
              <w:rPr>
                <w:rFonts w:eastAsia="SimSun"/>
                <w:sz w:val="28"/>
                <w:szCs w:val="28"/>
                <w:lang w:val="ru-RU"/>
              </w:rPr>
            </w:pPr>
          </w:p>
        </w:tc>
        <w:tc>
          <w:tcPr>
            <w:tcW w:w="1720" w:type="dxa"/>
            <w:vMerge/>
            <w:vAlign w:val="center"/>
          </w:tcPr>
          <w:p w:rsidR="00C16A9D" w:rsidRPr="00EE069C" w:rsidRDefault="00C16A9D" w:rsidP="00BE2CFE">
            <w:pPr>
              <w:rPr>
                <w:rFonts w:eastAsia="SimSun"/>
                <w:sz w:val="28"/>
                <w:szCs w:val="28"/>
                <w:lang w:val="ru-RU"/>
              </w:rPr>
            </w:pPr>
          </w:p>
        </w:tc>
        <w:tc>
          <w:tcPr>
            <w:tcW w:w="2772" w:type="dxa"/>
            <w:gridSpan w:val="2"/>
            <w:vMerge/>
            <w:vAlign w:val="center"/>
          </w:tcPr>
          <w:p w:rsidR="00C16A9D" w:rsidRPr="00EE069C" w:rsidRDefault="00C16A9D" w:rsidP="00BE2CFE">
            <w:pPr>
              <w:rPr>
                <w:rFonts w:eastAsia="SimSun"/>
                <w:sz w:val="28"/>
                <w:szCs w:val="28"/>
                <w:lang w:val="ru-RU"/>
              </w:rPr>
            </w:pPr>
          </w:p>
        </w:tc>
      </w:tr>
      <w:tr w:rsidR="00C16A9D" w:rsidRPr="00077858" w:rsidTr="00BE2CFE">
        <w:trPr>
          <w:trHeight w:val="630"/>
        </w:trPr>
        <w:tc>
          <w:tcPr>
            <w:tcW w:w="3443" w:type="dxa"/>
            <w:vMerge/>
            <w:vAlign w:val="center"/>
          </w:tcPr>
          <w:p w:rsidR="00C16A9D" w:rsidRPr="00EE069C" w:rsidRDefault="00C16A9D" w:rsidP="00BE2CFE">
            <w:pPr>
              <w:rPr>
                <w:rFonts w:eastAsia="SimSun"/>
                <w:b/>
                <w:bCs/>
                <w:sz w:val="28"/>
                <w:szCs w:val="28"/>
                <w:u w:val="single"/>
                <w:lang w:val="ru-RU"/>
              </w:rPr>
            </w:pPr>
          </w:p>
        </w:tc>
        <w:tc>
          <w:tcPr>
            <w:tcW w:w="1820" w:type="dxa"/>
            <w:gridSpan w:val="2"/>
            <w:vMerge/>
            <w:vAlign w:val="center"/>
          </w:tcPr>
          <w:p w:rsidR="00C16A9D" w:rsidRPr="00EE069C" w:rsidRDefault="00C16A9D" w:rsidP="00BE2CFE">
            <w:pPr>
              <w:rPr>
                <w:rFonts w:eastAsia="SimSun"/>
                <w:sz w:val="28"/>
                <w:szCs w:val="28"/>
                <w:lang w:val="ru-RU"/>
              </w:rPr>
            </w:pPr>
          </w:p>
        </w:tc>
        <w:tc>
          <w:tcPr>
            <w:tcW w:w="1720" w:type="dxa"/>
            <w:vMerge/>
            <w:vAlign w:val="center"/>
          </w:tcPr>
          <w:p w:rsidR="00C16A9D" w:rsidRPr="00EE069C" w:rsidRDefault="00C16A9D" w:rsidP="00BE2CFE">
            <w:pPr>
              <w:rPr>
                <w:rFonts w:eastAsia="SimSun"/>
                <w:sz w:val="28"/>
                <w:szCs w:val="28"/>
                <w:lang w:val="ru-RU"/>
              </w:rPr>
            </w:pPr>
          </w:p>
        </w:tc>
        <w:tc>
          <w:tcPr>
            <w:tcW w:w="1500" w:type="dxa"/>
            <w:shd w:val="clear" w:color="auto" w:fill="CCFFFF"/>
            <w:noWrap/>
            <w:vAlign w:val="center"/>
          </w:tcPr>
          <w:p w:rsidR="00C16A9D" w:rsidRPr="00EE069C" w:rsidRDefault="00C16A9D" w:rsidP="00BE2CFE">
            <w:pPr>
              <w:jc w:val="center"/>
              <w:rPr>
                <w:rFonts w:eastAsia="SimSun"/>
                <w:sz w:val="28"/>
                <w:szCs w:val="28"/>
                <w:lang w:val="ru-RU"/>
              </w:rPr>
            </w:pPr>
            <w:r w:rsidRPr="00EE069C">
              <w:rPr>
                <w:rFonts w:eastAsia="SimSun"/>
                <w:sz w:val="28"/>
                <w:szCs w:val="28"/>
                <w:lang w:val="ru-RU"/>
              </w:rPr>
              <w:t>(+,-)</w:t>
            </w:r>
          </w:p>
        </w:tc>
        <w:tc>
          <w:tcPr>
            <w:tcW w:w="1272" w:type="dxa"/>
            <w:shd w:val="clear" w:color="auto" w:fill="CCFFFF"/>
            <w:noWrap/>
            <w:vAlign w:val="center"/>
          </w:tcPr>
          <w:p w:rsidR="00C16A9D" w:rsidRPr="00EE069C" w:rsidRDefault="00C16A9D" w:rsidP="00BE2CFE">
            <w:pPr>
              <w:jc w:val="center"/>
              <w:rPr>
                <w:rFonts w:eastAsia="SimSun"/>
                <w:sz w:val="28"/>
                <w:szCs w:val="28"/>
                <w:lang w:val="ru-RU"/>
              </w:rPr>
            </w:pPr>
            <w:r w:rsidRPr="00EE069C">
              <w:rPr>
                <w:rFonts w:eastAsia="SimSun"/>
                <w:sz w:val="28"/>
                <w:szCs w:val="28"/>
                <w:lang w:val="ru-RU"/>
              </w:rPr>
              <w:t>%</w:t>
            </w:r>
          </w:p>
        </w:tc>
      </w:tr>
      <w:tr w:rsidR="00C16A9D" w:rsidRPr="00EF07A3" w:rsidTr="00BE2CFE">
        <w:trPr>
          <w:trHeight w:val="540"/>
        </w:trPr>
        <w:tc>
          <w:tcPr>
            <w:tcW w:w="3443" w:type="dxa"/>
            <w:shd w:val="clear" w:color="auto" w:fill="auto"/>
            <w:noWrap/>
            <w:vAlign w:val="center"/>
          </w:tcPr>
          <w:p w:rsidR="00C16A9D" w:rsidRPr="00EF07A3" w:rsidRDefault="00C16A9D" w:rsidP="00BE2CFE">
            <w:pPr>
              <w:jc w:val="center"/>
              <w:rPr>
                <w:rFonts w:eastAsia="SimSun"/>
                <w:b/>
                <w:bCs/>
                <w:sz w:val="28"/>
                <w:szCs w:val="28"/>
                <w:lang w:val="ru-RU"/>
              </w:rPr>
            </w:pPr>
            <w:r w:rsidRPr="00EF07A3">
              <w:rPr>
                <w:rFonts w:eastAsia="SimSun"/>
                <w:b/>
                <w:bCs/>
                <w:sz w:val="28"/>
                <w:szCs w:val="28"/>
                <w:lang w:val="ru-RU"/>
              </w:rPr>
              <w:t>Загальний фонд ДБ</w:t>
            </w:r>
          </w:p>
        </w:tc>
        <w:tc>
          <w:tcPr>
            <w:tcW w:w="1820" w:type="dxa"/>
            <w:gridSpan w:val="2"/>
            <w:shd w:val="clear" w:color="auto" w:fill="auto"/>
            <w:noWrap/>
            <w:vAlign w:val="center"/>
          </w:tcPr>
          <w:p w:rsidR="00C16A9D" w:rsidRPr="00EF07A3" w:rsidRDefault="00C16A9D" w:rsidP="00BE2CFE">
            <w:pPr>
              <w:jc w:val="right"/>
              <w:rPr>
                <w:b/>
                <w:bCs/>
                <w:sz w:val="28"/>
                <w:szCs w:val="28"/>
              </w:rPr>
            </w:pPr>
            <w:r w:rsidRPr="00EF07A3">
              <w:rPr>
                <w:b/>
                <w:bCs/>
                <w:sz w:val="28"/>
                <w:szCs w:val="28"/>
              </w:rPr>
              <w:t>1</w:t>
            </w:r>
            <w:r>
              <w:rPr>
                <w:b/>
                <w:bCs/>
                <w:sz w:val="28"/>
                <w:szCs w:val="28"/>
              </w:rPr>
              <w:t>5 924,2</w:t>
            </w:r>
          </w:p>
        </w:tc>
        <w:tc>
          <w:tcPr>
            <w:tcW w:w="1720" w:type="dxa"/>
            <w:shd w:val="clear" w:color="auto" w:fill="auto"/>
            <w:noWrap/>
            <w:vAlign w:val="center"/>
          </w:tcPr>
          <w:p w:rsidR="00C16A9D" w:rsidRPr="00EF07A3" w:rsidRDefault="00C16A9D" w:rsidP="00BE2CFE">
            <w:pPr>
              <w:jc w:val="right"/>
              <w:rPr>
                <w:b/>
                <w:bCs/>
                <w:sz w:val="28"/>
                <w:szCs w:val="28"/>
              </w:rPr>
            </w:pPr>
            <w:r>
              <w:rPr>
                <w:b/>
                <w:bCs/>
                <w:sz w:val="28"/>
                <w:szCs w:val="28"/>
              </w:rPr>
              <w:t>17 353,5</w:t>
            </w:r>
          </w:p>
        </w:tc>
        <w:tc>
          <w:tcPr>
            <w:tcW w:w="1500" w:type="dxa"/>
            <w:shd w:val="clear" w:color="auto" w:fill="auto"/>
            <w:noWrap/>
            <w:vAlign w:val="center"/>
          </w:tcPr>
          <w:p w:rsidR="00C16A9D" w:rsidRPr="00EF07A3" w:rsidRDefault="00C16A9D" w:rsidP="00BE2CFE">
            <w:pPr>
              <w:jc w:val="right"/>
              <w:rPr>
                <w:b/>
                <w:bCs/>
                <w:color w:val="000000"/>
                <w:sz w:val="28"/>
                <w:szCs w:val="28"/>
              </w:rPr>
            </w:pPr>
            <w:r>
              <w:rPr>
                <w:b/>
                <w:bCs/>
                <w:color w:val="000000"/>
                <w:sz w:val="28"/>
                <w:szCs w:val="28"/>
              </w:rPr>
              <w:t>-1 429,3</w:t>
            </w:r>
          </w:p>
        </w:tc>
        <w:tc>
          <w:tcPr>
            <w:tcW w:w="1272" w:type="dxa"/>
            <w:shd w:val="clear" w:color="auto" w:fill="auto"/>
            <w:noWrap/>
            <w:vAlign w:val="center"/>
          </w:tcPr>
          <w:p w:rsidR="00C16A9D" w:rsidRPr="00EF07A3" w:rsidRDefault="00C16A9D" w:rsidP="00BE2CFE">
            <w:pPr>
              <w:jc w:val="right"/>
              <w:rPr>
                <w:b/>
                <w:bCs/>
                <w:color w:val="000000"/>
                <w:sz w:val="28"/>
                <w:szCs w:val="28"/>
              </w:rPr>
            </w:pPr>
            <w:r>
              <w:rPr>
                <w:b/>
                <w:bCs/>
                <w:color w:val="0000FF"/>
                <w:sz w:val="28"/>
                <w:szCs w:val="28"/>
              </w:rPr>
              <w:t>91,8</w:t>
            </w:r>
            <w:r w:rsidRPr="00EF07A3">
              <w:rPr>
                <w:b/>
                <w:bCs/>
                <w:color w:val="0000FF"/>
                <w:sz w:val="28"/>
                <w:szCs w:val="28"/>
              </w:rPr>
              <w:t>%</w:t>
            </w:r>
          </w:p>
        </w:tc>
      </w:tr>
      <w:tr w:rsidR="00C16A9D" w:rsidRPr="00EF07A3" w:rsidTr="00BE2CFE">
        <w:trPr>
          <w:trHeight w:val="261"/>
        </w:trPr>
        <w:tc>
          <w:tcPr>
            <w:tcW w:w="3443" w:type="dxa"/>
            <w:shd w:val="clear" w:color="auto" w:fill="auto"/>
            <w:noWrap/>
            <w:vAlign w:val="center"/>
          </w:tcPr>
          <w:p w:rsidR="00C16A9D" w:rsidRPr="00EF07A3" w:rsidRDefault="00C16A9D" w:rsidP="00BE2CFE">
            <w:pPr>
              <w:jc w:val="center"/>
              <w:rPr>
                <w:rFonts w:eastAsia="SimSun"/>
                <w:i/>
                <w:iCs/>
                <w:sz w:val="28"/>
                <w:szCs w:val="28"/>
                <w:lang w:val="ru-RU"/>
              </w:rPr>
            </w:pPr>
            <w:r w:rsidRPr="00EF07A3">
              <w:rPr>
                <w:rFonts w:eastAsia="SimSun"/>
                <w:i/>
                <w:iCs/>
                <w:sz w:val="28"/>
                <w:szCs w:val="28"/>
                <w:lang w:val="ru-RU"/>
              </w:rPr>
              <w:t>в т.ч. :</w:t>
            </w:r>
          </w:p>
        </w:tc>
        <w:tc>
          <w:tcPr>
            <w:tcW w:w="1820" w:type="dxa"/>
            <w:gridSpan w:val="2"/>
            <w:shd w:val="clear" w:color="auto" w:fill="auto"/>
            <w:noWrap/>
            <w:vAlign w:val="center"/>
          </w:tcPr>
          <w:p w:rsidR="00C16A9D" w:rsidRPr="00EF07A3" w:rsidRDefault="00C16A9D" w:rsidP="00BE2CFE">
            <w:pPr>
              <w:rPr>
                <w:rFonts w:eastAsia="SimSun"/>
                <w:sz w:val="28"/>
                <w:szCs w:val="28"/>
                <w:lang w:val="ru-RU"/>
              </w:rPr>
            </w:pPr>
          </w:p>
        </w:tc>
        <w:tc>
          <w:tcPr>
            <w:tcW w:w="1720" w:type="dxa"/>
            <w:shd w:val="clear" w:color="auto" w:fill="auto"/>
            <w:noWrap/>
            <w:vAlign w:val="center"/>
          </w:tcPr>
          <w:p w:rsidR="00C16A9D" w:rsidRPr="00EF07A3" w:rsidRDefault="00C16A9D" w:rsidP="00BE2CFE">
            <w:pPr>
              <w:rPr>
                <w:rFonts w:eastAsia="SimSun"/>
                <w:sz w:val="28"/>
                <w:szCs w:val="28"/>
                <w:lang w:val="ru-RU"/>
              </w:rPr>
            </w:pPr>
            <w:r w:rsidRPr="00EF07A3">
              <w:rPr>
                <w:rFonts w:eastAsia="SimSun"/>
                <w:sz w:val="28"/>
                <w:szCs w:val="28"/>
                <w:lang w:val="ru-RU"/>
              </w:rPr>
              <w:t> </w:t>
            </w:r>
          </w:p>
        </w:tc>
        <w:tc>
          <w:tcPr>
            <w:tcW w:w="1500" w:type="dxa"/>
            <w:shd w:val="clear" w:color="auto" w:fill="auto"/>
            <w:noWrap/>
            <w:vAlign w:val="center"/>
          </w:tcPr>
          <w:p w:rsidR="00C16A9D" w:rsidRPr="00EF07A3" w:rsidRDefault="00C16A9D" w:rsidP="00BE2CFE">
            <w:pPr>
              <w:rPr>
                <w:rFonts w:eastAsia="SimSun"/>
                <w:b/>
                <w:bCs/>
                <w:sz w:val="28"/>
                <w:szCs w:val="28"/>
                <w:lang w:val="ru-RU"/>
              </w:rPr>
            </w:pPr>
            <w:r w:rsidRPr="00EF07A3">
              <w:rPr>
                <w:rFonts w:eastAsia="SimSun"/>
                <w:b/>
                <w:bCs/>
                <w:sz w:val="28"/>
                <w:szCs w:val="28"/>
                <w:lang w:val="ru-RU"/>
              </w:rPr>
              <w:t> </w:t>
            </w:r>
          </w:p>
        </w:tc>
        <w:tc>
          <w:tcPr>
            <w:tcW w:w="1272" w:type="dxa"/>
            <w:shd w:val="clear" w:color="auto" w:fill="auto"/>
            <w:noWrap/>
            <w:vAlign w:val="center"/>
          </w:tcPr>
          <w:p w:rsidR="00C16A9D" w:rsidRPr="00EF07A3" w:rsidRDefault="00C16A9D" w:rsidP="00BE2CFE">
            <w:pPr>
              <w:rPr>
                <w:rFonts w:eastAsia="SimSun"/>
                <w:b/>
                <w:bCs/>
                <w:sz w:val="28"/>
                <w:szCs w:val="28"/>
                <w:lang w:val="ru-RU"/>
              </w:rPr>
            </w:pPr>
            <w:r w:rsidRPr="00EF07A3">
              <w:rPr>
                <w:rFonts w:eastAsia="SimSun"/>
                <w:b/>
                <w:bCs/>
                <w:sz w:val="28"/>
                <w:szCs w:val="28"/>
                <w:lang w:val="ru-RU"/>
              </w:rPr>
              <w:t> </w:t>
            </w:r>
          </w:p>
        </w:tc>
      </w:tr>
      <w:tr w:rsidR="00C16A9D" w:rsidRPr="00EF07A3" w:rsidTr="00BE2CFE">
        <w:trPr>
          <w:trHeight w:val="375"/>
        </w:trPr>
        <w:tc>
          <w:tcPr>
            <w:tcW w:w="3443" w:type="dxa"/>
            <w:shd w:val="clear" w:color="auto" w:fill="auto"/>
            <w:noWrap/>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ПДВ  ЗБІР</w:t>
            </w:r>
          </w:p>
        </w:tc>
        <w:tc>
          <w:tcPr>
            <w:tcW w:w="1820" w:type="dxa"/>
            <w:gridSpan w:val="2"/>
            <w:shd w:val="clear" w:color="auto" w:fill="auto"/>
            <w:noWrap/>
            <w:vAlign w:val="center"/>
          </w:tcPr>
          <w:p w:rsidR="00C16A9D" w:rsidRPr="00EF07A3" w:rsidRDefault="00C16A9D" w:rsidP="00BE2CFE">
            <w:pPr>
              <w:jc w:val="right"/>
              <w:rPr>
                <w:sz w:val="28"/>
                <w:szCs w:val="28"/>
              </w:rPr>
            </w:pPr>
            <w:r>
              <w:rPr>
                <w:sz w:val="28"/>
                <w:szCs w:val="28"/>
              </w:rPr>
              <w:t>9 291,5</w:t>
            </w:r>
            <w:r w:rsidRPr="00EF07A3">
              <w:rPr>
                <w:sz w:val="28"/>
                <w:szCs w:val="28"/>
              </w:rPr>
              <w:t xml:space="preserve"> </w:t>
            </w:r>
          </w:p>
        </w:tc>
        <w:tc>
          <w:tcPr>
            <w:tcW w:w="1720" w:type="dxa"/>
            <w:shd w:val="clear" w:color="auto" w:fill="auto"/>
            <w:noWrap/>
            <w:vAlign w:val="center"/>
          </w:tcPr>
          <w:p w:rsidR="00C16A9D" w:rsidRPr="00EF07A3" w:rsidRDefault="00C16A9D" w:rsidP="00BE2CFE">
            <w:pPr>
              <w:jc w:val="right"/>
              <w:rPr>
                <w:bCs/>
                <w:sz w:val="28"/>
                <w:szCs w:val="28"/>
              </w:rPr>
            </w:pPr>
            <w:r>
              <w:rPr>
                <w:bCs/>
                <w:sz w:val="28"/>
                <w:szCs w:val="28"/>
              </w:rPr>
              <w:t>8 657,6</w:t>
            </w:r>
          </w:p>
        </w:tc>
        <w:tc>
          <w:tcPr>
            <w:tcW w:w="1500"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633,9</w:t>
            </w:r>
          </w:p>
        </w:tc>
        <w:tc>
          <w:tcPr>
            <w:tcW w:w="1272" w:type="dxa"/>
            <w:shd w:val="clear" w:color="auto" w:fill="auto"/>
            <w:noWrap/>
            <w:vAlign w:val="center"/>
          </w:tcPr>
          <w:p w:rsidR="00C16A9D" w:rsidRPr="00EF07A3" w:rsidRDefault="00C16A9D" w:rsidP="00BE2CFE">
            <w:pPr>
              <w:jc w:val="right"/>
              <w:rPr>
                <w:b/>
                <w:bCs/>
                <w:color w:val="0000FF"/>
                <w:sz w:val="28"/>
                <w:szCs w:val="28"/>
              </w:rPr>
            </w:pPr>
            <w:r w:rsidRPr="00EF07A3">
              <w:rPr>
                <w:b/>
                <w:bCs/>
                <w:color w:val="0000FF"/>
                <w:sz w:val="28"/>
                <w:szCs w:val="28"/>
              </w:rPr>
              <w:t>10</w:t>
            </w:r>
            <w:r>
              <w:rPr>
                <w:b/>
                <w:bCs/>
                <w:color w:val="0000FF"/>
                <w:sz w:val="28"/>
                <w:szCs w:val="28"/>
              </w:rPr>
              <w:t>7</w:t>
            </w:r>
            <w:r w:rsidRPr="00EF07A3">
              <w:rPr>
                <w:b/>
                <w:bCs/>
                <w:color w:val="0000FF"/>
                <w:sz w:val="28"/>
                <w:szCs w:val="28"/>
              </w:rPr>
              <w:t>,</w:t>
            </w:r>
            <w:r>
              <w:rPr>
                <w:b/>
                <w:bCs/>
                <w:color w:val="0000FF"/>
                <w:sz w:val="28"/>
                <w:szCs w:val="28"/>
              </w:rPr>
              <w:t>3</w:t>
            </w:r>
            <w:r w:rsidRPr="00EF07A3">
              <w:rPr>
                <w:b/>
                <w:bCs/>
                <w:color w:val="0000FF"/>
                <w:sz w:val="28"/>
                <w:szCs w:val="28"/>
              </w:rPr>
              <w:t>%</w:t>
            </w:r>
          </w:p>
        </w:tc>
      </w:tr>
      <w:tr w:rsidR="00C16A9D" w:rsidRPr="00EF07A3" w:rsidTr="00BE2CFE">
        <w:trPr>
          <w:trHeight w:val="375"/>
        </w:trPr>
        <w:tc>
          <w:tcPr>
            <w:tcW w:w="3443" w:type="dxa"/>
            <w:shd w:val="clear" w:color="auto" w:fill="auto"/>
            <w:noWrap/>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ПНП</w:t>
            </w:r>
          </w:p>
        </w:tc>
        <w:tc>
          <w:tcPr>
            <w:tcW w:w="1820" w:type="dxa"/>
            <w:gridSpan w:val="2"/>
            <w:shd w:val="clear" w:color="auto" w:fill="auto"/>
            <w:noWrap/>
            <w:vAlign w:val="center"/>
          </w:tcPr>
          <w:p w:rsidR="00C16A9D" w:rsidRPr="00EF07A3" w:rsidRDefault="00C16A9D" w:rsidP="00BE2CFE">
            <w:pPr>
              <w:jc w:val="right"/>
              <w:rPr>
                <w:sz w:val="28"/>
                <w:szCs w:val="28"/>
              </w:rPr>
            </w:pPr>
            <w:r>
              <w:rPr>
                <w:sz w:val="28"/>
                <w:szCs w:val="28"/>
              </w:rPr>
              <w:t>5</w:t>
            </w:r>
            <w:r w:rsidRPr="00EF07A3">
              <w:rPr>
                <w:sz w:val="28"/>
                <w:szCs w:val="28"/>
              </w:rPr>
              <w:t> </w:t>
            </w:r>
            <w:r>
              <w:rPr>
                <w:sz w:val="28"/>
                <w:szCs w:val="28"/>
              </w:rPr>
              <w:t>199</w:t>
            </w:r>
          </w:p>
        </w:tc>
        <w:tc>
          <w:tcPr>
            <w:tcW w:w="1720" w:type="dxa"/>
            <w:shd w:val="clear" w:color="auto" w:fill="auto"/>
            <w:noWrap/>
            <w:vAlign w:val="center"/>
          </w:tcPr>
          <w:p w:rsidR="00C16A9D" w:rsidRPr="00EF07A3" w:rsidRDefault="00C16A9D" w:rsidP="00BE2CFE">
            <w:pPr>
              <w:jc w:val="right"/>
              <w:rPr>
                <w:bCs/>
                <w:sz w:val="28"/>
                <w:szCs w:val="28"/>
              </w:rPr>
            </w:pPr>
            <w:r>
              <w:rPr>
                <w:bCs/>
                <w:sz w:val="28"/>
                <w:szCs w:val="28"/>
              </w:rPr>
              <w:t>7 128,3</w:t>
            </w:r>
          </w:p>
        </w:tc>
        <w:tc>
          <w:tcPr>
            <w:tcW w:w="1500"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-1 929,3</w:t>
            </w:r>
          </w:p>
        </w:tc>
        <w:tc>
          <w:tcPr>
            <w:tcW w:w="1272"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72,9</w:t>
            </w:r>
            <w:r w:rsidRPr="00EF07A3">
              <w:rPr>
                <w:b/>
                <w:bCs/>
                <w:color w:val="0000FF"/>
                <w:sz w:val="28"/>
                <w:szCs w:val="28"/>
              </w:rPr>
              <w:t>%</w:t>
            </w:r>
          </w:p>
        </w:tc>
      </w:tr>
      <w:tr w:rsidR="00C16A9D" w:rsidRPr="00EF07A3" w:rsidTr="00BE2CFE">
        <w:trPr>
          <w:trHeight w:val="375"/>
        </w:trPr>
        <w:tc>
          <w:tcPr>
            <w:tcW w:w="3443" w:type="dxa"/>
            <w:shd w:val="clear" w:color="auto" w:fill="auto"/>
            <w:noWrap/>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АКЦИЗ ЗФ</w:t>
            </w:r>
          </w:p>
        </w:tc>
        <w:tc>
          <w:tcPr>
            <w:tcW w:w="1820" w:type="dxa"/>
            <w:gridSpan w:val="2"/>
            <w:shd w:val="clear" w:color="auto" w:fill="auto"/>
            <w:noWrap/>
            <w:vAlign w:val="center"/>
          </w:tcPr>
          <w:p w:rsidR="00C16A9D" w:rsidRPr="00EF07A3" w:rsidRDefault="00C16A9D" w:rsidP="00BE2CFE">
            <w:pPr>
              <w:jc w:val="right"/>
              <w:rPr>
                <w:sz w:val="28"/>
                <w:szCs w:val="28"/>
              </w:rPr>
            </w:pPr>
            <w:r>
              <w:rPr>
                <w:sz w:val="28"/>
                <w:szCs w:val="28"/>
              </w:rPr>
              <w:t>371,4</w:t>
            </w:r>
          </w:p>
        </w:tc>
        <w:tc>
          <w:tcPr>
            <w:tcW w:w="1720" w:type="dxa"/>
            <w:shd w:val="clear" w:color="auto" w:fill="auto"/>
            <w:noWrap/>
            <w:vAlign w:val="center"/>
          </w:tcPr>
          <w:p w:rsidR="00C16A9D" w:rsidRPr="00EF07A3" w:rsidRDefault="00C16A9D" w:rsidP="00BE2CFE">
            <w:pPr>
              <w:jc w:val="right"/>
              <w:rPr>
                <w:bCs/>
                <w:sz w:val="28"/>
                <w:szCs w:val="28"/>
              </w:rPr>
            </w:pPr>
            <w:r>
              <w:rPr>
                <w:bCs/>
                <w:sz w:val="28"/>
                <w:szCs w:val="28"/>
              </w:rPr>
              <w:t>378,5</w:t>
            </w:r>
          </w:p>
        </w:tc>
        <w:tc>
          <w:tcPr>
            <w:tcW w:w="1500"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-7</w:t>
            </w:r>
          </w:p>
        </w:tc>
        <w:tc>
          <w:tcPr>
            <w:tcW w:w="1272"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98,1</w:t>
            </w:r>
            <w:r w:rsidRPr="00EF07A3">
              <w:rPr>
                <w:b/>
                <w:bCs/>
                <w:color w:val="0000FF"/>
                <w:sz w:val="28"/>
                <w:szCs w:val="28"/>
              </w:rPr>
              <w:t>%</w:t>
            </w:r>
          </w:p>
        </w:tc>
      </w:tr>
      <w:tr w:rsidR="00C16A9D" w:rsidRPr="00EF07A3" w:rsidTr="00BE2CFE">
        <w:trPr>
          <w:trHeight w:val="375"/>
        </w:trPr>
        <w:tc>
          <w:tcPr>
            <w:tcW w:w="3443" w:type="dxa"/>
            <w:shd w:val="clear" w:color="auto" w:fill="auto"/>
            <w:noWrap/>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ЧАСТИНА ПРИБУТКУ</w:t>
            </w:r>
          </w:p>
        </w:tc>
        <w:tc>
          <w:tcPr>
            <w:tcW w:w="1820" w:type="dxa"/>
            <w:gridSpan w:val="2"/>
            <w:shd w:val="clear" w:color="auto" w:fill="auto"/>
            <w:noWrap/>
            <w:vAlign w:val="center"/>
          </w:tcPr>
          <w:p w:rsidR="00C16A9D" w:rsidRPr="00EF07A3" w:rsidRDefault="00C16A9D" w:rsidP="00BE2CFE">
            <w:pPr>
              <w:jc w:val="right"/>
              <w:rPr>
                <w:sz w:val="28"/>
                <w:szCs w:val="28"/>
              </w:rPr>
            </w:pPr>
            <w:r>
              <w:rPr>
                <w:sz w:val="28"/>
                <w:szCs w:val="28"/>
              </w:rPr>
              <w:t>103,7</w:t>
            </w:r>
          </w:p>
        </w:tc>
        <w:tc>
          <w:tcPr>
            <w:tcW w:w="1720" w:type="dxa"/>
            <w:shd w:val="clear" w:color="auto" w:fill="auto"/>
            <w:noWrap/>
            <w:vAlign w:val="center"/>
          </w:tcPr>
          <w:p w:rsidR="00C16A9D" w:rsidRPr="00EF07A3" w:rsidRDefault="00C16A9D" w:rsidP="00BE2CFE">
            <w:pPr>
              <w:jc w:val="right"/>
              <w:rPr>
                <w:bCs/>
                <w:sz w:val="28"/>
                <w:szCs w:val="28"/>
              </w:rPr>
            </w:pPr>
            <w:r>
              <w:rPr>
                <w:bCs/>
                <w:sz w:val="28"/>
                <w:szCs w:val="28"/>
              </w:rPr>
              <w:t>122,1</w:t>
            </w:r>
          </w:p>
        </w:tc>
        <w:tc>
          <w:tcPr>
            <w:tcW w:w="1500"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-18,4</w:t>
            </w:r>
          </w:p>
        </w:tc>
        <w:tc>
          <w:tcPr>
            <w:tcW w:w="1272"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85,0</w:t>
            </w:r>
            <w:r w:rsidRPr="00EF07A3">
              <w:rPr>
                <w:b/>
                <w:bCs/>
                <w:color w:val="0000FF"/>
                <w:sz w:val="28"/>
                <w:szCs w:val="28"/>
              </w:rPr>
              <w:t>%</w:t>
            </w:r>
          </w:p>
        </w:tc>
      </w:tr>
      <w:tr w:rsidR="00C16A9D" w:rsidRPr="00EF07A3" w:rsidTr="00BE2CFE">
        <w:trPr>
          <w:trHeight w:val="375"/>
        </w:trPr>
        <w:tc>
          <w:tcPr>
            <w:tcW w:w="3443" w:type="dxa"/>
            <w:shd w:val="clear" w:color="auto" w:fill="auto"/>
            <w:noWrap/>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 xml:space="preserve">РЕНТА (ВОДА </w:t>
            </w:r>
            <w:r>
              <w:rPr>
                <w:rFonts w:eastAsia="SimSun"/>
                <w:sz w:val="28"/>
                <w:szCs w:val="28"/>
                <w:lang w:val="ru-RU"/>
              </w:rPr>
              <w:t>70</w:t>
            </w:r>
            <w:r w:rsidRPr="00EF07A3">
              <w:rPr>
                <w:rFonts w:eastAsia="SimSun"/>
                <w:sz w:val="28"/>
                <w:szCs w:val="28"/>
                <w:lang w:val="ru-RU"/>
              </w:rPr>
              <w:t>% ДБ)</w:t>
            </w:r>
          </w:p>
        </w:tc>
        <w:tc>
          <w:tcPr>
            <w:tcW w:w="1820" w:type="dxa"/>
            <w:gridSpan w:val="2"/>
            <w:shd w:val="clear" w:color="auto" w:fill="auto"/>
            <w:noWrap/>
            <w:vAlign w:val="center"/>
          </w:tcPr>
          <w:p w:rsidR="00C16A9D" w:rsidRPr="00EF07A3" w:rsidRDefault="00C16A9D" w:rsidP="00BE2CFE">
            <w:pPr>
              <w:jc w:val="right"/>
              <w:rPr>
                <w:sz w:val="28"/>
                <w:szCs w:val="28"/>
              </w:rPr>
            </w:pPr>
            <w:r>
              <w:rPr>
                <w:sz w:val="28"/>
                <w:szCs w:val="28"/>
              </w:rPr>
              <w:t>1,5</w:t>
            </w:r>
          </w:p>
        </w:tc>
        <w:tc>
          <w:tcPr>
            <w:tcW w:w="1720" w:type="dxa"/>
            <w:shd w:val="clear" w:color="auto" w:fill="auto"/>
            <w:noWrap/>
            <w:vAlign w:val="center"/>
          </w:tcPr>
          <w:p w:rsidR="00C16A9D" w:rsidRPr="00EF07A3" w:rsidRDefault="00C16A9D" w:rsidP="00BE2CFE">
            <w:pPr>
              <w:jc w:val="right"/>
              <w:rPr>
                <w:bCs/>
                <w:sz w:val="28"/>
                <w:szCs w:val="28"/>
              </w:rPr>
            </w:pPr>
            <w:r>
              <w:rPr>
                <w:bCs/>
                <w:sz w:val="28"/>
                <w:szCs w:val="28"/>
              </w:rPr>
              <w:t>1,8</w:t>
            </w:r>
          </w:p>
        </w:tc>
        <w:tc>
          <w:tcPr>
            <w:tcW w:w="1500"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-0,2</w:t>
            </w:r>
          </w:p>
        </w:tc>
        <w:tc>
          <w:tcPr>
            <w:tcW w:w="1272"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86,6</w:t>
            </w:r>
            <w:r w:rsidRPr="00EF07A3">
              <w:rPr>
                <w:b/>
                <w:bCs/>
                <w:color w:val="0000FF"/>
                <w:sz w:val="28"/>
                <w:szCs w:val="28"/>
              </w:rPr>
              <w:t>%</w:t>
            </w:r>
          </w:p>
        </w:tc>
      </w:tr>
      <w:tr w:rsidR="00C16A9D" w:rsidRPr="00EF07A3" w:rsidTr="00BE2CFE">
        <w:trPr>
          <w:trHeight w:val="420"/>
        </w:trPr>
        <w:tc>
          <w:tcPr>
            <w:tcW w:w="3443" w:type="dxa"/>
            <w:shd w:val="clear" w:color="auto" w:fill="auto"/>
            <w:noWrap/>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ПДФО ДБ, в т.ч. :</w:t>
            </w:r>
          </w:p>
        </w:tc>
        <w:tc>
          <w:tcPr>
            <w:tcW w:w="1820" w:type="dxa"/>
            <w:gridSpan w:val="2"/>
            <w:shd w:val="clear" w:color="auto" w:fill="auto"/>
            <w:noWrap/>
            <w:vAlign w:val="center"/>
          </w:tcPr>
          <w:p w:rsidR="00C16A9D" w:rsidRPr="00EF07A3" w:rsidRDefault="00C16A9D" w:rsidP="00BE2CFE">
            <w:pPr>
              <w:jc w:val="right"/>
              <w:rPr>
                <w:sz w:val="28"/>
                <w:szCs w:val="28"/>
              </w:rPr>
            </w:pPr>
            <w:r>
              <w:rPr>
                <w:sz w:val="28"/>
                <w:szCs w:val="28"/>
              </w:rPr>
              <w:t>833,9</w:t>
            </w:r>
          </w:p>
        </w:tc>
        <w:tc>
          <w:tcPr>
            <w:tcW w:w="1720" w:type="dxa"/>
            <w:shd w:val="clear" w:color="auto" w:fill="auto"/>
            <w:noWrap/>
            <w:vAlign w:val="center"/>
          </w:tcPr>
          <w:p w:rsidR="00C16A9D" w:rsidRPr="00EF07A3" w:rsidRDefault="00C16A9D" w:rsidP="00BE2CFE">
            <w:pPr>
              <w:jc w:val="right"/>
              <w:rPr>
                <w:bCs/>
                <w:sz w:val="28"/>
                <w:szCs w:val="28"/>
              </w:rPr>
            </w:pPr>
            <w:r>
              <w:rPr>
                <w:bCs/>
                <w:sz w:val="28"/>
                <w:szCs w:val="28"/>
              </w:rPr>
              <w:t>8739</w:t>
            </w:r>
          </w:p>
        </w:tc>
        <w:tc>
          <w:tcPr>
            <w:tcW w:w="1500"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-40</w:t>
            </w:r>
          </w:p>
        </w:tc>
        <w:tc>
          <w:tcPr>
            <w:tcW w:w="1272"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95,4</w:t>
            </w:r>
            <w:r w:rsidRPr="00EF07A3">
              <w:rPr>
                <w:b/>
                <w:bCs/>
                <w:color w:val="0000FF"/>
                <w:sz w:val="28"/>
                <w:szCs w:val="28"/>
              </w:rPr>
              <w:t>%</w:t>
            </w:r>
          </w:p>
        </w:tc>
      </w:tr>
      <w:tr w:rsidR="00C16A9D" w:rsidRPr="00EF07A3" w:rsidTr="00BE2CFE">
        <w:trPr>
          <w:trHeight w:val="525"/>
        </w:trPr>
        <w:tc>
          <w:tcPr>
            <w:tcW w:w="3443" w:type="dxa"/>
            <w:shd w:val="clear" w:color="auto" w:fill="auto"/>
            <w:noWrap/>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ВІЙСЬКОВИЙ ЗБІР</w:t>
            </w:r>
          </w:p>
        </w:tc>
        <w:tc>
          <w:tcPr>
            <w:tcW w:w="1820" w:type="dxa"/>
            <w:gridSpan w:val="2"/>
            <w:shd w:val="clear" w:color="auto" w:fill="auto"/>
            <w:noWrap/>
            <w:vAlign w:val="center"/>
          </w:tcPr>
          <w:p w:rsidR="00C16A9D" w:rsidRPr="00EF07A3" w:rsidRDefault="00C16A9D" w:rsidP="00BE2CFE">
            <w:pPr>
              <w:jc w:val="right"/>
              <w:rPr>
                <w:sz w:val="28"/>
                <w:szCs w:val="28"/>
              </w:rPr>
            </w:pPr>
            <w:r>
              <w:rPr>
                <w:sz w:val="28"/>
                <w:szCs w:val="28"/>
              </w:rPr>
              <w:t>603,2</w:t>
            </w:r>
          </w:p>
        </w:tc>
        <w:tc>
          <w:tcPr>
            <w:tcW w:w="1720" w:type="dxa"/>
            <w:shd w:val="clear" w:color="auto" w:fill="auto"/>
            <w:noWrap/>
            <w:vAlign w:val="center"/>
          </w:tcPr>
          <w:p w:rsidR="00C16A9D" w:rsidRPr="00EF07A3" w:rsidRDefault="00C16A9D" w:rsidP="00BE2CFE">
            <w:pPr>
              <w:jc w:val="right"/>
              <w:rPr>
                <w:bCs/>
                <w:sz w:val="28"/>
                <w:szCs w:val="28"/>
              </w:rPr>
            </w:pPr>
            <w:r>
              <w:rPr>
                <w:bCs/>
                <w:sz w:val="28"/>
                <w:szCs w:val="28"/>
              </w:rPr>
              <w:t>577,1</w:t>
            </w:r>
          </w:p>
        </w:tc>
        <w:tc>
          <w:tcPr>
            <w:tcW w:w="1500"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26,1</w:t>
            </w:r>
          </w:p>
        </w:tc>
        <w:tc>
          <w:tcPr>
            <w:tcW w:w="1272" w:type="dxa"/>
            <w:shd w:val="clear" w:color="auto" w:fill="auto"/>
            <w:noWrap/>
            <w:vAlign w:val="center"/>
          </w:tcPr>
          <w:p w:rsidR="00C16A9D" w:rsidRPr="00EF07A3" w:rsidRDefault="00C16A9D" w:rsidP="00BE2CFE">
            <w:pPr>
              <w:jc w:val="right"/>
              <w:rPr>
                <w:b/>
                <w:bCs/>
                <w:color w:val="0000FF"/>
                <w:sz w:val="28"/>
                <w:szCs w:val="28"/>
              </w:rPr>
            </w:pPr>
            <w:r>
              <w:rPr>
                <w:b/>
                <w:bCs/>
                <w:color w:val="0000FF"/>
                <w:sz w:val="28"/>
                <w:szCs w:val="28"/>
              </w:rPr>
              <w:t>104,5</w:t>
            </w:r>
            <w:r w:rsidRPr="00EF07A3">
              <w:rPr>
                <w:b/>
                <w:bCs/>
                <w:color w:val="0000FF"/>
                <w:sz w:val="28"/>
                <w:szCs w:val="28"/>
              </w:rPr>
              <w:t>%</w:t>
            </w:r>
          </w:p>
        </w:tc>
      </w:tr>
      <w:tr w:rsidR="00C16A9D" w:rsidRPr="00EF07A3" w:rsidTr="00BE2CFE">
        <w:trPr>
          <w:trHeight w:val="300"/>
        </w:trPr>
        <w:tc>
          <w:tcPr>
            <w:tcW w:w="3450" w:type="dxa"/>
            <w:gridSpan w:val="2"/>
            <w:vAlign w:val="center"/>
          </w:tcPr>
          <w:p w:rsidR="00C16A9D" w:rsidRPr="00EF07A3" w:rsidRDefault="00C16A9D" w:rsidP="00BE2CFE">
            <w:pPr>
              <w:jc w:val="center"/>
              <w:rPr>
                <w:rFonts w:eastAsia="SimSun"/>
                <w:sz w:val="28"/>
                <w:szCs w:val="28"/>
                <w:lang w:val="ru-RU"/>
              </w:rPr>
            </w:pPr>
            <w:r w:rsidRPr="00EF07A3">
              <w:rPr>
                <w:rFonts w:eastAsia="SimSun"/>
                <w:sz w:val="28"/>
                <w:szCs w:val="28"/>
                <w:lang w:val="ru-RU"/>
              </w:rPr>
              <w:t>ПДФО ЗАРПЛАТА 2</w:t>
            </w:r>
            <w:r>
              <w:rPr>
                <w:rFonts w:eastAsia="SimSun"/>
                <w:sz w:val="28"/>
                <w:szCs w:val="28"/>
                <w:lang w:val="ru-RU"/>
              </w:rPr>
              <w:t>1</w:t>
            </w:r>
            <w:r w:rsidRPr="00EF07A3">
              <w:rPr>
                <w:rFonts w:eastAsia="SimSun"/>
                <w:sz w:val="28"/>
                <w:szCs w:val="28"/>
                <w:lang w:val="ru-RU"/>
              </w:rPr>
              <w:t>%</w:t>
            </w:r>
          </w:p>
        </w:tc>
        <w:tc>
          <w:tcPr>
            <w:tcW w:w="1813" w:type="dxa"/>
            <w:vAlign w:val="center"/>
          </w:tcPr>
          <w:p w:rsidR="00C16A9D" w:rsidRPr="00EF07A3" w:rsidRDefault="00C16A9D" w:rsidP="00BE2CFE">
            <w:pPr>
              <w:jc w:val="right"/>
              <w:rPr>
                <w:sz w:val="28"/>
                <w:szCs w:val="28"/>
              </w:rPr>
            </w:pPr>
            <w:r>
              <w:rPr>
                <w:sz w:val="28"/>
                <w:szCs w:val="28"/>
              </w:rPr>
              <w:t>230,8</w:t>
            </w:r>
          </w:p>
        </w:tc>
        <w:tc>
          <w:tcPr>
            <w:tcW w:w="1720" w:type="dxa"/>
            <w:vAlign w:val="center"/>
          </w:tcPr>
          <w:p w:rsidR="00C16A9D" w:rsidRPr="00EF07A3" w:rsidRDefault="00C16A9D" w:rsidP="00BE2CFE">
            <w:pPr>
              <w:jc w:val="right"/>
              <w:rPr>
                <w:bCs/>
                <w:sz w:val="28"/>
                <w:szCs w:val="28"/>
              </w:rPr>
            </w:pPr>
            <w:r>
              <w:rPr>
                <w:bCs/>
                <w:sz w:val="28"/>
                <w:szCs w:val="28"/>
              </w:rPr>
              <w:t>296,8</w:t>
            </w:r>
          </w:p>
        </w:tc>
        <w:tc>
          <w:tcPr>
            <w:tcW w:w="1500" w:type="dxa"/>
            <w:vAlign w:val="center"/>
          </w:tcPr>
          <w:p w:rsidR="00C16A9D" w:rsidRPr="00EF07A3" w:rsidRDefault="00C16A9D" w:rsidP="00BE2CFE">
            <w:pPr>
              <w:jc w:val="right"/>
              <w:rPr>
                <w:b/>
                <w:bCs/>
                <w:color w:val="0000FF"/>
                <w:sz w:val="28"/>
                <w:szCs w:val="28"/>
              </w:rPr>
            </w:pPr>
            <w:r>
              <w:rPr>
                <w:b/>
                <w:bCs/>
                <w:color w:val="0000FF"/>
                <w:sz w:val="28"/>
                <w:szCs w:val="28"/>
              </w:rPr>
              <w:t>-66,1</w:t>
            </w:r>
          </w:p>
        </w:tc>
        <w:tc>
          <w:tcPr>
            <w:tcW w:w="1272" w:type="dxa"/>
            <w:vAlign w:val="center"/>
          </w:tcPr>
          <w:p w:rsidR="00C16A9D" w:rsidRPr="00EF07A3" w:rsidRDefault="00C16A9D" w:rsidP="00BE2CFE">
            <w:pPr>
              <w:jc w:val="right"/>
              <w:rPr>
                <w:b/>
                <w:bCs/>
                <w:color w:val="0000FF"/>
                <w:sz w:val="28"/>
                <w:szCs w:val="28"/>
              </w:rPr>
            </w:pPr>
            <w:r>
              <w:rPr>
                <w:b/>
                <w:bCs/>
                <w:color w:val="0000FF"/>
                <w:sz w:val="28"/>
                <w:szCs w:val="28"/>
              </w:rPr>
              <w:t>77,7</w:t>
            </w:r>
            <w:r w:rsidRPr="00EF07A3">
              <w:rPr>
                <w:b/>
                <w:bCs/>
                <w:color w:val="0000FF"/>
                <w:sz w:val="28"/>
                <w:szCs w:val="28"/>
              </w:rPr>
              <w:t>%</w:t>
            </w:r>
          </w:p>
        </w:tc>
      </w:tr>
    </w:tbl>
    <w:p w:rsidR="009C486E" w:rsidRDefault="009C486E" w:rsidP="00C16A9D">
      <w:pPr>
        <w:ind w:firstLine="567"/>
        <w:jc w:val="both"/>
        <w:rPr>
          <w:sz w:val="28"/>
          <w:szCs w:val="28"/>
        </w:rPr>
      </w:pPr>
    </w:p>
    <w:p w:rsidR="00C16A9D" w:rsidRDefault="00C16A9D" w:rsidP="00C16A9D">
      <w:pPr>
        <w:ind w:firstLine="567"/>
        <w:jc w:val="both"/>
        <w:rPr>
          <w:sz w:val="28"/>
          <w:szCs w:val="28"/>
        </w:rPr>
      </w:pPr>
      <w:r w:rsidRPr="00E92A27">
        <w:rPr>
          <w:sz w:val="28"/>
          <w:szCs w:val="28"/>
        </w:rPr>
        <w:t xml:space="preserve">У 2022 році </w:t>
      </w:r>
      <w:r w:rsidR="0008538C">
        <w:rPr>
          <w:sz w:val="28"/>
          <w:szCs w:val="28"/>
        </w:rPr>
        <w:t>Міжрегіональним</w:t>
      </w:r>
      <w:r w:rsidRPr="00E92A27">
        <w:rPr>
          <w:sz w:val="28"/>
          <w:szCs w:val="28"/>
          <w:lang w:eastAsia="en-US"/>
        </w:rPr>
        <w:t xml:space="preserve"> управлінням</w:t>
      </w:r>
      <w:r w:rsidRPr="00E92A27">
        <w:rPr>
          <w:sz w:val="28"/>
          <w:szCs w:val="28"/>
        </w:rPr>
        <w:t xml:space="preserve"> забезпечено приріст надходжень до загального фонду Державного бюджету порівняно з 2021 роком на </w:t>
      </w:r>
      <w:r w:rsidR="00462278">
        <w:rPr>
          <w:sz w:val="28"/>
          <w:szCs w:val="28"/>
        </w:rPr>
        <w:t xml:space="preserve">             </w:t>
      </w:r>
      <w:r w:rsidRPr="00E92A27">
        <w:rPr>
          <w:sz w:val="28"/>
          <w:szCs w:val="28"/>
        </w:rPr>
        <w:t>1 696 млн грн або на 11,9 відс., зокрема: по ПДВ на 598 млн грн або на 6,9 відс., по</w:t>
      </w:r>
      <w:r>
        <w:rPr>
          <w:sz w:val="28"/>
          <w:szCs w:val="28"/>
        </w:rPr>
        <w:t xml:space="preserve"> акцизному податку на </w:t>
      </w:r>
      <w:r>
        <w:rPr>
          <w:sz w:val="28"/>
          <w:szCs w:val="28"/>
          <w:lang w:val="en-US"/>
        </w:rPr>
        <w:t>10,3</w:t>
      </w:r>
      <w:r>
        <w:rPr>
          <w:sz w:val="28"/>
          <w:szCs w:val="28"/>
        </w:rPr>
        <w:t xml:space="preserve"> млн грн або на 3 відс., по податку на прибуток </w:t>
      </w:r>
      <w:r w:rsidR="0008538C">
        <w:rPr>
          <w:sz w:val="28"/>
          <w:szCs w:val="28"/>
        </w:rPr>
        <w:t>на</w:t>
      </w:r>
      <w:r>
        <w:rPr>
          <w:sz w:val="28"/>
          <w:szCs w:val="28"/>
        </w:rPr>
        <w:t xml:space="preserve"> 988,7 млн грн або на 23,5 відсотки. (Таблиця № 2, Діаграма № 1).</w:t>
      </w:r>
    </w:p>
    <w:p w:rsidR="00C16A9D" w:rsidRDefault="00C16A9D" w:rsidP="00C16A9D">
      <w:pPr>
        <w:ind w:firstLine="708"/>
        <w:jc w:val="right"/>
        <w:rPr>
          <w:b/>
          <w:sz w:val="28"/>
          <w:szCs w:val="28"/>
        </w:rPr>
      </w:pPr>
      <w:r>
        <w:rPr>
          <w:sz w:val="28"/>
          <w:szCs w:val="28"/>
        </w:rPr>
        <w:t xml:space="preserve">Таблиця № 2 </w:t>
      </w:r>
    </w:p>
    <w:p w:rsidR="00C16A9D" w:rsidRDefault="00C16A9D" w:rsidP="00C16A9D">
      <w:pPr>
        <w:ind w:firstLine="708"/>
        <w:jc w:val="center"/>
        <w:rPr>
          <w:sz w:val="28"/>
          <w:szCs w:val="28"/>
        </w:rPr>
      </w:pPr>
      <w:r>
        <w:rPr>
          <w:b/>
          <w:sz w:val="28"/>
          <w:szCs w:val="28"/>
        </w:rPr>
        <w:t>Приріст надходжень до загального фонду Державного бюджету грошовими коштами у 2022 році</w:t>
      </w:r>
    </w:p>
    <w:p w:rsidR="00C16A9D" w:rsidRDefault="000F3D1D" w:rsidP="00C16A9D">
      <w:pPr>
        <w:ind w:firstLine="708"/>
        <w:jc w:val="right"/>
        <w:rPr>
          <w:b/>
          <w:bCs/>
          <w:sz w:val="28"/>
          <w:szCs w:val="28"/>
          <w:u w:val="single"/>
          <w:lang w:eastAsia="ru-RU"/>
        </w:rPr>
      </w:pPr>
      <w:r>
        <w:rPr>
          <w:sz w:val="28"/>
          <w:szCs w:val="28"/>
        </w:rPr>
        <w:t xml:space="preserve">млн </w:t>
      </w:r>
      <w:r w:rsidR="00C16A9D">
        <w:rPr>
          <w:sz w:val="28"/>
          <w:szCs w:val="28"/>
        </w:rPr>
        <w:t>грн</w:t>
      </w:r>
    </w:p>
    <w:tbl>
      <w:tblPr>
        <w:tblW w:w="9833" w:type="dxa"/>
        <w:tblInd w:w="-5" w:type="dxa"/>
        <w:tblLayout w:type="fixed"/>
        <w:tblLook w:val="0000"/>
      </w:tblPr>
      <w:tblGrid>
        <w:gridCol w:w="3374"/>
        <w:gridCol w:w="1599"/>
        <w:gridCol w:w="1620"/>
        <w:gridCol w:w="1620"/>
        <w:gridCol w:w="1620"/>
      </w:tblGrid>
      <w:tr w:rsidR="00C16A9D" w:rsidRPr="00EF07A3" w:rsidTr="00BE2CFE">
        <w:trPr>
          <w:trHeight w:val="970"/>
        </w:trPr>
        <w:tc>
          <w:tcPr>
            <w:tcW w:w="3374" w:type="dxa"/>
            <w:tcBorders>
              <w:top w:val="single" w:sz="4" w:space="0" w:color="000000"/>
              <w:left w:val="single" w:sz="4" w:space="0" w:color="000000"/>
              <w:bottom w:val="single" w:sz="4" w:space="0" w:color="000000"/>
            </w:tcBorders>
            <w:shd w:val="clear" w:color="auto" w:fill="auto"/>
            <w:vAlign w:val="center"/>
          </w:tcPr>
          <w:p w:rsidR="00C16A9D" w:rsidRPr="00F94457" w:rsidRDefault="00BD4EA7" w:rsidP="00BE2CFE">
            <w:pPr>
              <w:jc w:val="center"/>
              <w:rPr>
                <w:sz w:val="28"/>
                <w:szCs w:val="28"/>
                <w:lang w:eastAsia="ru-RU"/>
              </w:rPr>
            </w:pPr>
            <w:r>
              <w:rPr>
                <w:sz w:val="28"/>
                <w:szCs w:val="28"/>
                <w:lang w:eastAsia="ru-RU"/>
              </w:rPr>
              <w:t>Міжрегіональне</w:t>
            </w:r>
            <w:r w:rsidR="00C16A9D" w:rsidRPr="00F94457">
              <w:rPr>
                <w:sz w:val="28"/>
                <w:szCs w:val="28"/>
                <w:lang w:eastAsia="ru-RU"/>
              </w:rPr>
              <w:t xml:space="preserve"> </w:t>
            </w:r>
            <w:r w:rsidR="00C16A9D" w:rsidRPr="00F94457">
              <w:rPr>
                <w:sz w:val="28"/>
                <w:szCs w:val="28"/>
                <w:lang w:eastAsia="en-US"/>
              </w:rPr>
              <w:t>управління</w:t>
            </w:r>
            <w:r w:rsidR="00C16A9D" w:rsidRPr="00F94457">
              <w:rPr>
                <w:rFonts w:eastAsia="SimSun"/>
                <w:bCs/>
                <w:sz w:val="28"/>
                <w:szCs w:val="28"/>
                <w:u w:val="single"/>
                <w:lang w:val="ru-RU"/>
              </w:rPr>
              <w:t xml:space="preserve"> </w:t>
            </w:r>
          </w:p>
        </w:tc>
        <w:tc>
          <w:tcPr>
            <w:tcW w:w="1599" w:type="dxa"/>
            <w:tcBorders>
              <w:top w:val="single" w:sz="4" w:space="0" w:color="000000"/>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lang w:eastAsia="ru-RU"/>
              </w:rPr>
            </w:pPr>
            <w:r w:rsidRPr="00EF07A3">
              <w:rPr>
                <w:sz w:val="28"/>
                <w:szCs w:val="28"/>
                <w:lang w:eastAsia="ru-RU"/>
              </w:rPr>
              <w:t>Факт 202</w:t>
            </w:r>
            <w:r>
              <w:rPr>
                <w:sz w:val="28"/>
                <w:szCs w:val="28"/>
                <w:lang w:eastAsia="ru-RU"/>
              </w:rPr>
              <w:t>1</w:t>
            </w:r>
            <w:r w:rsidRPr="00EF07A3">
              <w:rPr>
                <w:sz w:val="28"/>
                <w:szCs w:val="28"/>
                <w:lang w:eastAsia="ru-RU"/>
              </w:rPr>
              <w:t xml:space="preserve"> року</w:t>
            </w:r>
          </w:p>
        </w:tc>
        <w:tc>
          <w:tcPr>
            <w:tcW w:w="1620" w:type="dxa"/>
            <w:tcBorders>
              <w:top w:val="single" w:sz="4" w:space="0" w:color="000000"/>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lang w:eastAsia="ru-RU"/>
              </w:rPr>
            </w:pPr>
            <w:r w:rsidRPr="00EF07A3">
              <w:rPr>
                <w:sz w:val="28"/>
                <w:szCs w:val="28"/>
                <w:lang w:eastAsia="ru-RU"/>
              </w:rPr>
              <w:t>Факт 202</w:t>
            </w:r>
            <w:r>
              <w:rPr>
                <w:sz w:val="28"/>
                <w:szCs w:val="28"/>
                <w:lang w:eastAsia="ru-RU"/>
              </w:rPr>
              <w:t>2</w:t>
            </w:r>
            <w:r w:rsidRPr="00EF07A3">
              <w:rPr>
                <w:sz w:val="28"/>
                <w:szCs w:val="28"/>
                <w:lang w:eastAsia="ru-RU"/>
              </w:rPr>
              <w:t xml:space="preserve"> року</w:t>
            </w:r>
          </w:p>
        </w:tc>
        <w:tc>
          <w:tcPr>
            <w:tcW w:w="1620" w:type="dxa"/>
            <w:tcBorders>
              <w:top w:val="single" w:sz="4" w:space="0" w:color="000000"/>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lang w:eastAsia="ru-RU"/>
              </w:rPr>
            </w:pPr>
            <w:r w:rsidRPr="00EF07A3">
              <w:rPr>
                <w:sz w:val="28"/>
                <w:szCs w:val="28"/>
                <w:lang w:eastAsia="ru-RU"/>
              </w:rPr>
              <w:t>Приріст 202</w:t>
            </w:r>
            <w:r>
              <w:rPr>
                <w:sz w:val="28"/>
                <w:szCs w:val="28"/>
                <w:lang w:eastAsia="ru-RU"/>
              </w:rPr>
              <w:t>2 до 2021</w:t>
            </w:r>
            <w:r w:rsidRPr="00EF07A3">
              <w:rPr>
                <w:sz w:val="28"/>
                <w:szCs w:val="28"/>
                <w:lang w:eastAsia="ru-RU"/>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A9D" w:rsidRPr="00EF07A3" w:rsidRDefault="00C16A9D" w:rsidP="00BE2CFE">
            <w:pPr>
              <w:jc w:val="center"/>
            </w:pPr>
            <w:r>
              <w:rPr>
                <w:sz w:val="28"/>
                <w:szCs w:val="28"/>
                <w:lang w:eastAsia="ru-RU"/>
              </w:rPr>
              <w:t xml:space="preserve"> Темпи п</w:t>
            </w:r>
            <w:r w:rsidRPr="00EF07A3">
              <w:rPr>
                <w:sz w:val="28"/>
                <w:szCs w:val="28"/>
                <w:lang w:eastAsia="ru-RU"/>
              </w:rPr>
              <w:t>рир</w:t>
            </w:r>
            <w:r>
              <w:rPr>
                <w:sz w:val="28"/>
                <w:szCs w:val="28"/>
                <w:lang w:eastAsia="ru-RU"/>
              </w:rPr>
              <w:t>о</w:t>
            </w:r>
            <w:r w:rsidRPr="00EF07A3">
              <w:rPr>
                <w:sz w:val="28"/>
                <w:szCs w:val="28"/>
                <w:lang w:eastAsia="ru-RU"/>
              </w:rPr>
              <w:t>ст</w:t>
            </w:r>
            <w:r>
              <w:rPr>
                <w:sz w:val="28"/>
                <w:szCs w:val="28"/>
                <w:lang w:eastAsia="ru-RU"/>
              </w:rPr>
              <w:t>у</w:t>
            </w:r>
            <w:r w:rsidRPr="00EF07A3">
              <w:rPr>
                <w:sz w:val="28"/>
                <w:szCs w:val="28"/>
                <w:lang w:eastAsia="ru-RU"/>
              </w:rPr>
              <w:t xml:space="preserve"> 202</w:t>
            </w:r>
            <w:r>
              <w:rPr>
                <w:sz w:val="28"/>
                <w:szCs w:val="28"/>
                <w:lang w:eastAsia="ru-RU"/>
              </w:rPr>
              <w:t>2</w:t>
            </w:r>
            <w:r w:rsidRPr="00EF07A3">
              <w:rPr>
                <w:sz w:val="28"/>
                <w:szCs w:val="28"/>
                <w:lang w:eastAsia="ru-RU"/>
              </w:rPr>
              <w:t xml:space="preserve"> до 202</w:t>
            </w:r>
            <w:r>
              <w:rPr>
                <w:sz w:val="28"/>
                <w:szCs w:val="28"/>
                <w:lang w:eastAsia="ru-RU"/>
              </w:rPr>
              <w:t>1</w:t>
            </w:r>
            <w:r w:rsidRPr="00EF07A3">
              <w:rPr>
                <w:sz w:val="28"/>
                <w:szCs w:val="28"/>
                <w:lang w:eastAsia="ru-RU"/>
              </w:rPr>
              <w:t>, (%)</w:t>
            </w:r>
          </w:p>
        </w:tc>
      </w:tr>
      <w:tr w:rsidR="00C16A9D" w:rsidRPr="00EF07A3" w:rsidTr="00BE2CFE">
        <w:trPr>
          <w:trHeight w:val="738"/>
        </w:trPr>
        <w:tc>
          <w:tcPr>
            <w:tcW w:w="3374" w:type="dxa"/>
            <w:tcBorders>
              <w:left w:val="single" w:sz="4" w:space="0" w:color="000000"/>
              <w:bottom w:val="single" w:sz="4" w:space="0" w:color="000000"/>
            </w:tcBorders>
            <w:shd w:val="clear" w:color="auto" w:fill="auto"/>
            <w:vAlign w:val="center"/>
          </w:tcPr>
          <w:p w:rsidR="00C16A9D" w:rsidRPr="00EF07A3" w:rsidRDefault="00C16A9D" w:rsidP="00BE2CFE">
            <w:pPr>
              <w:ind w:right="-108"/>
              <w:jc w:val="center"/>
              <w:rPr>
                <w:b/>
                <w:bCs/>
                <w:sz w:val="28"/>
                <w:szCs w:val="28"/>
                <w:lang w:val="en-US" w:eastAsia="ru-RU"/>
              </w:rPr>
            </w:pPr>
            <w:r w:rsidRPr="00EF07A3">
              <w:rPr>
                <w:b/>
                <w:bCs/>
                <w:sz w:val="28"/>
                <w:szCs w:val="28"/>
                <w:lang w:eastAsia="ru-RU"/>
              </w:rPr>
              <w:t>ЗАГАЛЬНИЙ ФОНД ДБ</w:t>
            </w:r>
          </w:p>
        </w:tc>
        <w:tc>
          <w:tcPr>
            <w:tcW w:w="1599" w:type="dxa"/>
            <w:tcBorders>
              <w:top w:val="single" w:sz="4" w:space="0" w:color="000000"/>
              <w:left w:val="single" w:sz="4" w:space="0" w:color="000000"/>
              <w:bottom w:val="single" w:sz="4" w:space="0" w:color="000000"/>
            </w:tcBorders>
            <w:shd w:val="clear" w:color="auto" w:fill="auto"/>
            <w:vAlign w:val="center"/>
          </w:tcPr>
          <w:p w:rsidR="00C16A9D" w:rsidRPr="00EF07A3" w:rsidRDefault="00C16A9D" w:rsidP="00BE2CFE">
            <w:pPr>
              <w:jc w:val="center"/>
              <w:rPr>
                <w:b/>
                <w:bCs/>
                <w:sz w:val="28"/>
                <w:szCs w:val="28"/>
              </w:rPr>
            </w:pPr>
            <w:r>
              <w:rPr>
                <w:b/>
                <w:bCs/>
                <w:sz w:val="28"/>
                <w:szCs w:val="28"/>
              </w:rPr>
              <w:t>14 228,2</w:t>
            </w:r>
          </w:p>
        </w:tc>
        <w:tc>
          <w:tcPr>
            <w:tcW w:w="1620" w:type="dxa"/>
            <w:tcBorders>
              <w:top w:val="single" w:sz="4" w:space="0" w:color="000000"/>
              <w:left w:val="single" w:sz="4" w:space="0" w:color="000000"/>
              <w:bottom w:val="single" w:sz="4" w:space="0" w:color="000000"/>
            </w:tcBorders>
            <w:shd w:val="clear" w:color="auto" w:fill="auto"/>
            <w:vAlign w:val="center"/>
          </w:tcPr>
          <w:p w:rsidR="00C16A9D" w:rsidRPr="00EF07A3" w:rsidRDefault="00C16A9D" w:rsidP="00BE2CFE">
            <w:pPr>
              <w:jc w:val="center"/>
              <w:rPr>
                <w:b/>
                <w:bCs/>
                <w:sz w:val="28"/>
                <w:szCs w:val="28"/>
              </w:rPr>
            </w:pPr>
            <w:r>
              <w:rPr>
                <w:b/>
                <w:bCs/>
                <w:sz w:val="28"/>
                <w:szCs w:val="28"/>
              </w:rPr>
              <w:t>15 924,2</w:t>
            </w:r>
          </w:p>
        </w:tc>
        <w:tc>
          <w:tcPr>
            <w:tcW w:w="1620" w:type="dxa"/>
            <w:tcBorders>
              <w:top w:val="single" w:sz="4" w:space="0" w:color="000000"/>
              <w:left w:val="single" w:sz="4" w:space="0" w:color="000000"/>
              <w:bottom w:val="single" w:sz="4" w:space="0" w:color="000000"/>
            </w:tcBorders>
            <w:shd w:val="clear" w:color="auto" w:fill="auto"/>
            <w:vAlign w:val="center"/>
          </w:tcPr>
          <w:p w:rsidR="00C16A9D" w:rsidRPr="00EF07A3" w:rsidRDefault="00C16A9D" w:rsidP="00BE2CFE">
            <w:pPr>
              <w:jc w:val="center"/>
              <w:rPr>
                <w:b/>
                <w:bCs/>
                <w:sz w:val="28"/>
                <w:szCs w:val="28"/>
              </w:rPr>
            </w:pPr>
            <w:r>
              <w:rPr>
                <w:b/>
                <w:bCs/>
                <w:sz w:val="28"/>
                <w:szCs w:val="28"/>
              </w:rPr>
              <w:t>1 695,9</w:t>
            </w:r>
          </w:p>
        </w:tc>
        <w:tc>
          <w:tcPr>
            <w:tcW w:w="1620" w:type="dxa"/>
            <w:tcBorders>
              <w:left w:val="single" w:sz="4" w:space="0" w:color="000000"/>
              <w:bottom w:val="single" w:sz="4" w:space="0" w:color="000000"/>
              <w:right w:val="single" w:sz="4" w:space="0" w:color="000000"/>
            </w:tcBorders>
            <w:shd w:val="clear" w:color="auto" w:fill="auto"/>
            <w:vAlign w:val="center"/>
          </w:tcPr>
          <w:p w:rsidR="00C16A9D" w:rsidRPr="00EF07A3" w:rsidRDefault="00C16A9D" w:rsidP="00BE2CFE">
            <w:pPr>
              <w:jc w:val="center"/>
              <w:rPr>
                <w:b/>
                <w:bCs/>
                <w:sz w:val="28"/>
                <w:szCs w:val="28"/>
              </w:rPr>
            </w:pPr>
            <w:r>
              <w:rPr>
                <w:b/>
                <w:bCs/>
                <w:sz w:val="28"/>
                <w:szCs w:val="28"/>
              </w:rPr>
              <w:t>111,9</w:t>
            </w:r>
          </w:p>
        </w:tc>
      </w:tr>
      <w:tr w:rsidR="00C16A9D" w:rsidRPr="00EF07A3" w:rsidTr="00BE2CFE">
        <w:trPr>
          <w:trHeight w:val="541"/>
        </w:trPr>
        <w:tc>
          <w:tcPr>
            <w:tcW w:w="3374"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lang w:val="en-US" w:eastAsia="ru-RU"/>
              </w:rPr>
            </w:pPr>
            <w:r w:rsidRPr="00EF07A3">
              <w:rPr>
                <w:sz w:val="28"/>
                <w:szCs w:val="28"/>
                <w:lang w:eastAsia="ru-RU"/>
              </w:rPr>
              <w:t>ПДВ ЗБІР</w:t>
            </w:r>
          </w:p>
        </w:tc>
        <w:tc>
          <w:tcPr>
            <w:tcW w:w="1599"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rPr>
            </w:pPr>
            <w:r>
              <w:rPr>
                <w:sz w:val="28"/>
                <w:szCs w:val="28"/>
              </w:rPr>
              <w:t>8 693,5</w:t>
            </w:r>
          </w:p>
        </w:tc>
        <w:tc>
          <w:tcPr>
            <w:tcW w:w="1620"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rPr>
            </w:pPr>
            <w:r>
              <w:rPr>
                <w:sz w:val="28"/>
                <w:szCs w:val="28"/>
              </w:rPr>
              <w:t>9 291,5</w:t>
            </w:r>
          </w:p>
        </w:tc>
        <w:tc>
          <w:tcPr>
            <w:tcW w:w="1620" w:type="dxa"/>
            <w:tcBorders>
              <w:left w:val="single" w:sz="4" w:space="0" w:color="000000"/>
              <w:bottom w:val="single" w:sz="4" w:space="0" w:color="000000"/>
            </w:tcBorders>
            <w:shd w:val="clear" w:color="auto" w:fill="auto"/>
            <w:vAlign w:val="center"/>
          </w:tcPr>
          <w:p w:rsidR="00C16A9D" w:rsidRPr="00EF07A3" w:rsidRDefault="00C16A9D" w:rsidP="00BE2CFE">
            <w:pPr>
              <w:jc w:val="center"/>
              <w:rPr>
                <w:b/>
                <w:bCs/>
                <w:color w:val="0000FF"/>
                <w:sz w:val="28"/>
                <w:szCs w:val="28"/>
              </w:rPr>
            </w:pPr>
            <w:r>
              <w:rPr>
                <w:b/>
                <w:bCs/>
                <w:color w:val="0000FF"/>
                <w:sz w:val="28"/>
                <w:szCs w:val="28"/>
              </w:rPr>
              <w:t>598</w:t>
            </w:r>
          </w:p>
        </w:tc>
        <w:tc>
          <w:tcPr>
            <w:tcW w:w="1620" w:type="dxa"/>
            <w:tcBorders>
              <w:left w:val="single" w:sz="4" w:space="0" w:color="000000"/>
              <w:bottom w:val="single" w:sz="4" w:space="0" w:color="000000"/>
              <w:right w:val="single" w:sz="4" w:space="0" w:color="000000"/>
            </w:tcBorders>
            <w:shd w:val="clear" w:color="auto" w:fill="auto"/>
            <w:vAlign w:val="center"/>
          </w:tcPr>
          <w:p w:rsidR="00C16A9D" w:rsidRPr="00EF07A3" w:rsidRDefault="00C16A9D" w:rsidP="00BE2CFE">
            <w:pPr>
              <w:jc w:val="center"/>
              <w:rPr>
                <w:b/>
                <w:bCs/>
                <w:color w:val="0000FF"/>
                <w:sz w:val="28"/>
                <w:szCs w:val="28"/>
              </w:rPr>
            </w:pPr>
            <w:r>
              <w:rPr>
                <w:b/>
                <w:bCs/>
                <w:color w:val="0000FF"/>
                <w:sz w:val="28"/>
                <w:szCs w:val="28"/>
              </w:rPr>
              <w:t>106,9</w:t>
            </w:r>
          </w:p>
        </w:tc>
      </w:tr>
      <w:tr w:rsidR="00C16A9D" w:rsidRPr="00EF07A3" w:rsidTr="00BE2CFE">
        <w:trPr>
          <w:trHeight w:val="563"/>
        </w:trPr>
        <w:tc>
          <w:tcPr>
            <w:tcW w:w="3374"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lang w:val="en-US" w:eastAsia="ru-RU"/>
              </w:rPr>
            </w:pPr>
            <w:r w:rsidRPr="00EF07A3">
              <w:rPr>
                <w:sz w:val="28"/>
                <w:szCs w:val="28"/>
                <w:lang w:eastAsia="ru-RU"/>
              </w:rPr>
              <w:t>ПНП</w:t>
            </w:r>
          </w:p>
        </w:tc>
        <w:tc>
          <w:tcPr>
            <w:tcW w:w="1599"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rPr>
            </w:pPr>
            <w:r>
              <w:rPr>
                <w:sz w:val="28"/>
                <w:szCs w:val="28"/>
              </w:rPr>
              <w:t>4 210,3</w:t>
            </w:r>
          </w:p>
        </w:tc>
        <w:tc>
          <w:tcPr>
            <w:tcW w:w="1620"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rPr>
            </w:pPr>
            <w:r>
              <w:rPr>
                <w:sz w:val="28"/>
                <w:szCs w:val="28"/>
              </w:rPr>
              <w:t>5 199</w:t>
            </w:r>
          </w:p>
        </w:tc>
        <w:tc>
          <w:tcPr>
            <w:tcW w:w="1620" w:type="dxa"/>
            <w:tcBorders>
              <w:left w:val="single" w:sz="4" w:space="0" w:color="000000"/>
              <w:bottom w:val="single" w:sz="4" w:space="0" w:color="000000"/>
            </w:tcBorders>
            <w:shd w:val="clear" w:color="auto" w:fill="auto"/>
            <w:vAlign w:val="center"/>
          </w:tcPr>
          <w:p w:rsidR="00C16A9D" w:rsidRPr="00EF07A3" w:rsidRDefault="00C16A9D" w:rsidP="00BE2CFE">
            <w:pPr>
              <w:jc w:val="center"/>
              <w:rPr>
                <w:b/>
                <w:bCs/>
                <w:color w:val="0000FF"/>
                <w:sz w:val="28"/>
                <w:szCs w:val="28"/>
              </w:rPr>
            </w:pPr>
            <w:r>
              <w:rPr>
                <w:b/>
                <w:bCs/>
                <w:color w:val="0000FF"/>
                <w:sz w:val="28"/>
                <w:szCs w:val="28"/>
              </w:rPr>
              <w:t>988,7</w:t>
            </w:r>
          </w:p>
        </w:tc>
        <w:tc>
          <w:tcPr>
            <w:tcW w:w="1620" w:type="dxa"/>
            <w:tcBorders>
              <w:left w:val="single" w:sz="4" w:space="0" w:color="000000"/>
              <w:bottom w:val="single" w:sz="4" w:space="0" w:color="000000"/>
              <w:right w:val="single" w:sz="4" w:space="0" w:color="000000"/>
            </w:tcBorders>
            <w:shd w:val="clear" w:color="auto" w:fill="auto"/>
            <w:vAlign w:val="center"/>
          </w:tcPr>
          <w:p w:rsidR="00C16A9D" w:rsidRPr="00EF07A3" w:rsidRDefault="00C16A9D" w:rsidP="00BE2CFE">
            <w:pPr>
              <w:jc w:val="center"/>
              <w:rPr>
                <w:b/>
                <w:bCs/>
                <w:color w:val="0000FF"/>
                <w:sz w:val="28"/>
                <w:szCs w:val="28"/>
              </w:rPr>
            </w:pPr>
            <w:r>
              <w:rPr>
                <w:b/>
                <w:bCs/>
                <w:color w:val="0000FF"/>
                <w:sz w:val="28"/>
                <w:szCs w:val="28"/>
              </w:rPr>
              <w:t>123,5</w:t>
            </w:r>
          </w:p>
        </w:tc>
      </w:tr>
      <w:tr w:rsidR="00C16A9D" w:rsidRPr="00EF07A3" w:rsidTr="00BE2CFE">
        <w:trPr>
          <w:trHeight w:val="571"/>
        </w:trPr>
        <w:tc>
          <w:tcPr>
            <w:tcW w:w="3374"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lang w:val="en-US" w:eastAsia="ru-RU"/>
              </w:rPr>
            </w:pPr>
            <w:r w:rsidRPr="00EF07A3">
              <w:rPr>
                <w:sz w:val="28"/>
                <w:szCs w:val="28"/>
                <w:lang w:eastAsia="ru-RU"/>
              </w:rPr>
              <w:t>АКЦИЗ ЗФ</w:t>
            </w:r>
          </w:p>
        </w:tc>
        <w:tc>
          <w:tcPr>
            <w:tcW w:w="1599"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rPr>
            </w:pPr>
            <w:r>
              <w:rPr>
                <w:sz w:val="28"/>
                <w:szCs w:val="28"/>
              </w:rPr>
              <w:t>361,1</w:t>
            </w:r>
          </w:p>
        </w:tc>
        <w:tc>
          <w:tcPr>
            <w:tcW w:w="1620" w:type="dxa"/>
            <w:tcBorders>
              <w:left w:val="single" w:sz="4" w:space="0" w:color="000000"/>
              <w:bottom w:val="single" w:sz="4" w:space="0" w:color="000000"/>
            </w:tcBorders>
            <w:shd w:val="clear" w:color="auto" w:fill="auto"/>
            <w:vAlign w:val="center"/>
          </w:tcPr>
          <w:p w:rsidR="00C16A9D" w:rsidRPr="00EF07A3" w:rsidRDefault="00C16A9D" w:rsidP="00BE2CFE">
            <w:pPr>
              <w:jc w:val="center"/>
              <w:rPr>
                <w:sz w:val="28"/>
                <w:szCs w:val="28"/>
              </w:rPr>
            </w:pPr>
            <w:r>
              <w:rPr>
                <w:sz w:val="28"/>
                <w:szCs w:val="28"/>
              </w:rPr>
              <w:t>371,4</w:t>
            </w:r>
          </w:p>
        </w:tc>
        <w:tc>
          <w:tcPr>
            <w:tcW w:w="1620" w:type="dxa"/>
            <w:tcBorders>
              <w:left w:val="single" w:sz="4" w:space="0" w:color="000000"/>
              <w:bottom w:val="single" w:sz="4" w:space="0" w:color="000000"/>
            </w:tcBorders>
            <w:shd w:val="clear" w:color="auto" w:fill="auto"/>
            <w:vAlign w:val="center"/>
          </w:tcPr>
          <w:p w:rsidR="00C16A9D" w:rsidRPr="00EF07A3" w:rsidRDefault="00C16A9D" w:rsidP="00BE2CFE">
            <w:pPr>
              <w:jc w:val="center"/>
              <w:rPr>
                <w:b/>
                <w:bCs/>
                <w:color w:val="0000FF"/>
                <w:sz w:val="28"/>
                <w:szCs w:val="28"/>
              </w:rPr>
            </w:pPr>
            <w:r>
              <w:rPr>
                <w:b/>
                <w:bCs/>
                <w:color w:val="0000FF"/>
                <w:sz w:val="28"/>
                <w:szCs w:val="28"/>
              </w:rPr>
              <w:t>10,3</w:t>
            </w:r>
          </w:p>
        </w:tc>
        <w:tc>
          <w:tcPr>
            <w:tcW w:w="1620" w:type="dxa"/>
            <w:tcBorders>
              <w:left w:val="single" w:sz="4" w:space="0" w:color="000000"/>
              <w:bottom w:val="single" w:sz="4" w:space="0" w:color="000000"/>
              <w:right w:val="single" w:sz="4" w:space="0" w:color="000000"/>
            </w:tcBorders>
            <w:shd w:val="clear" w:color="auto" w:fill="auto"/>
            <w:vAlign w:val="center"/>
          </w:tcPr>
          <w:p w:rsidR="00C16A9D" w:rsidRPr="00EF07A3" w:rsidRDefault="00C16A9D" w:rsidP="00BE2CFE">
            <w:pPr>
              <w:jc w:val="center"/>
              <w:rPr>
                <w:b/>
                <w:bCs/>
                <w:color w:val="0000FF"/>
                <w:sz w:val="28"/>
                <w:szCs w:val="28"/>
              </w:rPr>
            </w:pPr>
            <w:r>
              <w:rPr>
                <w:b/>
                <w:bCs/>
                <w:color w:val="0000FF"/>
                <w:sz w:val="28"/>
                <w:szCs w:val="28"/>
              </w:rPr>
              <w:t>102,8</w:t>
            </w:r>
          </w:p>
        </w:tc>
      </w:tr>
    </w:tbl>
    <w:p w:rsidR="00C16A9D" w:rsidRDefault="00C16A9D" w:rsidP="00C16A9D">
      <w:pPr>
        <w:ind w:firstLine="708"/>
        <w:jc w:val="right"/>
        <w:rPr>
          <w:sz w:val="28"/>
          <w:szCs w:val="28"/>
        </w:rPr>
      </w:pPr>
    </w:p>
    <w:p w:rsidR="00C16A9D" w:rsidRDefault="00C16A9D" w:rsidP="00C16A9D">
      <w:pPr>
        <w:ind w:firstLine="708"/>
        <w:jc w:val="right"/>
        <w:rPr>
          <w:sz w:val="28"/>
          <w:szCs w:val="28"/>
        </w:rPr>
      </w:pPr>
      <w:r>
        <w:rPr>
          <w:sz w:val="28"/>
          <w:szCs w:val="28"/>
        </w:rPr>
        <w:lastRenderedPageBreak/>
        <w:t>Діаграма № 1</w:t>
      </w:r>
    </w:p>
    <w:p w:rsidR="00C16A9D" w:rsidRPr="00F12922" w:rsidRDefault="00C16A9D" w:rsidP="00C16A9D">
      <w:pPr>
        <w:ind w:firstLine="708"/>
        <w:jc w:val="right"/>
        <w:rPr>
          <w:b/>
          <w:sz w:val="10"/>
          <w:szCs w:val="10"/>
        </w:rPr>
      </w:pPr>
    </w:p>
    <w:p w:rsidR="00C16A9D" w:rsidRDefault="00C16A9D" w:rsidP="00C16A9D">
      <w:pPr>
        <w:ind w:right="140" w:firstLine="708"/>
        <w:jc w:val="center"/>
        <w:rPr>
          <w:sz w:val="28"/>
          <w:szCs w:val="28"/>
        </w:rPr>
      </w:pPr>
      <w:r>
        <w:rPr>
          <w:b/>
          <w:sz w:val="28"/>
          <w:szCs w:val="28"/>
        </w:rPr>
        <w:t>Приріст надходжень до загального фонду Державного бюджету грошовими коштами у 2022 році</w:t>
      </w:r>
    </w:p>
    <w:p w:rsidR="00C16A9D" w:rsidRPr="00F12922" w:rsidRDefault="00C16A9D" w:rsidP="00BA5835">
      <w:pPr>
        <w:ind w:right="140" w:firstLine="708"/>
        <w:jc w:val="right"/>
        <w:rPr>
          <w:sz w:val="28"/>
          <w:szCs w:val="28"/>
        </w:rPr>
      </w:pPr>
      <w:r>
        <w:rPr>
          <w:sz w:val="28"/>
          <w:szCs w:val="28"/>
        </w:rPr>
        <w:t>млн грн</w:t>
      </w:r>
    </w:p>
    <w:p w:rsidR="00C16A9D" w:rsidRDefault="00AA5AF7" w:rsidP="00C16A9D">
      <w:pPr>
        <w:tabs>
          <w:tab w:val="left" w:pos="9637"/>
        </w:tabs>
        <w:ind w:right="-2"/>
        <w:rPr>
          <w:sz w:val="28"/>
          <w:szCs w:val="28"/>
          <w:shd w:val="clear" w:color="auto" w:fill="00FF00"/>
        </w:rPr>
      </w:pPr>
      <w:r>
        <w:rPr>
          <w:noProof/>
          <w:sz w:val="28"/>
          <w:szCs w:val="28"/>
          <w:shd w:val="clear" w:color="auto" w:fill="00FF00"/>
        </w:rPr>
        <w:drawing>
          <wp:inline distT="0" distB="0" distL="0" distR="0">
            <wp:extent cx="6188242" cy="3085689"/>
            <wp:effectExtent l="16137" t="6470" r="6556" b="2831"/>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6A9D" w:rsidRDefault="00C16A9D" w:rsidP="00C16A9D">
      <w:pPr>
        <w:tabs>
          <w:tab w:val="left" w:pos="9637"/>
        </w:tabs>
        <w:ind w:right="-2"/>
        <w:rPr>
          <w:sz w:val="28"/>
          <w:szCs w:val="28"/>
          <w:shd w:val="clear" w:color="auto" w:fill="00FF00"/>
          <w:lang w:val="en-US"/>
        </w:rPr>
      </w:pPr>
    </w:p>
    <w:p w:rsidR="002D2FA0" w:rsidRDefault="00C16A9D" w:rsidP="00483ECD">
      <w:pPr>
        <w:ind w:firstLine="567"/>
        <w:jc w:val="both"/>
        <w:rPr>
          <w:sz w:val="28"/>
          <w:szCs w:val="28"/>
        </w:rPr>
      </w:pPr>
      <w:r>
        <w:rPr>
          <w:sz w:val="28"/>
          <w:szCs w:val="28"/>
        </w:rPr>
        <w:t>Найбільшу питому вагу надходжень до загального фонду Державного бюджету у 2022 році займає податок на додану вартість 58,3 відс., податок на прибуток – 32,6 відс.</w:t>
      </w:r>
      <w:r>
        <w:rPr>
          <w:sz w:val="28"/>
          <w:szCs w:val="28"/>
          <w:lang w:val="en-US"/>
        </w:rPr>
        <w:t>,</w:t>
      </w:r>
      <w:r>
        <w:rPr>
          <w:sz w:val="28"/>
          <w:szCs w:val="28"/>
        </w:rPr>
        <w:t xml:space="preserve"> акцизний податок – 2,3 відс. та </w:t>
      </w:r>
      <w:r w:rsidRPr="00EF07A3">
        <w:rPr>
          <w:rFonts w:eastAsia="SimSun"/>
          <w:sz w:val="28"/>
          <w:szCs w:val="28"/>
          <w:lang w:val="ru-RU"/>
        </w:rPr>
        <w:t>ПДФО ДБ</w:t>
      </w:r>
      <w:r>
        <w:rPr>
          <w:rFonts w:eastAsia="SimSun"/>
          <w:sz w:val="28"/>
          <w:szCs w:val="28"/>
          <w:lang w:val="ru-RU"/>
        </w:rPr>
        <w:t xml:space="preserve"> – 5,2 відсотки</w:t>
      </w:r>
      <w:r>
        <w:rPr>
          <w:sz w:val="28"/>
          <w:szCs w:val="28"/>
        </w:rPr>
        <w:t xml:space="preserve">. </w:t>
      </w:r>
      <w:r w:rsidRPr="00F12922">
        <w:rPr>
          <w:sz w:val="28"/>
          <w:szCs w:val="28"/>
        </w:rPr>
        <w:t xml:space="preserve">Питома вага інших податків та зборів – </w:t>
      </w:r>
      <w:r>
        <w:rPr>
          <w:sz w:val="28"/>
          <w:szCs w:val="28"/>
        </w:rPr>
        <w:t>1,6</w:t>
      </w:r>
      <w:r w:rsidRPr="00F12922">
        <w:rPr>
          <w:sz w:val="28"/>
          <w:szCs w:val="28"/>
        </w:rPr>
        <w:t xml:space="preserve"> </w:t>
      </w:r>
      <w:r>
        <w:rPr>
          <w:sz w:val="28"/>
          <w:szCs w:val="28"/>
        </w:rPr>
        <w:t>відсотки</w:t>
      </w:r>
      <w:r w:rsidRPr="00F12922">
        <w:rPr>
          <w:sz w:val="28"/>
          <w:szCs w:val="28"/>
        </w:rPr>
        <w:t xml:space="preserve">. Дані наведено у </w:t>
      </w:r>
      <w:r>
        <w:rPr>
          <w:sz w:val="28"/>
          <w:szCs w:val="28"/>
        </w:rPr>
        <w:t>Д</w:t>
      </w:r>
      <w:r w:rsidRPr="00F12922">
        <w:rPr>
          <w:sz w:val="28"/>
          <w:szCs w:val="28"/>
        </w:rPr>
        <w:t xml:space="preserve">іаграмі </w:t>
      </w:r>
      <w:r w:rsidR="00944BFE">
        <w:rPr>
          <w:sz w:val="28"/>
          <w:szCs w:val="28"/>
        </w:rPr>
        <w:t xml:space="preserve">    </w:t>
      </w:r>
      <w:r w:rsidRPr="00F12922">
        <w:rPr>
          <w:sz w:val="28"/>
          <w:szCs w:val="28"/>
        </w:rPr>
        <w:t>№</w:t>
      </w:r>
      <w:r w:rsidR="00F21D71">
        <w:rPr>
          <w:sz w:val="28"/>
          <w:szCs w:val="28"/>
        </w:rPr>
        <w:t xml:space="preserve"> </w:t>
      </w:r>
      <w:r w:rsidRPr="00F12922">
        <w:rPr>
          <w:sz w:val="28"/>
          <w:szCs w:val="28"/>
        </w:rPr>
        <w:t>2.</w:t>
      </w:r>
      <w:r w:rsidR="006F1E90">
        <w:rPr>
          <w:sz w:val="28"/>
          <w:szCs w:val="28"/>
        </w:rPr>
        <w:t xml:space="preserve">                                                                      </w:t>
      </w:r>
      <w:r w:rsidR="00491844">
        <w:rPr>
          <w:sz w:val="28"/>
          <w:szCs w:val="28"/>
        </w:rPr>
        <w:t xml:space="preserve">                             </w:t>
      </w:r>
    </w:p>
    <w:p w:rsidR="00D6294C" w:rsidRDefault="00D6294C" w:rsidP="00491844">
      <w:pPr>
        <w:ind w:left="567" w:right="-1" w:firstLine="708"/>
        <w:jc w:val="center"/>
        <w:rPr>
          <w:sz w:val="28"/>
          <w:szCs w:val="28"/>
        </w:rPr>
      </w:pPr>
    </w:p>
    <w:p w:rsidR="001A41D7" w:rsidRDefault="001A41D7" w:rsidP="001A41D7">
      <w:pPr>
        <w:tabs>
          <w:tab w:val="left" w:pos="7056"/>
        </w:tabs>
        <w:ind w:left="567" w:right="-1" w:firstLine="708"/>
        <w:rPr>
          <w:sz w:val="28"/>
          <w:szCs w:val="28"/>
        </w:rPr>
      </w:pPr>
      <w:r>
        <w:rPr>
          <w:sz w:val="28"/>
          <w:szCs w:val="28"/>
        </w:rPr>
        <w:tab/>
        <w:t>Діаграма №2</w:t>
      </w:r>
    </w:p>
    <w:p w:rsidR="00603B30" w:rsidRDefault="00A157DD" w:rsidP="00A157DD">
      <w:pPr>
        <w:ind w:right="-1"/>
        <w:jc w:val="center"/>
        <w:rPr>
          <w:sz w:val="28"/>
          <w:szCs w:val="28"/>
        </w:rPr>
      </w:pPr>
      <w:r>
        <w:rPr>
          <w:noProof/>
          <w:sz w:val="28"/>
          <w:szCs w:val="28"/>
        </w:rPr>
        <w:drawing>
          <wp:inline distT="0" distB="0" distL="0" distR="0">
            <wp:extent cx="5018816" cy="2968283"/>
            <wp:effectExtent l="19050" t="0" r="0" b="0"/>
            <wp:docPr id="62" name="Рисунок 62" descr="C:\Users\ZDumich\Pictures\Нове зображенн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ZDumich\Pictures\Нове зображення.png"/>
                    <pic:cNvPicPr>
                      <a:picLocks noChangeAspect="1" noChangeArrowheads="1"/>
                    </pic:cNvPicPr>
                  </pic:nvPicPr>
                  <pic:blipFill>
                    <a:blip r:embed="rId10"/>
                    <a:srcRect/>
                    <a:stretch>
                      <a:fillRect/>
                    </a:stretch>
                  </pic:blipFill>
                  <pic:spPr bwMode="auto">
                    <a:xfrm>
                      <a:off x="0" y="0"/>
                      <a:ext cx="5018321" cy="2967990"/>
                    </a:xfrm>
                    <a:prstGeom prst="rect">
                      <a:avLst/>
                    </a:prstGeom>
                    <a:noFill/>
                    <a:ln w="9525">
                      <a:noFill/>
                      <a:miter lim="800000"/>
                      <a:headEnd/>
                      <a:tailEnd/>
                    </a:ln>
                  </pic:spPr>
                </pic:pic>
              </a:graphicData>
            </a:graphic>
          </wp:inline>
        </w:drawing>
      </w:r>
    </w:p>
    <w:p w:rsidR="00603B30" w:rsidRDefault="00603B30" w:rsidP="00491844">
      <w:pPr>
        <w:ind w:left="567" w:right="-1" w:firstLine="708"/>
        <w:jc w:val="center"/>
        <w:rPr>
          <w:sz w:val="28"/>
          <w:szCs w:val="28"/>
        </w:rPr>
      </w:pPr>
    </w:p>
    <w:p w:rsidR="00603B30" w:rsidRDefault="00603B30" w:rsidP="00491844">
      <w:pPr>
        <w:ind w:left="567" w:right="-1" w:firstLine="708"/>
        <w:jc w:val="center"/>
        <w:rPr>
          <w:sz w:val="28"/>
          <w:szCs w:val="28"/>
        </w:rPr>
      </w:pPr>
    </w:p>
    <w:p w:rsidR="00603B30" w:rsidRDefault="00603B30" w:rsidP="00491844">
      <w:pPr>
        <w:ind w:left="567" w:right="-1" w:firstLine="708"/>
        <w:jc w:val="center"/>
        <w:rPr>
          <w:sz w:val="28"/>
          <w:szCs w:val="28"/>
        </w:rPr>
      </w:pPr>
    </w:p>
    <w:p w:rsidR="00603B30" w:rsidRDefault="00603B30" w:rsidP="00491844">
      <w:pPr>
        <w:ind w:left="567" w:right="-1" w:firstLine="708"/>
        <w:jc w:val="center"/>
        <w:rPr>
          <w:sz w:val="28"/>
          <w:szCs w:val="28"/>
        </w:rPr>
      </w:pPr>
    </w:p>
    <w:p w:rsidR="00603B30" w:rsidRDefault="00603B30" w:rsidP="00491844">
      <w:pPr>
        <w:ind w:left="567" w:right="-1" w:firstLine="708"/>
        <w:jc w:val="center"/>
        <w:rPr>
          <w:sz w:val="28"/>
          <w:szCs w:val="28"/>
        </w:rPr>
      </w:pPr>
    </w:p>
    <w:p w:rsidR="00603B30" w:rsidRDefault="00603B30" w:rsidP="00491844">
      <w:pPr>
        <w:ind w:left="567" w:right="-1" w:firstLine="708"/>
        <w:jc w:val="center"/>
        <w:rPr>
          <w:sz w:val="28"/>
          <w:szCs w:val="28"/>
        </w:rPr>
      </w:pPr>
    </w:p>
    <w:p w:rsidR="00603B30" w:rsidRDefault="00603B30" w:rsidP="00491844">
      <w:pPr>
        <w:ind w:left="567" w:right="-1" w:firstLine="708"/>
        <w:jc w:val="center"/>
        <w:rPr>
          <w:sz w:val="28"/>
          <w:szCs w:val="28"/>
        </w:rPr>
      </w:pPr>
    </w:p>
    <w:p w:rsidR="00C16A9D" w:rsidRDefault="00C16A9D" w:rsidP="00C16A9D">
      <w:pPr>
        <w:pStyle w:val="310"/>
        <w:spacing w:after="0"/>
        <w:ind w:left="0" w:firstLine="567"/>
        <w:jc w:val="both"/>
        <w:rPr>
          <w:sz w:val="28"/>
          <w:szCs w:val="28"/>
          <w:lang w:val="ru-RU"/>
        </w:rPr>
      </w:pPr>
      <w:r w:rsidRPr="007A1DA6">
        <w:rPr>
          <w:sz w:val="28"/>
          <w:szCs w:val="28"/>
        </w:rPr>
        <w:t xml:space="preserve">По </w:t>
      </w:r>
      <w:r w:rsidRPr="00143F67">
        <w:rPr>
          <w:b/>
          <w:sz w:val="28"/>
          <w:szCs w:val="28"/>
        </w:rPr>
        <w:t>податку на додану вартість</w:t>
      </w:r>
      <w:r w:rsidRPr="007A1DA6">
        <w:rPr>
          <w:sz w:val="28"/>
          <w:szCs w:val="28"/>
        </w:rPr>
        <w:t xml:space="preserve"> при доведеному показнику </w:t>
      </w:r>
      <w:r>
        <w:rPr>
          <w:sz w:val="28"/>
          <w:szCs w:val="28"/>
        </w:rPr>
        <w:t>на</w:t>
      </w:r>
      <w:r w:rsidRPr="00A26CC3">
        <w:rPr>
          <w:sz w:val="28"/>
          <w:szCs w:val="28"/>
          <w:lang w:val="ru-RU"/>
        </w:rPr>
        <w:t xml:space="preserve"> 202</w:t>
      </w:r>
      <w:r>
        <w:rPr>
          <w:sz w:val="28"/>
          <w:szCs w:val="28"/>
          <w:lang w:val="ru-RU"/>
        </w:rPr>
        <w:t>2</w:t>
      </w:r>
      <w:r w:rsidRPr="00A26CC3">
        <w:rPr>
          <w:sz w:val="28"/>
          <w:szCs w:val="28"/>
          <w:lang w:val="ru-RU"/>
        </w:rPr>
        <w:t xml:space="preserve"> рік </w:t>
      </w:r>
      <w:r>
        <w:rPr>
          <w:sz w:val="28"/>
          <w:szCs w:val="28"/>
        </w:rPr>
        <w:t xml:space="preserve">до загального фонду Державного бюджету </w:t>
      </w:r>
      <w:r w:rsidRPr="007A1DA6">
        <w:rPr>
          <w:sz w:val="28"/>
          <w:szCs w:val="28"/>
        </w:rPr>
        <w:t>в</w:t>
      </w:r>
      <w:r>
        <w:rPr>
          <w:sz w:val="28"/>
          <w:szCs w:val="28"/>
        </w:rPr>
        <w:t xml:space="preserve"> </w:t>
      </w:r>
      <w:r w:rsidRPr="007A1DA6">
        <w:rPr>
          <w:sz w:val="28"/>
          <w:szCs w:val="28"/>
        </w:rPr>
        <w:t xml:space="preserve">сумі </w:t>
      </w:r>
      <w:r w:rsidR="00113300">
        <w:rPr>
          <w:sz w:val="28"/>
          <w:szCs w:val="28"/>
          <w:lang w:val="en-US"/>
        </w:rPr>
        <w:t>8</w:t>
      </w:r>
      <w:r>
        <w:rPr>
          <w:sz w:val="28"/>
          <w:szCs w:val="28"/>
        </w:rPr>
        <w:t> </w:t>
      </w:r>
      <w:r w:rsidR="00113300">
        <w:rPr>
          <w:sz w:val="28"/>
          <w:szCs w:val="28"/>
          <w:lang w:val="en-US"/>
        </w:rPr>
        <w:t>657</w:t>
      </w:r>
      <w:r>
        <w:rPr>
          <w:sz w:val="28"/>
          <w:szCs w:val="28"/>
        </w:rPr>
        <w:t>,</w:t>
      </w:r>
      <w:r w:rsidR="00113300">
        <w:rPr>
          <w:sz w:val="28"/>
          <w:szCs w:val="28"/>
          <w:lang w:val="en-US"/>
        </w:rPr>
        <w:t>6</w:t>
      </w:r>
      <w:r>
        <w:rPr>
          <w:sz w:val="28"/>
          <w:szCs w:val="28"/>
        </w:rPr>
        <w:t xml:space="preserve"> </w:t>
      </w:r>
      <w:r w:rsidRPr="007A1DA6">
        <w:rPr>
          <w:sz w:val="28"/>
          <w:szCs w:val="28"/>
        </w:rPr>
        <w:t>млн</w:t>
      </w:r>
      <w:r>
        <w:rPr>
          <w:sz w:val="28"/>
          <w:szCs w:val="28"/>
        </w:rPr>
        <w:t> </w:t>
      </w:r>
      <w:r w:rsidRPr="007A1DA6">
        <w:rPr>
          <w:sz w:val="28"/>
          <w:szCs w:val="28"/>
        </w:rPr>
        <w:t xml:space="preserve">грн мобілізовано до бюджету </w:t>
      </w:r>
      <w:r w:rsidR="00113300">
        <w:rPr>
          <w:sz w:val="28"/>
          <w:szCs w:val="28"/>
          <w:lang w:val="en-US"/>
        </w:rPr>
        <w:t>9291</w:t>
      </w:r>
      <w:r>
        <w:rPr>
          <w:sz w:val="28"/>
          <w:szCs w:val="28"/>
        </w:rPr>
        <w:t>,</w:t>
      </w:r>
      <w:r w:rsidR="00113300">
        <w:rPr>
          <w:sz w:val="28"/>
          <w:szCs w:val="28"/>
          <w:lang w:val="en-US"/>
        </w:rPr>
        <w:t>5</w:t>
      </w:r>
      <w:r w:rsidRPr="007A1DA6">
        <w:rPr>
          <w:sz w:val="28"/>
          <w:szCs w:val="28"/>
        </w:rPr>
        <w:t xml:space="preserve"> млн</w:t>
      </w:r>
      <w:r>
        <w:rPr>
          <w:sz w:val="28"/>
          <w:szCs w:val="28"/>
        </w:rPr>
        <w:t xml:space="preserve"> </w:t>
      </w:r>
      <w:r w:rsidRPr="007A1DA6">
        <w:rPr>
          <w:sz w:val="28"/>
          <w:szCs w:val="28"/>
        </w:rPr>
        <w:t xml:space="preserve">грн або </w:t>
      </w:r>
      <w:r>
        <w:rPr>
          <w:sz w:val="28"/>
          <w:szCs w:val="28"/>
        </w:rPr>
        <w:t>107,3 відс.</w:t>
      </w:r>
      <w:r w:rsidRPr="007A1DA6">
        <w:rPr>
          <w:sz w:val="28"/>
          <w:szCs w:val="28"/>
        </w:rPr>
        <w:t xml:space="preserve"> до доведеного прогнозу</w:t>
      </w:r>
      <w:r>
        <w:rPr>
          <w:sz w:val="28"/>
          <w:szCs w:val="28"/>
        </w:rPr>
        <w:t>, бюджет додатково отримав – 633,8 млн гривень.</w:t>
      </w:r>
    </w:p>
    <w:p w:rsidR="00C16A9D" w:rsidRDefault="00C16A9D" w:rsidP="00C16A9D">
      <w:pPr>
        <w:pStyle w:val="310"/>
        <w:spacing w:after="0"/>
        <w:ind w:left="0" w:firstLine="567"/>
        <w:jc w:val="both"/>
        <w:rPr>
          <w:sz w:val="28"/>
          <w:szCs w:val="28"/>
          <w:lang w:val="ru-RU"/>
        </w:rPr>
      </w:pPr>
      <w:r w:rsidRPr="00736F04">
        <w:rPr>
          <w:sz w:val="28"/>
          <w:szCs w:val="28"/>
          <w:lang w:val="ru-RU"/>
        </w:rPr>
        <w:t>По деклараціях з ПДВ, які подавались у 202</w:t>
      </w:r>
      <w:r>
        <w:rPr>
          <w:sz w:val="28"/>
          <w:szCs w:val="28"/>
          <w:lang w:val="ru-RU"/>
        </w:rPr>
        <w:t>2</w:t>
      </w:r>
      <w:r w:rsidRPr="00736F04">
        <w:rPr>
          <w:sz w:val="28"/>
          <w:szCs w:val="28"/>
          <w:lang w:val="ru-RU"/>
        </w:rPr>
        <w:t xml:space="preserve"> році нарахування складають </w:t>
      </w:r>
      <w:r>
        <w:rPr>
          <w:sz w:val="28"/>
          <w:szCs w:val="28"/>
          <w:lang w:val="ru-RU"/>
        </w:rPr>
        <w:t xml:space="preserve">  9 446,1</w:t>
      </w:r>
      <w:r w:rsidRPr="00736F04">
        <w:rPr>
          <w:sz w:val="28"/>
          <w:szCs w:val="28"/>
          <w:lang w:val="ru-RU"/>
        </w:rPr>
        <w:t xml:space="preserve"> млн грн</w:t>
      </w:r>
      <w:r>
        <w:rPr>
          <w:sz w:val="28"/>
          <w:szCs w:val="28"/>
          <w:lang w:val="ru-RU"/>
        </w:rPr>
        <w:t>,</w:t>
      </w:r>
      <w:r w:rsidRPr="00736F04">
        <w:rPr>
          <w:sz w:val="28"/>
          <w:szCs w:val="28"/>
          <w:lang w:val="ru-RU"/>
        </w:rPr>
        <w:t xml:space="preserve"> в порівнянні з 202</w:t>
      </w:r>
      <w:r>
        <w:rPr>
          <w:sz w:val="28"/>
          <w:szCs w:val="28"/>
          <w:lang w:val="ru-RU"/>
        </w:rPr>
        <w:t>1</w:t>
      </w:r>
      <w:r w:rsidRPr="00736F04">
        <w:rPr>
          <w:sz w:val="28"/>
          <w:szCs w:val="28"/>
          <w:lang w:val="ru-RU"/>
        </w:rPr>
        <w:t xml:space="preserve"> рок</w:t>
      </w:r>
      <w:r w:rsidR="00363416">
        <w:rPr>
          <w:sz w:val="28"/>
          <w:szCs w:val="28"/>
          <w:lang w:val="ru-RU"/>
        </w:rPr>
        <w:t>ом</w:t>
      </w:r>
      <w:r w:rsidRPr="00736F04">
        <w:rPr>
          <w:sz w:val="28"/>
          <w:szCs w:val="28"/>
          <w:lang w:val="ru-RU"/>
        </w:rPr>
        <w:t xml:space="preserve"> відбувся ріст нарахувань на </w:t>
      </w:r>
      <w:r w:rsidR="00766236">
        <w:rPr>
          <w:sz w:val="28"/>
          <w:szCs w:val="28"/>
          <w:lang w:val="ru-RU"/>
        </w:rPr>
        <w:t xml:space="preserve">           </w:t>
      </w:r>
      <w:r>
        <w:rPr>
          <w:sz w:val="28"/>
          <w:szCs w:val="28"/>
          <w:lang w:val="ru-RU"/>
        </w:rPr>
        <w:t>778,6</w:t>
      </w:r>
      <w:r w:rsidRPr="00736F04">
        <w:rPr>
          <w:sz w:val="28"/>
          <w:szCs w:val="28"/>
          <w:lang w:val="ru-RU"/>
        </w:rPr>
        <w:t xml:space="preserve"> </w:t>
      </w:r>
      <w:r w:rsidR="00B179D3">
        <w:rPr>
          <w:sz w:val="28"/>
          <w:szCs w:val="28"/>
          <w:lang w:val="ru-RU"/>
        </w:rPr>
        <w:t xml:space="preserve">   </w:t>
      </w:r>
      <w:r w:rsidRPr="00736F04">
        <w:rPr>
          <w:sz w:val="28"/>
          <w:szCs w:val="28"/>
          <w:lang w:val="ru-RU"/>
        </w:rPr>
        <w:t>млн гр</w:t>
      </w:r>
      <w:r w:rsidR="00B4580F">
        <w:rPr>
          <w:sz w:val="28"/>
          <w:szCs w:val="28"/>
        </w:rPr>
        <w:t>ивень</w:t>
      </w:r>
      <w:r w:rsidRPr="00736F04">
        <w:rPr>
          <w:sz w:val="28"/>
          <w:szCs w:val="28"/>
          <w:lang w:val="ru-RU"/>
        </w:rPr>
        <w:t>.</w:t>
      </w:r>
    </w:p>
    <w:p w:rsidR="00C16A9D" w:rsidRDefault="00C16A9D" w:rsidP="00C16A9D">
      <w:pPr>
        <w:pStyle w:val="310"/>
        <w:spacing w:after="0"/>
        <w:ind w:left="0" w:firstLine="567"/>
        <w:jc w:val="both"/>
        <w:rPr>
          <w:sz w:val="28"/>
          <w:szCs w:val="28"/>
          <w:lang w:val="ru-RU"/>
        </w:rPr>
      </w:pPr>
      <w:r w:rsidRPr="00736F04">
        <w:rPr>
          <w:sz w:val="28"/>
          <w:szCs w:val="28"/>
          <w:lang w:val="ru-RU"/>
        </w:rPr>
        <w:t>Податкова віддача по деклараціях з ПДВ, які подавались у 202</w:t>
      </w:r>
      <w:r>
        <w:rPr>
          <w:sz w:val="28"/>
          <w:szCs w:val="28"/>
          <w:lang w:val="ru-RU"/>
        </w:rPr>
        <w:t>2</w:t>
      </w:r>
      <w:r w:rsidRPr="00736F04">
        <w:rPr>
          <w:sz w:val="28"/>
          <w:szCs w:val="28"/>
          <w:lang w:val="ru-RU"/>
        </w:rPr>
        <w:t xml:space="preserve"> ро</w:t>
      </w:r>
      <w:r w:rsidR="00363416">
        <w:rPr>
          <w:sz w:val="28"/>
          <w:szCs w:val="28"/>
          <w:lang w:val="ru-RU"/>
        </w:rPr>
        <w:t>ці</w:t>
      </w:r>
      <w:r w:rsidRPr="00736F04">
        <w:rPr>
          <w:sz w:val="28"/>
          <w:szCs w:val="28"/>
          <w:lang w:val="ru-RU"/>
        </w:rPr>
        <w:t xml:space="preserve"> становить 1,7</w:t>
      </w:r>
      <w:r>
        <w:rPr>
          <w:sz w:val="28"/>
          <w:szCs w:val="28"/>
          <w:lang w:val="ru-RU"/>
        </w:rPr>
        <w:t>8</w:t>
      </w:r>
      <w:r w:rsidRPr="00736F04">
        <w:rPr>
          <w:sz w:val="28"/>
          <w:szCs w:val="28"/>
          <w:lang w:val="ru-RU"/>
        </w:rPr>
        <w:t xml:space="preserve"> </w:t>
      </w:r>
      <w:r>
        <w:rPr>
          <w:sz w:val="28"/>
          <w:szCs w:val="28"/>
          <w:lang w:val="ru-RU"/>
        </w:rPr>
        <w:t>відс.</w:t>
      </w:r>
      <w:r w:rsidRPr="00736F04">
        <w:rPr>
          <w:sz w:val="28"/>
          <w:szCs w:val="28"/>
          <w:lang w:val="ru-RU"/>
        </w:rPr>
        <w:t>, (податкова віддача з ПДВ по деклараціях</w:t>
      </w:r>
      <w:r>
        <w:rPr>
          <w:sz w:val="28"/>
          <w:szCs w:val="28"/>
          <w:lang w:val="ru-RU"/>
        </w:rPr>
        <w:t>,</w:t>
      </w:r>
      <w:r w:rsidRPr="00736F04">
        <w:rPr>
          <w:sz w:val="28"/>
          <w:szCs w:val="28"/>
          <w:lang w:val="ru-RU"/>
        </w:rPr>
        <w:t xml:space="preserve"> які подавались у 202</w:t>
      </w:r>
      <w:r>
        <w:rPr>
          <w:sz w:val="28"/>
          <w:szCs w:val="28"/>
          <w:lang w:val="ru-RU"/>
        </w:rPr>
        <w:t>1</w:t>
      </w:r>
      <w:r w:rsidRPr="00736F04">
        <w:rPr>
          <w:sz w:val="28"/>
          <w:szCs w:val="28"/>
          <w:lang w:val="ru-RU"/>
        </w:rPr>
        <w:t xml:space="preserve"> році</w:t>
      </w:r>
      <w:r w:rsidR="00766236">
        <w:rPr>
          <w:sz w:val="28"/>
          <w:szCs w:val="28"/>
          <w:lang w:val="ru-RU"/>
        </w:rPr>
        <w:t>,</w:t>
      </w:r>
      <w:r w:rsidRPr="00736F04">
        <w:rPr>
          <w:sz w:val="28"/>
          <w:szCs w:val="28"/>
          <w:lang w:val="ru-RU"/>
        </w:rPr>
        <w:t xml:space="preserve"> становить 1,6</w:t>
      </w:r>
      <w:r>
        <w:rPr>
          <w:sz w:val="28"/>
          <w:szCs w:val="28"/>
          <w:lang w:val="ru-RU"/>
        </w:rPr>
        <w:t>8</w:t>
      </w:r>
      <w:r w:rsidRPr="00736F04">
        <w:rPr>
          <w:sz w:val="28"/>
          <w:szCs w:val="28"/>
          <w:lang w:val="ru-RU"/>
        </w:rPr>
        <w:t xml:space="preserve"> </w:t>
      </w:r>
      <w:r>
        <w:rPr>
          <w:sz w:val="28"/>
          <w:szCs w:val="28"/>
          <w:lang w:val="ru-RU"/>
        </w:rPr>
        <w:t>відсотк</w:t>
      </w:r>
      <w:r w:rsidR="00437918">
        <w:rPr>
          <w:sz w:val="28"/>
          <w:szCs w:val="28"/>
          <w:lang w:val="ru-RU"/>
        </w:rPr>
        <w:t>и</w:t>
      </w:r>
      <w:r w:rsidRPr="00736F04">
        <w:rPr>
          <w:sz w:val="28"/>
          <w:szCs w:val="28"/>
          <w:lang w:val="ru-RU"/>
        </w:rPr>
        <w:t>).</w:t>
      </w:r>
    </w:p>
    <w:p w:rsidR="00C16A9D" w:rsidRDefault="00C16A9D" w:rsidP="00C16A9D">
      <w:pPr>
        <w:pStyle w:val="310"/>
        <w:spacing w:after="0"/>
        <w:ind w:left="0" w:firstLine="567"/>
        <w:jc w:val="both"/>
        <w:rPr>
          <w:sz w:val="28"/>
          <w:szCs w:val="28"/>
          <w:lang w:val="ru-RU"/>
        </w:rPr>
      </w:pPr>
    </w:p>
    <w:p w:rsidR="00C16A9D" w:rsidRPr="004D02E4" w:rsidRDefault="00C16A9D" w:rsidP="00C16A9D">
      <w:pPr>
        <w:ind w:firstLine="567"/>
        <w:jc w:val="both"/>
        <w:rPr>
          <w:spacing w:val="1"/>
          <w:sz w:val="28"/>
          <w:szCs w:val="28"/>
        </w:rPr>
      </w:pPr>
      <w:r w:rsidRPr="004D02E4">
        <w:rPr>
          <w:spacing w:val="1"/>
          <w:sz w:val="28"/>
          <w:szCs w:val="28"/>
        </w:rPr>
        <w:t>Протягом 202</w:t>
      </w:r>
      <w:r w:rsidRPr="004D02E4">
        <w:rPr>
          <w:spacing w:val="1"/>
          <w:sz w:val="28"/>
          <w:szCs w:val="28"/>
          <w:lang w:val="en-US"/>
        </w:rPr>
        <w:t>2</w:t>
      </w:r>
      <w:r w:rsidRPr="004D02E4">
        <w:rPr>
          <w:spacing w:val="1"/>
          <w:sz w:val="28"/>
          <w:szCs w:val="28"/>
        </w:rPr>
        <w:t xml:space="preserve"> року заявлено до відшкодування  ПДВ </w:t>
      </w:r>
      <w:r w:rsidRPr="004D02E4">
        <w:rPr>
          <w:spacing w:val="1"/>
          <w:sz w:val="28"/>
          <w:szCs w:val="28"/>
          <w:lang w:val="en-US"/>
        </w:rPr>
        <w:t>3 565</w:t>
      </w:r>
      <w:r w:rsidRPr="004D02E4">
        <w:rPr>
          <w:spacing w:val="1"/>
          <w:sz w:val="28"/>
          <w:szCs w:val="28"/>
        </w:rPr>
        <w:t>,</w:t>
      </w:r>
      <w:r w:rsidRPr="004D02E4">
        <w:rPr>
          <w:spacing w:val="1"/>
          <w:sz w:val="28"/>
          <w:szCs w:val="28"/>
          <w:lang w:val="en-US"/>
        </w:rPr>
        <w:t>3</w:t>
      </w:r>
      <w:r w:rsidRPr="004D02E4">
        <w:rPr>
          <w:spacing w:val="1"/>
          <w:sz w:val="28"/>
          <w:szCs w:val="28"/>
        </w:rPr>
        <w:t xml:space="preserve"> млн грн, відшкодовано на рахунок платника </w:t>
      </w:r>
      <w:r w:rsidRPr="004D02E4">
        <w:rPr>
          <w:spacing w:val="1"/>
          <w:sz w:val="28"/>
          <w:szCs w:val="28"/>
          <w:lang w:val="en-US"/>
        </w:rPr>
        <w:t>3 103</w:t>
      </w:r>
      <w:r w:rsidRPr="004D02E4">
        <w:rPr>
          <w:spacing w:val="1"/>
          <w:sz w:val="28"/>
          <w:szCs w:val="28"/>
        </w:rPr>
        <w:t>,</w:t>
      </w:r>
      <w:r w:rsidRPr="004D02E4">
        <w:rPr>
          <w:spacing w:val="1"/>
          <w:sz w:val="28"/>
          <w:szCs w:val="28"/>
          <w:lang w:val="en-US"/>
        </w:rPr>
        <w:t>9</w:t>
      </w:r>
      <w:r w:rsidRPr="004D02E4">
        <w:rPr>
          <w:spacing w:val="1"/>
          <w:sz w:val="28"/>
          <w:szCs w:val="28"/>
        </w:rPr>
        <w:t xml:space="preserve"> млн гривень. Станом на </w:t>
      </w:r>
      <w:r w:rsidR="001949D0">
        <w:rPr>
          <w:spacing w:val="1"/>
          <w:sz w:val="28"/>
          <w:szCs w:val="28"/>
        </w:rPr>
        <w:t xml:space="preserve">       </w:t>
      </w:r>
      <w:r w:rsidRPr="004D02E4">
        <w:rPr>
          <w:spacing w:val="1"/>
          <w:sz w:val="28"/>
          <w:szCs w:val="28"/>
        </w:rPr>
        <w:t>01.01.202</w:t>
      </w:r>
      <w:r w:rsidRPr="004D02E4">
        <w:rPr>
          <w:spacing w:val="1"/>
          <w:sz w:val="28"/>
          <w:szCs w:val="28"/>
          <w:lang w:val="en-US"/>
        </w:rPr>
        <w:t>3</w:t>
      </w:r>
      <w:r w:rsidR="00437918">
        <w:rPr>
          <w:spacing w:val="1"/>
          <w:sz w:val="28"/>
          <w:szCs w:val="28"/>
        </w:rPr>
        <w:t xml:space="preserve"> </w:t>
      </w:r>
      <w:r w:rsidRPr="004D02E4">
        <w:rPr>
          <w:spacing w:val="1"/>
          <w:sz w:val="28"/>
          <w:szCs w:val="28"/>
        </w:rPr>
        <w:t xml:space="preserve">залишок невідшкодованих сум ПДВ складає </w:t>
      </w:r>
      <w:r w:rsidRPr="004D02E4">
        <w:rPr>
          <w:spacing w:val="1"/>
          <w:sz w:val="28"/>
          <w:szCs w:val="28"/>
          <w:lang w:val="en-US"/>
        </w:rPr>
        <w:t>838</w:t>
      </w:r>
      <w:r w:rsidRPr="004D02E4">
        <w:rPr>
          <w:spacing w:val="1"/>
          <w:sz w:val="28"/>
          <w:szCs w:val="28"/>
        </w:rPr>
        <w:t>,</w:t>
      </w:r>
      <w:r w:rsidRPr="004D02E4">
        <w:rPr>
          <w:spacing w:val="1"/>
          <w:sz w:val="28"/>
          <w:szCs w:val="28"/>
          <w:lang w:val="en-US"/>
        </w:rPr>
        <w:t>9</w:t>
      </w:r>
      <w:r w:rsidRPr="004D02E4">
        <w:rPr>
          <w:spacing w:val="1"/>
          <w:sz w:val="28"/>
          <w:szCs w:val="28"/>
        </w:rPr>
        <w:t xml:space="preserve"> млн гривень.</w:t>
      </w:r>
    </w:p>
    <w:p w:rsidR="00C16A9D" w:rsidRPr="004F7AD9" w:rsidRDefault="00C16A9D" w:rsidP="00C16A9D">
      <w:pPr>
        <w:pStyle w:val="310"/>
        <w:spacing w:after="0"/>
        <w:ind w:left="0" w:firstLine="720"/>
        <w:jc w:val="both"/>
        <w:rPr>
          <w:sz w:val="28"/>
          <w:szCs w:val="28"/>
          <w:highlight w:val="green"/>
        </w:rPr>
      </w:pPr>
    </w:p>
    <w:p w:rsidR="00C16A9D" w:rsidRPr="004E66C0" w:rsidRDefault="00C16A9D" w:rsidP="00C16A9D">
      <w:pPr>
        <w:pStyle w:val="310"/>
        <w:spacing w:after="0"/>
        <w:ind w:left="0" w:firstLine="567"/>
        <w:jc w:val="both"/>
        <w:rPr>
          <w:sz w:val="28"/>
          <w:szCs w:val="28"/>
        </w:rPr>
      </w:pPr>
      <w:r w:rsidRPr="004E66C0">
        <w:rPr>
          <w:sz w:val="28"/>
          <w:szCs w:val="28"/>
        </w:rPr>
        <w:t xml:space="preserve">По </w:t>
      </w:r>
      <w:r w:rsidRPr="00062177">
        <w:rPr>
          <w:b/>
          <w:sz w:val="28"/>
          <w:szCs w:val="28"/>
        </w:rPr>
        <w:t>податку на прибуток</w:t>
      </w:r>
      <w:r w:rsidRPr="004E66C0">
        <w:rPr>
          <w:sz w:val="28"/>
          <w:szCs w:val="28"/>
        </w:rPr>
        <w:t xml:space="preserve"> при доведеному показнику на</w:t>
      </w:r>
      <w:r w:rsidRPr="004E66C0">
        <w:rPr>
          <w:sz w:val="28"/>
          <w:szCs w:val="28"/>
          <w:lang w:val="ru-RU"/>
        </w:rPr>
        <w:t xml:space="preserve"> 2022 рік </w:t>
      </w:r>
      <w:r w:rsidRPr="004E66C0">
        <w:rPr>
          <w:sz w:val="28"/>
          <w:szCs w:val="28"/>
        </w:rPr>
        <w:t xml:space="preserve">до загального фонду Державного бюджету в сумі 7 128,3 млн грн мобілізовано до бюджету 5 199,1 млн грн або 72,9 відс. до доведеного прогнозу. </w:t>
      </w:r>
    </w:p>
    <w:p w:rsidR="00C16A9D" w:rsidRPr="009F317C" w:rsidRDefault="00C16A9D" w:rsidP="00C16A9D">
      <w:pPr>
        <w:pStyle w:val="310"/>
        <w:spacing w:after="0"/>
        <w:ind w:left="0" w:firstLine="567"/>
        <w:jc w:val="both"/>
        <w:rPr>
          <w:sz w:val="28"/>
          <w:szCs w:val="28"/>
        </w:rPr>
      </w:pPr>
      <w:r w:rsidRPr="009F317C">
        <w:rPr>
          <w:sz w:val="28"/>
          <w:szCs w:val="28"/>
        </w:rPr>
        <w:t xml:space="preserve">Ріст надходжень до </w:t>
      </w:r>
      <w:r w:rsidR="005B6C2C">
        <w:rPr>
          <w:sz w:val="28"/>
          <w:szCs w:val="28"/>
        </w:rPr>
        <w:t>2021 року</w:t>
      </w:r>
      <w:r w:rsidRPr="009F317C">
        <w:rPr>
          <w:sz w:val="28"/>
          <w:szCs w:val="28"/>
        </w:rPr>
        <w:t xml:space="preserve"> становить </w:t>
      </w:r>
      <w:r>
        <w:rPr>
          <w:sz w:val="28"/>
          <w:szCs w:val="28"/>
        </w:rPr>
        <w:t xml:space="preserve"> </w:t>
      </w:r>
      <w:r w:rsidRPr="009F317C">
        <w:rPr>
          <w:sz w:val="28"/>
          <w:szCs w:val="28"/>
        </w:rPr>
        <w:t>988,7 млн грн або 23,5 відсотки.</w:t>
      </w:r>
    </w:p>
    <w:p w:rsidR="00C16A9D" w:rsidRPr="0083033A" w:rsidRDefault="00C16A9D" w:rsidP="00C16A9D">
      <w:pPr>
        <w:tabs>
          <w:tab w:val="left" w:pos="567"/>
          <w:tab w:val="left" w:pos="709"/>
          <w:tab w:val="left" w:pos="851"/>
        </w:tabs>
        <w:ind w:firstLine="567"/>
        <w:jc w:val="both"/>
        <w:rPr>
          <w:sz w:val="28"/>
          <w:szCs w:val="28"/>
          <w:lang w:eastAsia="zh-CN"/>
        </w:rPr>
      </w:pPr>
      <w:r w:rsidRPr="0083033A">
        <w:rPr>
          <w:sz w:val="28"/>
          <w:szCs w:val="28"/>
          <w:lang w:eastAsia="zh-CN"/>
        </w:rPr>
        <w:t xml:space="preserve">За підсумками діяльності за 9 місяців 2022 року доходи  платників склали 324 905 млн грн, що на 60 699,0 млн грн або на 15,7 відс. менше в порівнянні із аналогічним періодом минулого року. При цьому нарахування податку на прибуток зменшились на 12,2 млн грн  або на 0,3 відс. та склали 3497,5 </w:t>
      </w:r>
      <w:r w:rsidR="001949D0">
        <w:rPr>
          <w:sz w:val="28"/>
          <w:szCs w:val="28"/>
          <w:lang w:eastAsia="zh-CN"/>
        </w:rPr>
        <w:t xml:space="preserve">             </w:t>
      </w:r>
      <w:r w:rsidRPr="0083033A">
        <w:rPr>
          <w:sz w:val="28"/>
          <w:szCs w:val="28"/>
          <w:lang w:eastAsia="zh-CN"/>
        </w:rPr>
        <w:t>млн гривень. Податкова ефективність за 9 місяців 2022 року склала 1,08 відс., що на 0,17 відсоткових пункти більше показника за 9 місяців 2021 року</w:t>
      </w:r>
      <w:r w:rsidR="001949D0">
        <w:rPr>
          <w:sz w:val="28"/>
          <w:szCs w:val="28"/>
          <w:lang w:eastAsia="zh-CN"/>
        </w:rPr>
        <w:t xml:space="preserve">                </w:t>
      </w:r>
      <w:r w:rsidRPr="0083033A">
        <w:rPr>
          <w:sz w:val="28"/>
          <w:szCs w:val="28"/>
          <w:lang w:eastAsia="zh-CN"/>
        </w:rPr>
        <w:t xml:space="preserve"> (0,91 відсотка).</w:t>
      </w:r>
    </w:p>
    <w:p w:rsidR="00C16A9D" w:rsidRPr="00E97F5F" w:rsidRDefault="00C16A9D" w:rsidP="00C16A9D">
      <w:pPr>
        <w:tabs>
          <w:tab w:val="left" w:pos="567"/>
          <w:tab w:val="left" w:pos="709"/>
          <w:tab w:val="left" w:pos="851"/>
        </w:tabs>
        <w:ind w:firstLine="567"/>
        <w:jc w:val="both"/>
        <w:rPr>
          <w:sz w:val="28"/>
          <w:szCs w:val="28"/>
          <w:lang w:eastAsia="zh-CN"/>
        </w:rPr>
      </w:pPr>
      <w:r w:rsidRPr="00E97F5F">
        <w:rPr>
          <w:sz w:val="28"/>
          <w:szCs w:val="28"/>
          <w:lang w:eastAsia="zh-CN"/>
        </w:rPr>
        <w:t xml:space="preserve">Всього по </w:t>
      </w:r>
      <w:r w:rsidR="0036419C">
        <w:rPr>
          <w:sz w:val="28"/>
          <w:szCs w:val="28"/>
          <w:lang w:eastAsia="zh-CN"/>
        </w:rPr>
        <w:t>Міжрегіональному</w:t>
      </w:r>
      <w:r w:rsidRPr="00E97F5F">
        <w:rPr>
          <w:sz w:val="28"/>
          <w:szCs w:val="28"/>
          <w:lang w:eastAsia="zh-CN"/>
        </w:rPr>
        <w:t xml:space="preserve"> </w:t>
      </w:r>
      <w:r w:rsidRPr="00E97F5F">
        <w:rPr>
          <w:sz w:val="28"/>
          <w:szCs w:val="28"/>
        </w:rPr>
        <w:t xml:space="preserve">управлінню </w:t>
      </w:r>
      <w:r w:rsidRPr="00E97F5F">
        <w:rPr>
          <w:sz w:val="28"/>
          <w:szCs w:val="28"/>
          <w:lang w:eastAsia="zh-CN"/>
        </w:rPr>
        <w:t xml:space="preserve">за підсумками 9 місяців 2022 року 57 великих платників податків або 38,3 відс. від загального числа платників податку на прибуток збільшили нарахування порівняно з 9 місяцями 2021 року на загальну суму 1 803,0 млн гривень. </w:t>
      </w:r>
    </w:p>
    <w:p w:rsidR="00C16A9D" w:rsidRPr="0083033A" w:rsidRDefault="00C16A9D" w:rsidP="00C16A9D">
      <w:pPr>
        <w:tabs>
          <w:tab w:val="left" w:pos="567"/>
          <w:tab w:val="left" w:pos="709"/>
          <w:tab w:val="left" w:pos="851"/>
        </w:tabs>
        <w:ind w:firstLine="567"/>
        <w:jc w:val="both"/>
        <w:rPr>
          <w:sz w:val="28"/>
          <w:szCs w:val="28"/>
          <w:lang w:eastAsia="zh-CN"/>
        </w:rPr>
      </w:pPr>
      <w:r w:rsidRPr="0083033A">
        <w:rPr>
          <w:sz w:val="28"/>
          <w:szCs w:val="28"/>
          <w:lang w:eastAsia="zh-CN"/>
        </w:rPr>
        <w:t xml:space="preserve">За підсумками діяльності за 9 місяців 2022 року 46 суб’єктів господарювання задекларували збитки на суму 15 915,0 млн гривень. У порівнянні із аналогічним періодом минулого року кількість збиткових підприємств збільшилася на 17 СГ або на 58,6 відс., а суми збитків зменшилися на 11 853,1 млн грн  або на </w:t>
      </w:r>
      <w:r w:rsidR="0051103A">
        <w:rPr>
          <w:sz w:val="28"/>
          <w:szCs w:val="28"/>
          <w:lang w:eastAsia="zh-CN"/>
        </w:rPr>
        <w:t xml:space="preserve">           </w:t>
      </w:r>
      <w:r w:rsidRPr="0083033A">
        <w:rPr>
          <w:sz w:val="28"/>
          <w:szCs w:val="28"/>
          <w:lang w:eastAsia="zh-CN"/>
        </w:rPr>
        <w:t>42,7 відсотка.</w:t>
      </w:r>
    </w:p>
    <w:p w:rsidR="00C16A9D" w:rsidRPr="002E684C" w:rsidRDefault="00C16A9D" w:rsidP="00C16A9D">
      <w:pPr>
        <w:ind w:firstLine="567"/>
        <w:jc w:val="both"/>
        <w:rPr>
          <w:sz w:val="28"/>
          <w:szCs w:val="28"/>
        </w:rPr>
      </w:pPr>
      <w:r w:rsidRPr="002E684C">
        <w:rPr>
          <w:sz w:val="28"/>
          <w:szCs w:val="28"/>
        </w:rPr>
        <w:t xml:space="preserve">По </w:t>
      </w:r>
      <w:r w:rsidRPr="00062177">
        <w:rPr>
          <w:b/>
          <w:sz w:val="28"/>
          <w:szCs w:val="28"/>
        </w:rPr>
        <w:t>частині чистого прибутку</w:t>
      </w:r>
      <w:r w:rsidRPr="002E684C">
        <w:rPr>
          <w:sz w:val="28"/>
          <w:szCs w:val="28"/>
        </w:rPr>
        <w:t xml:space="preserve"> (доходу) державних підприємств при доведеному на 2022 рік показнику в сумі 122,1 млн грн забезпечено надходження в сумі 103,7 млн грн, що становить 85,0 відс. до планового показника.</w:t>
      </w:r>
      <w:r>
        <w:rPr>
          <w:sz w:val="28"/>
          <w:szCs w:val="28"/>
        </w:rPr>
        <w:t xml:space="preserve"> </w:t>
      </w:r>
      <w:r w:rsidRPr="002E684C">
        <w:rPr>
          <w:sz w:val="28"/>
          <w:szCs w:val="28"/>
        </w:rPr>
        <w:t>У порівнянні з 2021 роком надходження частини чистого прибутку (доходу) зменшилась на 76,6 млн грн або на 57,5 відсотк</w:t>
      </w:r>
      <w:r>
        <w:rPr>
          <w:sz w:val="28"/>
          <w:szCs w:val="28"/>
        </w:rPr>
        <w:t>а</w:t>
      </w:r>
      <w:r w:rsidRPr="002E684C">
        <w:rPr>
          <w:sz w:val="28"/>
          <w:szCs w:val="28"/>
        </w:rPr>
        <w:t>.</w:t>
      </w:r>
    </w:p>
    <w:p w:rsidR="00C16A9D" w:rsidRPr="002E684C" w:rsidRDefault="00C16A9D" w:rsidP="00C16A9D">
      <w:pPr>
        <w:pStyle w:val="310"/>
        <w:spacing w:after="0"/>
        <w:ind w:left="0" w:firstLine="720"/>
        <w:jc w:val="both"/>
        <w:rPr>
          <w:sz w:val="28"/>
          <w:szCs w:val="28"/>
        </w:rPr>
      </w:pPr>
    </w:p>
    <w:p w:rsidR="00C16A9D" w:rsidRDefault="00C16A9D" w:rsidP="00C16A9D">
      <w:pPr>
        <w:pStyle w:val="310"/>
        <w:spacing w:after="0"/>
        <w:ind w:left="0" w:firstLine="567"/>
        <w:jc w:val="both"/>
        <w:rPr>
          <w:sz w:val="28"/>
          <w:szCs w:val="28"/>
          <w:lang w:val="en-US"/>
        </w:rPr>
      </w:pPr>
      <w:r w:rsidRPr="007A1DA6">
        <w:rPr>
          <w:sz w:val="28"/>
          <w:szCs w:val="28"/>
        </w:rPr>
        <w:t xml:space="preserve">По </w:t>
      </w:r>
      <w:r w:rsidRPr="00966399">
        <w:rPr>
          <w:b/>
          <w:sz w:val="28"/>
          <w:szCs w:val="28"/>
        </w:rPr>
        <w:t>акцизному податку</w:t>
      </w:r>
      <w:r w:rsidRPr="007A1DA6">
        <w:rPr>
          <w:sz w:val="28"/>
          <w:szCs w:val="28"/>
        </w:rPr>
        <w:t xml:space="preserve"> при доведен</w:t>
      </w:r>
      <w:r>
        <w:rPr>
          <w:sz w:val="28"/>
          <w:szCs w:val="28"/>
        </w:rPr>
        <w:t>ому</w:t>
      </w:r>
      <w:r w:rsidRPr="007A1DA6">
        <w:rPr>
          <w:sz w:val="28"/>
          <w:szCs w:val="28"/>
        </w:rPr>
        <w:t xml:space="preserve"> </w:t>
      </w:r>
      <w:r>
        <w:rPr>
          <w:sz w:val="28"/>
          <w:szCs w:val="28"/>
        </w:rPr>
        <w:t>показнику</w:t>
      </w:r>
      <w:r w:rsidRPr="007A1DA6">
        <w:rPr>
          <w:sz w:val="28"/>
          <w:szCs w:val="28"/>
        </w:rPr>
        <w:t xml:space="preserve"> з акцизного податку до загального фонду Державного бюджету з вироблених в України товарів у розмірі </w:t>
      </w:r>
      <w:r>
        <w:rPr>
          <w:sz w:val="28"/>
          <w:szCs w:val="28"/>
        </w:rPr>
        <w:lastRenderedPageBreak/>
        <w:t>378,5</w:t>
      </w:r>
      <w:r w:rsidRPr="007A1DA6">
        <w:rPr>
          <w:sz w:val="28"/>
          <w:szCs w:val="28"/>
        </w:rPr>
        <w:t xml:space="preserve"> млн</w:t>
      </w:r>
      <w:r>
        <w:rPr>
          <w:sz w:val="28"/>
          <w:szCs w:val="28"/>
        </w:rPr>
        <w:t> </w:t>
      </w:r>
      <w:r w:rsidRPr="007A1DA6">
        <w:rPr>
          <w:sz w:val="28"/>
          <w:szCs w:val="28"/>
        </w:rPr>
        <w:t xml:space="preserve">грн, </w:t>
      </w:r>
      <w:r>
        <w:rPr>
          <w:sz w:val="28"/>
          <w:szCs w:val="28"/>
        </w:rPr>
        <w:t>мобілізовано до бюджету 371,4 млн грн, що становить 98,1 відс., недобір 7,1 млн гривень.</w:t>
      </w:r>
    </w:p>
    <w:p w:rsidR="00BD6BE3" w:rsidRDefault="00BD6BE3" w:rsidP="00C16A9D">
      <w:pPr>
        <w:pStyle w:val="310"/>
        <w:spacing w:after="0"/>
        <w:ind w:left="0" w:firstLine="567"/>
        <w:jc w:val="both"/>
        <w:rPr>
          <w:sz w:val="28"/>
          <w:szCs w:val="28"/>
        </w:rPr>
      </w:pPr>
    </w:p>
    <w:p w:rsidR="00C16A9D" w:rsidRDefault="00C16A9D" w:rsidP="00C16A9D">
      <w:pPr>
        <w:ind w:left="34" w:firstLine="533"/>
        <w:jc w:val="both"/>
        <w:rPr>
          <w:sz w:val="28"/>
          <w:szCs w:val="28"/>
        </w:rPr>
      </w:pPr>
      <w:r>
        <w:rPr>
          <w:sz w:val="28"/>
          <w:szCs w:val="28"/>
        </w:rPr>
        <w:t>В</w:t>
      </w:r>
      <w:r>
        <w:rPr>
          <w:sz w:val="28"/>
          <w:szCs w:val="28"/>
          <w:lang w:val="en-US"/>
        </w:rPr>
        <w:t xml:space="preserve">иконання </w:t>
      </w:r>
      <w:r w:rsidR="00732CE9">
        <w:rPr>
          <w:sz w:val="28"/>
          <w:szCs w:val="28"/>
        </w:rPr>
        <w:t xml:space="preserve">доведених показників </w:t>
      </w:r>
      <w:r w:rsidRPr="004A3700">
        <w:rPr>
          <w:sz w:val="28"/>
          <w:szCs w:val="28"/>
        </w:rPr>
        <w:t>в розрізі підакцизної продукції:</w:t>
      </w:r>
    </w:p>
    <w:p w:rsidR="00C16A9D" w:rsidRPr="004A3700" w:rsidRDefault="00C16A9D" w:rsidP="00C16A9D">
      <w:pPr>
        <w:ind w:left="34" w:firstLine="533"/>
        <w:jc w:val="both"/>
        <w:rPr>
          <w:sz w:val="28"/>
          <w:szCs w:val="28"/>
        </w:rPr>
      </w:pPr>
      <w:r w:rsidRPr="004A3700">
        <w:rPr>
          <w:sz w:val="28"/>
          <w:szCs w:val="28"/>
        </w:rPr>
        <w:t xml:space="preserve">- пиво – </w:t>
      </w:r>
      <w:r>
        <w:rPr>
          <w:sz w:val="28"/>
          <w:szCs w:val="28"/>
        </w:rPr>
        <w:t>108,4</w:t>
      </w:r>
      <w:r w:rsidRPr="004A3700">
        <w:rPr>
          <w:sz w:val="28"/>
          <w:szCs w:val="28"/>
        </w:rPr>
        <w:t xml:space="preserve"> млн грн або 10</w:t>
      </w:r>
      <w:r>
        <w:rPr>
          <w:sz w:val="28"/>
          <w:szCs w:val="28"/>
        </w:rPr>
        <w:t>4,4</w:t>
      </w:r>
      <w:r w:rsidR="00BD6BE3">
        <w:rPr>
          <w:sz w:val="28"/>
          <w:szCs w:val="28"/>
        </w:rPr>
        <w:t xml:space="preserve"> відс.</w:t>
      </w:r>
      <w:r w:rsidRPr="004A3700">
        <w:rPr>
          <w:sz w:val="28"/>
          <w:szCs w:val="28"/>
        </w:rPr>
        <w:t xml:space="preserve"> (на </w:t>
      </w:r>
      <w:r>
        <w:rPr>
          <w:sz w:val="28"/>
          <w:szCs w:val="28"/>
        </w:rPr>
        <w:t>4,6</w:t>
      </w:r>
      <w:r w:rsidRPr="004A3700">
        <w:rPr>
          <w:sz w:val="28"/>
          <w:szCs w:val="28"/>
        </w:rPr>
        <w:t xml:space="preserve"> млн грн більше від завдання);</w:t>
      </w:r>
    </w:p>
    <w:p w:rsidR="00C16A9D" w:rsidRPr="004A3700" w:rsidRDefault="00C16A9D" w:rsidP="00C16A9D">
      <w:pPr>
        <w:ind w:left="34" w:firstLine="533"/>
        <w:jc w:val="both"/>
        <w:rPr>
          <w:sz w:val="28"/>
          <w:szCs w:val="28"/>
        </w:rPr>
      </w:pPr>
      <w:r w:rsidRPr="004A3700">
        <w:rPr>
          <w:sz w:val="28"/>
          <w:szCs w:val="28"/>
        </w:rPr>
        <w:t xml:space="preserve">- лікеро-горілчана продукція – </w:t>
      </w:r>
      <w:r>
        <w:rPr>
          <w:sz w:val="28"/>
          <w:szCs w:val="28"/>
        </w:rPr>
        <w:t>170,5</w:t>
      </w:r>
      <w:r w:rsidRPr="004A3700">
        <w:rPr>
          <w:sz w:val="28"/>
          <w:szCs w:val="28"/>
        </w:rPr>
        <w:t xml:space="preserve"> млн грн або </w:t>
      </w:r>
      <w:r w:rsidRPr="00BD6BE3">
        <w:rPr>
          <w:sz w:val="28"/>
          <w:szCs w:val="28"/>
        </w:rPr>
        <w:t>97,8</w:t>
      </w:r>
      <w:r w:rsidRPr="004A3700">
        <w:rPr>
          <w:sz w:val="28"/>
          <w:szCs w:val="28"/>
        </w:rPr>
        <w:t xml:space="preserve"> </w:t>
      </w:r>
      <w:r w:rsidR="00BD6BE3">
        <w:rPr>
          <w:sz w:val="28"/>
          <w:szCs w:val="28"/>
        </w:rPr>
        <w:t>відс.</w:t>
      </w:r>
      <w:r w:rsidRPr="004A3700">
        <w:rPr>
          <w:sz w:val="28"/>
          <w:szCs w:val="28"/>
        </w:rPr>
        <w:t xml:space="preserve"> (</w:t>
      </w:r>
      <w:r>
        <w:rPr>
          <w:sz w:val="28"/>
          <w:szCs w:val="28"/>
        </w:rPr>
        <w:t>недобір</w:t>
      </w:r>
      <w:r w:rsidRPr="004A3700">
        <w:rPr>
          <w:sz w:val="28"/>
          <w:szCs w:val="28"/>
        </w:rPr>
        <w:t xml:space="preserve"> </w:t>
      </w:r>
      <w:r>
        <w:rPr>
          <w:sz w:val="28"/>
          <w:szCs w:val="28"/>
        </w:rPr>
        <w:t>3,8</w:t>
      </w:r>
      <w:r w:rsidRPr="004A3700">
        <w:rPr>
          <w:sz w:val="28"/>
          <w:szCs w:val="28"/>
        </w:rPr>
        <w:t xml:space="preserve"> </w:t>
      </w:r>
      <w:r w:rsidR="004D2997">
        <w:rPr>
          <w:sz w:val="28"/>
          <w:szCs w:val="28"/>
        </w:rPr>
        <w:t xml:space="preserve">      </w:t>
      </w:r>
      <w:r w:rsidRPr="004A3700">
        <w:rPr>
          <w:sz w:val="28"/>
          <w:szCs w:val="28"/>
        </w:rPr>
        <w:t>млн грн);</w:t>
      </w:r>
    </w:p>
    <w:p w:rsidR="00C16A9D" w:rsidRDefault="00C16A9D" w:rsidP="00C16A9D">
      <w:pPr>
        <w:ind w:left="34" w:firstLine="533"/>
        <w:jc w:val="both"/>
        <w:rPr>
          <w:sz w:val="28"/>
          <w:szCs w:val="28"/>
        </w:rPr>
      </w:pPr>
      <w:r w:rsidRPr="004A3700">
        <w:rPr>
          <w:sz w:val="28"/>
          <w:szCs w:val="28"/>
        </w:rPr>
        <w:t xml:space="preserve">- виноробна продукція – </w:t>
      </w:r>
      <w:r>
        <w:rPr>
          <w:sz w:val="28"/>
          <w:szCs w:val="28"/>
        </w:rPr>
        <w:t>91,7</w:t>
      </w:r>
      <w:r w:rsidRPr="004A3700">
        <w:rPr>
          <w:sz w:val="28"/>
          <w:szCs w:val="28"/>
        </w:rPr>
        <w:t xml:space="preserve"> млн грн або </w:t>
      </w:r>
      <w:r>
        <w:rPr>
          <w:sz w:val="28"/>
          <w:szCs w:val="28"/>
        </w:rPr>
        <w:t>91,9</w:t>
      </w:r>
      <w:r w:rsidR="00BD6BE3">
        <w:rPr>
          <w:sz w:val="28"/>
          <w:szCs w:val="28"/>
        </w:rPr>
        <w:t xml:space="preserve"> відс.</w:t>
      </w:r>
      <w:r w:rsidRPr="004A3700">
        <w:rPr>
          <w:sz w:val="28"/>
          <w:szCs w:val="28"/>
        </w:rPr>
        <w:t xml:space="preserve"> (недобір </w:t>
      </w:r>
      <w:r>
        <w:rPr>
          <w:sz w:val="28"/>
          <w:szCs w:val="28"/>
        </w:rPr>
        <w:t>8,1</w:t>
      </w:r>
      <w:r w:rsidRPr="004A3700">
        <w:rPr>
          <w:sz w:val="28"/>
          <w:szCs w:val="28"/>
        </w:rPr>
        <w:t xml:space="preserve"> млн грн);</w:t>
      </w:r>
    </w:p>
    <w:p w:rsidR="00C16A9D" w:rsidRPr="004A3700" w:rsidRDefault="00C16A9D" w:rsidP="00C16A9D">
      <w:pPr>
        <w:ind w:left="34" w:firstLine="533"/>
        <w:jc w:val="both"/>
        <w:rPr>
          <w:sz w:val="28"/>
          <w:szCs w:val="28"/>
        </w:rPr>
      </w:pPr>
      <w:r w:rsidRPr="004A3700">
        <w:rPr>
          <w:sz w:val="28"/>
          <w:szCs w:val="28"/>
        </w:rPr>
        <w:t>- з імпорту підакцизної продукції – 0,</w:t>
      </w:r>
      <w:r>
        <w:rPr>
          <w:sz w:val="28"/>
          <w:szCs w:val="28"/>
        </w:rPr>
        <w:t>7</w:t>
      </w:r>
      <w:r w:rsidRPr="004A3700">
        <w:rPr>
          <w:sz w:val="28"/>
          <w:szCs w:val="28"/>
        </w:rPr>
        <w:t xml:space="preserve"> млн грн або </w:t>
      </w:r>
      <w:r>
        <w:rPr>
          <w:sz w:val="28"/>
          <w:szCs w:val="28"/>
        </w:rPr>
        <w:t>178</w:t>
      </w:r>
      <w:r w:rsidR="00BD6BE3">
        <w:rPr>
          <w:sz w:val="28"/>
          <w:szCs w:val="28"/>
        </w:rPr>
        <w:t xml:space="preserve"> відс.</w:t>
      </w:r>
      <w:r w:rsidRPr="004A3700">
        <w:rPr>
          <w:sz w:val="28"/>
          <w:szCs w:val="28"/>
        </w:rPr>
        <w:t xml:space="preserve"> (на 0,</w:t>
      </w:r>
      <w:r>
        <w:rPr>
          <w:sz w:val="28"/>
          <w:szCs w:val="28"/>
        </w:rPr>
        <w:t>5</w:t>
      </w:r>
      <w:r w:rsidRPr="004A3700">
        <w:rPr>
          <w:sz w:val="28"/>
          <w:szCs w:val="28"/>
        </w:rPr>
        <w:t xml:space="preserve"> млн грн більше від завдання).</w:t>
      </w:r>
    </w:p>
    <w:p w:rsidR="00C16A9D" w:rsidRPr="00625DB2" w:rsidRDefault="00C16A9D" w:rsidP="00C16A9D">
      <w:pPr>
        <w:ind w:left="34" w:firstLine="533"/>
        <w:jc w:val="both"/>
        <w:rPr>
          <w:i/>
          <w:sz w:val="28"/>
          <w:szCs w:val="28"/>
        </w:rPr>
      </w:pPr>
    </w:p>
    <w:p w:rsidR="00C16A9D" w:rsidRDefault="00C16A9D" w:rsidP="00C16A9D">
      <w:pPr>
        <w:ind w:left="34" w:firstLine="533"/>
        <w:jc w:val="both"/>
        <w:rPr>
          <w:sz w:val="28"/>
          <w:szCs w:val="28"/>
        </w:rPr>
      </w:pPr>
      <w:r w:rsidRPr="003A3340">
        <w:rPr>
          <w:sz w:val="28"/>
          <w:szCs w:val="28"/>
        </w:rPr>
        <w:t xml:space="preserve">На невиконання акцизного податку з виноробної продукції та з лікеро-горілчаної продукції по </w:t>
      </w:r>
      <w:r w:rsidR="00C34645" w:rsidRPr="003A3340">
        <w:rPr>
          <w:sz w:val="28"/>
          <w:szCs w:val="28"/>
          <w:lang w:eastAsia="zh-CN"/>
        </w:rPr>
        <w:t>Міжрегіональному</w:t>
      </w:r>
      <w:r w:rsidR="00C34645" w:rsidRPr="003A3340">
        <w:rPr>
          <w:sz w:val="28"/>
          <w:szCs w:val="28"/>
        </w:rPr>
        <w:t xml:space="preserve"> </w:t>
      </w:r>
      <w:r w:rsidRPr="003A3340">
        <w:rPr>
          <w:sz w:val="28"/>
          <w:szCs w:val="28"/>
        </w:rPr>
        <w:t xml:space="preserve">управлінню вплинула заборона на продаж алкоголю </w:t>
      </w:r>
      <w:r w:rsidR="00020AB9" w:rsidRPr="003A3340">
        <w:rPr>
          <w:sz w:val="28"/>
          <w:szCs w:val="28"/>
        </w:rPr>
        <w:t>відповідно до</w:t>
      </w:r>
      <w:r w:rsidRPr="003A3340">
        <w:rPr>
          <w:sz w:val="28"/>
          <w:szCs w:val="28"/>
        </w:rPr>
        <w:t xml:space="preserve"> З</w:t>
      </w:r>
      <w:r w:rsidR="00C34645" w:rsidRPr="003A3340">
        <w:rPr>
          <w:sz w:val="28"/>
          <w:szCs w:val="28"/>
        </w:rPr>
        <w:t>акон</w:t>
      </w:r>
      <w:r w:rsidR="00F769EF" w:rsidRPr="003A3340">
        <w:rPr>
          <w:sz w:val="28"/>
          <w:szCs w:val="28"/>
        </w:rPr>
        <w:t>у</w:t>
      </w:r>
      <w:r w:rsidR="00C34645" w:rsidRPr="003A3340">
        <w:rPr>
          <w:sz w:val="28"/>
          <w:szCs w:val="28"/>
        </w:rPr>
        <w:t xml:space="preserve"> </w:t>
      </w:r>
      <w:r w:rsidRPr="003A3340">
        <w:rPr>
          <w:sz w:val="28"/>
          <w:szCs w:val="28"/>
        </w:rPr>
        <w:t>У</w:t>
      </w:r>
      <w:r w:rsidR="00C34645" w:rsidRPr="003A3340">
        <w:rPr>
          <w:sz w:val="28"/>
          <w:szCs w:val="28"/>
        </w:rPr>
        <w:t>країни</w:t>
      </w:r>
      <w:r w:rsidRPr="003A3340">
        <w:rPr>
          <w:sz w:val="28"/>
          <w:szCs w:val="28"/>
        </w:rPr>
        <w:t xml:space="preserve"> </w:t>
      </w:r>
      <w:r w:rsidR="006C6391" w:rsidRPr="003A3340">
        <w:rPr>
          <w:sz w:val="28"/>
          <w:szCs w:val="28"/>
          <w:lang w:val="en-US"/>
        </w:rPr>
        <w:t>від 24.02.2022 №</w:t>
      </w:r>
      <w:r w:rsidR="006C6391" w:rsidRPr="003A3340">
        <w:rPr>
          <w:sz w:val="28"/>
          <w:szCs w:val="28"/>
        </w:rPr>
        <w:t xml:space="preserve"> </w:t>
      </w:r>
      <w:r w:rsidR="00C5472C" w:rsidRPr="003A3340">
        <w:rPr>
          <w:sz w:val="28"/>
          <w:szCs w:val="28"/>
        </w:rPr>
        <w:t>2102-IX</w:t>
      </w:r>
      <w:r w:rsidR="00C5472C" w:rsidRPr="003A3340">
        <w:t xml:space="preserve"> </w:t>
      </w:r>
      <w:r w:rsidRPr="003A3340">
        <w:rPr>
          <w:sz w:val="28"/>
          <w:szCs w:val="28"/>
        </w:rPr>
        <w:t xml:space="preserve">«Про затвердження Указу Президента «Про введення воєнного стану в Україні». </w:t>
      </w:r>
    </w:p>
    <w:p w:rsidR="003A3340" w:rsidRPr="003A3340" w:rsidRDefault="003A3340" w:rsidP="00C16A9D">
      <w:pPr>
        <w:ind w:left="34" w:firstLine="533"/>
        <w:jc w:val="both"/>
        <w:rPr>
          <w:sz w:val="28"/>
          <w:szCs w:val="28"/>
        </w:rPr>
      </w:pPr>
    </w:p>
    <w:p w:rsidR="00C16A9D" w:rsidRPr="00454D12" w:rsidRDefault="00C16A9D" w:rsidP="00C16A9D">
      <w:pPr>
        <w:ind w:left="34" w:firstLine="709"/>
        <w:jc w:val="both"/>
        <w:rPr>
          <w:sz w:val="28"/>
          <w:szCs w:val="28"/>
        </w:rPr>
      </w:pPr>
      <w:r w:rsidRPr="00454D12">
        <w:rPr>
          <w:sz w:val="28"/>
          <w:szCs w:val="28"/>
        </w:rPr>
        <w:t>В порівнянні до минулого року за січень-</w:t>
      </w:r>
      <w:r>
        <w:rPr>
          <w:sz w:val="28"/>
          <w:szCs w:val="28"/>
        </w:rPr>
        <w:t xml:space="preserve">листопад </w:t>
      </w:r>
      <w:r w:rsidRPr="00454D12">
        <w:rPr>
          <w:sz w:val="28"/>
          <w:szCs w:val="28"/>
        </w:rPr>
        <w:t xml:space="preserve">2022 року обсяги виробництва зменшилися на </w:t>
      </w:r>
      <w:r>
        <w:rPr>
          <w:sz w:val="28"/>
          <w:szCs w:val="28"/>
        </w:rPr>
        <w:t>69</w:t>
      </w:r>
      <w:r w:rsidRPr="00454D12">
        <w:rPr>
          <w:sz w:val="28"/>
          <w:szCs w:val="28"/>
        </w:rPr>
        <w:t>,</w:t>
      </w:r>
      <w:r>
        <w:rPr>
          <w:sz w:val="28"/>
          <w:szCs w:val="28"/>
        </w:rPr>
        <w:t>3</w:t>
      </w:r>
      <w:r w:rsidRPr="00454D12">
        <w:rPr>
          <w:sz w:val="28"/>
          <w:szCs w:val="28"/>
        </w:rPr>
        <w:t xml:space="preserve"> тис дал або на </w:t>
      </w:r>
      <w:r>
        <w:rPr>
          <w:sz w:val="28"/>
          <w:szCs w:val="28"/>
        </w:rPr>
        <w:t>31</w:t>
      </w:r>
      <w:r w:rsidRPr="00454D12">
        <w:rPr>
          <w:sz w:val="28"/>
          <w:szCs w:val="28"/>
        </w:rPr>
        <w:t>,</w:t>
      </w:r>
      <w:r>
        <w:rPr>
          <w:sz w:val="28"/>
          <w:szCs w:val="28"/>
        </w:rPr>
        <w:t>3</w:t>
      </w:r>
      <w:r w:rsidRPr="00454D12">
        <w:rPr>
          <w:sz w:val="28"/>
          <w:szCs w:val="28"/>
        </w:rPr>
        <w:t> </w:t>
      </w:r>
      <w:r w:rsidR="00B63761">
        <w:rPr>
          <w:sz w:val="28"/>
          <w:szCs w:val="28"/>
        </w:rPr>
        <w:t>відс.</w:t>
      </w:r>
      <w:r w:rsidRPr="00454D12">
        <w:rPr>
          <w:sz w:val="28"/>
          <w:szCs w:val="28"/>
        </w:rPr>
        <w:t>, сплата зменшилась на 3</w:t>
      </w:r>
      <w:r>
        <w:rPr>
          <w:sz w:val="28"/>
          <w:szCs w:val="28"/>
        </w:rPr>
        <w:t>2</w:t>
      </w:r>
      <w:r w:rsidRPr="00454D12">
        <w:rPr>
          <w:sz w:val="28"/>
          <w:szCs w:val="28"/>
        </w:rPr>
        <w:t>,</w:t>
      </w:r>
      <w:r>
        <w:rPr>
          <w:sz w:val="28"/>
          <w:szCs w:val="28"/>
        </w:rPr>
        <w:t>76</w:t>
      </w:r>
      <w:r w:rsidRPr="00454D12">
        <w:rPr>
          <w:sz w:val="28"/>
          <w:szCs w:val="28"/>
        </w:rPr>
        <w:t xml:space="preserve"> млн грн або на 2</w:t>
      </w:r>
      <w:r>
        <w:rPr>
          <w:sz w:val="28"/>
          <w:szCs w:val="28"/>
        </w:rPr>
        <w:t>6</w:t>
      </w:r>
      <w:r w:rsidRPr="00454D12">
        <w:rPr>
          <w:sz w:val="28"/>
          <w:szCs w:val="28"/>
        </w:rPr>
        <w:t>,</w:t>
      </w:r>
      <w:r>
        <w:rPr>
          <w:sz w:val="28"/>
          <w:szCs w:val="28"/>
        </w:rPr>
        <w:t>39 відсотки</w:t>
      </w:r>
      <w:r w:rsidRPr="00454D12">
        <w:rPr>
          <w:sz w:val="28"/>
          <w:szCs w:val="28"/>
        </w:rPr>
        <w:t>.</w:t>
      </w:r>
    </w:p>
    <w:p w:rsidR="00C16A9D" w:rsidRDefault="00C16A9D" w:rsidP="00C16A9D">
      <w:pPr>
        <w:pStyle w:val="310"/>
        <w:spacing w:after="0"/>
        <w:ind w:left="0" w:firstLine="567"/>
        <w:jc w:val="both"/>
        <w:rPr>
          <w:sz w:val="28"/>
          <w:szCs w:val="28"/>
        </w:rPr>
      </w:pPr>
      <w:r w:rsidRPr="007A1DA6">
        <w:rPr>
          <w:sz w:val="28"/>
          <w:szCs w:val="28"/>
        </w:rPr>
        <w:t>У порівнянні з 20</w:t>
      </w:r>
      <w:r>
        <w:rPr>
          <w:sz w:val="28"/>
          <w:szCs w:val="28"/>
        </w:rPr>
        <w:t>21</w:t>
      </w:r>
      <w:r w:rsidRPr="007A1DA6">
        <w:rPr>
          <w:sz w:val="28"/>
          <w:szCs w:val="28"/>
        </w:rPr>
        <w:t xml:space="preserve"> роком надходження акцизного податку збільшились на </w:t>
      </w:r>
      <w:r>
        <w:rPr>
          <w:sz w:val="28"/>
          <w:szCs w:val="28"/>
        </w:rPr>
        <w:t>10,3</w:t>
      </w:r>
      <w:r w:rsidRPr="007A1DA6">
        <w:rPr>
          <w:sz w:val="28"/>
          <w:szCs w:val="28"/>
        </w:rPr>
        <w:t> млн</w:t>
      </w:r>
      <w:r>
        <w:rPr>
          <w:sz w:val="28"/>
          <w:szCs w:val="28"/>
        </w:rPr>
        <w:t> </w:t>
      </w:r>
      <w:r w:rsidRPr="007A1DA6">
        <w:rPr>
          <w:sz w:val="28"/>
          <w:szCs w:val="28"/>
        </w:rPr>
        <w:t xml:space="preserve">грн або на </w:t>
      </w:r>
      <w:r>
        <w:rPr>
          <w:sz w:val="28"/>
          <w:szCs w:val="28"/>
        </w:rPr>
        <w:t>2,8 відсотки</w:t>
      </w:r>
      <w:r w:rsidRPr="007A1DA6">
        <w:rPr>
          <w:sz w:val="28"/>
          <w:szCs w:val="28"/>
        </w:rPr>
        <w:t>.</w:t>
      </w:r>
    </w:p>
    <w:p w:rsidR="00C16A9D" w:rsidRPr="007A1DA6" w:rsidRDefault="00C16A9D" w:rsidP="00C16A9D">
      <w:pPr>
        <w:pStyle w:val="310"/>
        <w:spacing w:after="0"/>
        <w:ind w:left="0" w:firstLine="567"/>
        <w:jc w:val="both"/>
        <w:rPr>
          <w:sz w:val="28"/>
          <w:szCs w:val="28"/>
        </w:rPr>
      </w:pPr>
      <w:r w:rsidRPr="007A1DA6">
        <w:rPr>
          <w:sz w:val="28"/>
          <w:szCs w:val="28"/>
        </w:rPr>
        <w:t xml:space="preserve"> </w:t>
      </w:r>
    </w:p>
    <w:p w:rsidR="00C16A9D" w:rsidRPr="00B9522A" w:rsidRDefault="00654E3E" w:rsidP="00C16A9D">
      <w:pPr>
        <w:spacing w:before="60"/>
        <w:ind w:firstLine="567"/>
        <w:jc w:val="both"/>
        <w:rPr>
          <w:sz w:val="28"/>
          <w:szCs w:val="28"/>
          <w:lang w:eastAsia="ru-RU"/>
        </w:rPr>
      </w:pPr>
      <w:r>
        <w:rPr>
          <w:sz w:val="28"/>
          <w:szCs w:val="28"/>
          <w:lang w:eastAsia="zh-CN"/>
        </w:rPr>
        <w:t>Міжрегіональним</w:t>
      </w:r>
      <w:r w:rsidRPr="00E97F5F">
        <w:rPr>
          <w:sz w:val="28"/>
          <w:szCs w:val="28"/>
          <w:lang w:eastAsia="zh-CN"/>
        </w:rPr>
        <w:t xml:space="preserve"> </w:t>
      </w:r>
      <w:r w:rsidR="00C16A9D" w:rsidRPr="00B9522A">
        <w:rPr>
          <w:sz w:val="28"/>
          <w:szCs w:val="28"/>
          <w:lang w:eastAsia="ru-RU"/>
        </w:rPr>
        <w:t>управлінням проаналізовано темпи росту надходження податку на доходи фізичних осіб за січень-грудень 2022 року до аналогічного періоду минулого року, та відповідність до темпів росту заробітної плати у розрізі галузей економіки.</w:t>
      </w:r>
    </w:p>
    <w:p w:rsidR="00C16A9D" w:rsidRPr="00B9522A" w:rsidRDefault="00C16A9D" w:rsidP="00C16A9D">
      <w:pPr>
        <w:spacing w:before="60"/>
        <w:ind w:firstLine="567"/>
        <w:jc w:val="both"/>
        <w:rPr>
          <w:sz w:val="28"/>
          <w:szCs w:val="28"/>
          <w:lang w:eastAsia="ru-RU"/>
        </w:rPr>
      </w:pPr>
      <w:r w:rsidRPr="00B9522A">
        <w:rPr>
          <w:sz w:val="28"/>
          <w:szCs w:val="28"/>
          <w:lang w:eastAsia="ru-RU"/>
        </w:rPr>
        <w:t xml:space="preserve">По підприємствах </w:t>
      </w:r>
      <w:r w:rsidR="00654E3E">
        <w:rPr>
          <w:sz w:val="28"/>
          <w:szCs w:val="28"/>
          <w:lang w:eastAsia="zh-CN"/>
        </w:rPr>
        <w:t>Міжрегіональним</w:t>
      </w:r>
      <w:r w:rsidR="00654E3E">
        <w:rPr>
          <w:sz w:val="28"/>
          <w:szCs w:val="28"/>
          <w:lang w:eastAsia="ru-RU"/>
        </w:rPr>
        <w:t xml:space="preserve"> </w:t>
      </w:r>
      <w:r w:rsidRPr="00B9522A">
        <w:rPr>
          <w:sz w:val="28"/>
          <w:szCs w:val="28"/>
          <w:lang w:eastAsia="ru-RU"/>
        </w:rPr>
        <w:t xml:space="preserve">управління відбувся ріст по підприємствах таких галузей: будівництво доріг та трубопроводів, розвідувальне буріння – ріст надходжень на 25,1 відс.; </w:t>
      </w:r>
      <w:r>
        <w:rPr>
          <w:sz w:val="28"/>
          <w:szCs w:val="28"/>
          <w:lang w:eastAsia="ru-RU"/>
        </w:rPr>
        <w:t xml:space="preserve">добування природного </w:t>
      </w:r>
      <w:r w:rsidRPr="00B9522A">
        <w:rPr>
          <w:sz w:val="28"/>
          <w:szCs w:val="28"/>
          <w:lang w:eastAsia="ru-RU"/>
        </w:rPr>
        <w:t>газу – у 2,5 рази; оптова торгівля – на 36,9 відс., роздрібна торгівля – на 3,1 відс.; виробництво харчових продуктів – на 8,5 відс.; виробництво нехарчової продукції – на 30,6 відс.; вища освіта – на 1,7 відсотків.</w:t>
      </w:r>
    </w:p>
    <w:p w:rsidR="00C16A9D" w:rsidRPr="00B9522A" w:rsidRDefault="00C16A9D" w:rsidP="00C16A9D">
      <w:pPr>
        <w:spacing w:before="60"/>
        <w:ind w:firstLine="567"/>
        <w:jc w:val="both"/>
        <w:rPr>
          <w:sz w:val="28"/>
          <w:szCs w:val="28"/>
          <w:lang w:eastAsia="ru-RU"/>
        </w:rPr>
      </w:pPr>
      <w:r w:rsidRPr="00B9522A">
        <w:rPr>
          <w:sz w:val="28"/>
          <w:szCs w:val="28"/>
          <w:lang w:eastAsia="ru-RU"/>
        </w:rPr>
        <w:t>Загалом досягнуто ріст надходжень ПДФО у січні-грудні 2022 року до відповідного періоду минулого року на 10,9 млн грн або 101,0 відсотків.</w:t>
      </w:r>
    </w:p>
    <w:p w:rsidR="00C16A9D" w:rsidRPr="001C1A1F" w:rsidRDefault="00C16A9D" w:rsidP="00C16A9D">
      <w:pPr>
        <w:ind w:firstLine="567"/>
        <w:jc w:val="both"/>
        <w:rPr>
          <w:sz w:val="28"/>
          <w:szCs w:val="28"/>
        </w:rPr>
      </w:pPr>
      <w:r w:rsidRPr="001C1A1F">
        <w:rPr>
          <w:sz w:val="28"/>
          <w:szCs w:val="28"/>
        </w:rPr>
        <w:t>По єдиному соціальному внеску при доведеному на 2022 рік показнику в сумі 6 380,2 млн грн забезпечено надходження в сумі 6 550,1 млн грн, що становить 102,7 відс. до планового показника.</w:t>
      </w:r>
    </w:p>
    <w:p w:rsidR="00C16A9D" w:rsidRPr="008A49AC" w:rsidRDefault="00C16A9D" w:rsidP="00C16A9D">
      <w:pPr>
        <w:ind w:firstLine="567"/>
        <w:jc w:val="both"/>
        <w:rPr>
          <w:sz w:val="28"/>
          <w:szCs w:val="28"/>
          <w:highlight w:val="yellow"/>
        </w:rPr>
      </w:pPr>
    </w:p>
    <w:p w:rsidR="00C16A9D" w:rsidRDefault="00C16A9D" w:rsidP="00C16A9D">
      <w:pPr>
        <w:pStyle w:val="31"/>
        <w:ind w:firstLine="567"/>
      </w:pPr>
      <w:r w:rsidRPr="001C1A1F">
        <w:t xml:space="preserve">З метою виконання показника </w:t>
      </w:r>
      <w:r w:rsidR="00865C63">
        <w:rPr>
          <w:lang w:eastAsia="zh-CN"/>
        </w:rPr>
        <w:t>Міжрегіональним</w:t>
      </w:r>
      <w:r w:rsidR="00865C63">
        <w:t xml:space="preserve"> </w:t>
      </w:r>
      <w:r w:rsidRPr="001C1A1F">
        <w:t>управлінням вживалися всі можливі заходи щодо пошуку додаткових резервів надходжень та розширення бази оподаткування ЄСВ, зокрема, вжиття заходів щодо погашення існуючої заборгованості з єдиного внеску.</w:t>
      </w:r>
    </w:p>
    <w:p w:rsidR="00C16A9D" w:rsidRDefault="00C16A9D" w:rsidP="00C16A9D">
      <w:pPr>
        <w:pStyle w:val="31"/>
        <w:ind w:firstLine="567"/>
      </w:pPr>
      <w:r w:rsidRPr="00BF7A41">
        <w:t>Станом на 01.</w:t>
      </w:r>
      <w:r>
        <w:t>01</w:t>
      </w:r>
      <w:r w:rsidRPr="00BF7A41">
        <w:t>.202</w:t>
      </w:r>
      <w:r>
        <w:rPr>
          <w:lang w:val="en-US"/>
        </w:rPr>
        <w:t>2</w:t>
      </w:r>
      <w:r w:rsidRPr="00BF7A41">
        <w:t xml:space="preserve"> заборгованість зі сплати ЄСВ по платниках </w:t>
      </w:r>
      <w:r w:rsidR="00865C63">
        <w:rPr>
          <w:lang w:eastAsia="zh-CN"/>
        </w:rPr>
        <w:t>Міжрегіонального</w:t>
      </w:r>
      <w:r w:rsidR="00865C63" w:rsidRPr="00BF7A41">
        <w:t xml:space="preserve"> </w:t>
      </w:r>
      <w:r w:rsidRPr="00BF7A41">
        <w:t xml:space="preserve">управління становила </w:t>
      </w:r>
      <w:r w:rsidRPr="00145790">
        <w:t>2</w:t>
      </w:r>
      <w:r>
        <w:t>0 351,6 </w:t>
      </w:r>
      <w:r w:rsidR="00E7777C">
        <w:t>тис гривень</w:t>
      </w:r>
      <w:r w:rsidRPr="00BF7A41">
        <w:t xml:space="preserve">. Протягом </w:t>
      </w:r>
      <w:r>
        <w:t>січня-грудня 2022 року</w:t>
      </w:r>
      <w:r w:rsidRPr="00BF7A41">
        <w:t xml:space="preserve"> за результатами вжитих заходів забезпечено надходження в рахунок погашення боргу по ЄСВ </w:t>
      </w:r>
      <w:r>
        <w:t>11 220,8</w:t>
      </w:r>
      <w:r w:rsidRPr="00E7440E">
        <w:t> тис</w:t>
      </w:r>
      <w:r w:rsidRPr="00746BCF">
        <w:t> гривень</w:t>
      </w:r>
      <w:r w:rsidRPr="00BF7A41">
        <w:t>.</w:t>
      </w:r>
    </w:p>
    <w:p w:rsidR="00C16A9D" w:rsidRPr="004B13FE" w:rsidRDefault="00E7353E" w:rsidP="00D43155">
      <w:pPr>
        <w:pStyle w:val="31"/>
        <w:ind w:firstLine="567"/>
      </w:pPr>
      <w:r>
        <w:lastRenderedPageBreak/>
        <w:t>З</w:t>
      </w:r>
      <w:r w:rsidR="00C16A9D" w:rsidRPr="004B13FE">
        <w:t xml:space="preserve"> метою вжиття дієвих заходів спільно з органами місцевого самоврядування, спрямованих на упередження порушень чинного законодавства з питань оплати праці, </w:t>
      </w:r>
      <w:r>
        <w:rPr>
          <w:lang w:eastAsia="zh-CN"/>
        </w:rPr>
        <w:t>Міжрегіональним</w:t>
      </w:r>
      <w:r w:rsidRPr="004B13FE">
        <w:t xml:space="preserve"> </w:t>
      </w:r>
      <w:r w:rsidR="00C16A9D" w:rsidRPr="004B13FE">
        <w:t>управлінням що</w:t>
      </w:r>
      <w:r w:rsidR="00C16A9D">
        <w:t>квартал</w:t>
      </w:r>
      <w:r>
        <w:t>у</w:t>
      </w:r>
      <w:r w:rsidR="00C16A9D" w:rsidRPr="004B13FE">
        <w:t xml:space="preserve"> скеровується до Львівської міської ради інформація щодо кількості найманих працівників, фонду оплати праці, середньої заробітної плати та сплати ПДФО для Міської комісії з питань легалізації виплати заробітної плати та зайнятості населення, ліквідації заборгованості з виплати заробітної плати і забезпечення повноти і своєчасності сплати податків та єдиного соціального внеску.</w:t>
      </w:r>
    </w:p>
    <w:p w:rsidR="00C16A9D" w:rsidRPr="008A49AC" w:rsidRDefault="00C16A9D" w:rsidP="00C16A9D">
      <w:pPr>
        <w:pStyle w:val="31"/>
        <w:ind w:firstLine="709"/>
        <w:rPr>
          <w:sz w:val="16"/>
          <w:szCs w:val="16"/>
          <w:highlight w:val="yellow"/>
        </w:rPr>
      </w:pPr>
    </w:p>
    <w:p w:rsidR="00C16A9D" w:rsidRPr="00B53D90" w:rsidRDefault="00142F35" w:rsidP="00D43155">
      <w:pPr>
        <w:ind w:firstLine="567"/>
        <w:jc w:val="both"/>
        <w:rPr>
          <w:sz w:val="28"/>
          <w:szCs w:val="28"/>
        </w:rPr>
      </w:pPr>
      <w:r>
        <w:rPr>
          <w:sz w:val="28"/>
          <w:szCs w:val="28"/>
          <w:lang w:eastAsia="zh-CN"/>
        </w:rPr>
        <w:t>Міжрегіональним</w:t>
      </w:r>
      <w:r>
        <w:rPr>
          <w:sz w:val="28"/>
          <w:szCs w:val="28"/>
          <w:lang w:eastAsia="ru-RU"/>
        </w:rPr>
        <w:t xml:space="preserve"> </w:t>
      </w:r>
      <w:r w:rsidR="00C16A9D" w:rsidRPr="00B53D90">
        <w:rPr>
          <w:sz w:val="28"/>
          <w:szCs w:val="28"/>
          <w:lang w:eastAsia="ru-RU"/>
        </w:rPr>
        <w:t>управлінням п</w:t>
      </w:r>
      <w:r w:rsidR="00C16A9D" w:rsidRPr="00B53D90">
        <w:rPr>
          <w:sz w:val="28"/>
          <w:szCs w:val="28"/>
        </w:rPr>
        <w:t xml:space="preserve">ротягом 2022 року проведено </w:t>
      </w:r>
      <w:r w:rsidR="00C16A9D" w:rsidRPr="00B53D90">
        <w:rPr>
          <w:sz w:val="28"/>
          <w:szCs w:val="28"/>
          <w:lang w:val="en-US"/>
        </w:rPr>
        <w:t>146</w:t>
      </w:r>
      <w:r w:rsidR="00C16A9D" w:rsidRPr="00B53D90">
        <w:rPr>
          <w:sz w:val="28"/>
          <w:szCs w:val="28"/>
        </w:rPr>
        <w:t xml:space="preserve"> результативних камеральних перевірок, за результатами яких встановлено порушення щодо несвоєчасної сплати, несвоєчасного подання декларацій, несвоєчасної реєстрації накладних та донараховано </w:t>
      </w:r>
      <w:r w:rsidR="00C16A9D" w:rsidRPr="00B53D90">
        <w:rPr>
          <w:sz w:val="28"/>
          <w:szCs w:val="28"/>
          <w:lang w:val="en-US"/>
        </w:rPr>
        <w:t>22 611</w:t>
      </w:r>
      <w:r w:rsidR="00C16A9D" w:rsidRPr="00B53D90">
        <w:rPr>
          <w:sz w:val="28"/>
          <w:szCs w:val="28"/>
        </w:rPr>
        <w:t>,</w:t>
      </w:r>
      <w:r w:rsidR="00C16A9D" w:rsidRPr="00B53D90">
        <w:rPr>
          <w:sz w:val="28"/>
          <w:szCs w:val="28"/>
          <w:lang w:val="en-US"/>
        </w:rPr>
        <w:t>4</w:t>
      </w:r>
      <w:r w:rsidR="00C16A9D" w:rsidRPr="00B53D90">
        <w:rPr>
          <w:sz w:val="28"/>
          <w:szCs w:val="28"/>
        </w:rPr>
        <w:t xml:space="preserve"> тис гривень.</w:t>
      </w:r>
    </w:p>
    <w:p w:rsidR="00C16A9D" w:rsidRPr="00B53D90" w:rsidRDefault="00C16A9D" w:rsidP="00D43155">
      <w:pPr>
        <w:ind w:firstLine="567"/>
        <w:jc w:val="both"/>
        <w:rPr>
          <w:sz w:val="28"/>
          <w:szCs w:val="28"/>
        </w:rPr>
      </w:pPr>
      <w:r w:rsidRPr="00B53D90">
        <w:rPr>
          <w:sz w:val="28"/>
          <w:szCs w:val="28"/>
        </w:rPr>
        <w:t xml:space="preserve">За несвоєчасну сплату узгоджених грошових зобов’язань застосовано штрафні санкції на суму </w:t>
      </w:r>
      <w:r>
        <w:rPr>
          <w:sz w:val="28"/>
          <w:szCs w:val="28"/>
        </w:rPr>
        <w:t>1 775,5</w:t>
      </w:r>
      <w:r w:rsidRPr="00B53D90">
        <w:rPr>
          <w:sz w:val="28"/>
          <w:szCs w:val="28"/>
        </w:rPr>
        <w:t xml:space="preserve"> тис гривень.</w:t>
      </w:r>
    </w:p>
    <w:p w:rsidR="00C16A9D" w:rsidRPr="00996747" w:rsidRDefault="00C16A9D" w:rsidP="00D43155">
      <w:pPr>
        <w:ind w:firstLine="567"/>
        <w:jc w:val="both"/>
        <w:rPr>
          <w:sz w:val="28"/>
          <w:szCs w:val="28"/>
        </w:rPr>
      </w:pPr>
      <w:r w:rsidRPr="00996747">
        <w:rPr>
          <w:sz w:val="28"/>
          <w:szCs w:val="28"/>
        </w:rPr>
        <w:t>За неподання та/або несвоєчасне подання звітності застосовано штрафні санкції на суму 6</w:t>
      </w:r>
      <w:r>
        <w:rPr>
          <w:sz w:val="28"/>
          <w:szCs w:val="28"/>
        </w:rPr>
        <w:t>7</w:t>
      </w:r>
      <w:r w:rsidRPr="00996747">
        <w:rPr>
          <w:sz w:val="28"/>
          <w:szCs w:val="28"/>
        </w:rPr>
        <w:t xml:space="preserve"> тис гривень.</w:t>
      </w:r>
    </w:p>
    <w:p w:rsidR="00C16A9D" w:rsidRDefault="00C16A9D" w:rsidP="00D43155">
      <w:pPr>
        <w:ind w:firstLine="567"/>
        <w:jc w:val="both"/>
        <w:rPr>
          <w:sz w:val="28"/>
          <w:szCs w:val="28"/>
        </w:rPr>
      </w:pPr>
      <w:r w:rsidRPr="00996747">
        <w:rPr>
          <w:sz w:val="28"/>
          <w:szCs w:val="28"/>
        </w:rPr>
        <w:t>За несвоєчасну реєстрацію податкових накладних/ розрахунків коригування в ЄРПН застосовано штрафні санкції на суму 20 443,0 тис гривень.</w:t>
      </w:r>
    </w:p>
    <w:p w:rsidR="0028796E" w:rsidRDefault="0028796E" w:rsidP="00C16A9D">
      <w:pPr>
        <w:ind w:right="57" w:firstLine="567"/>
        <w:jc w:val="both"/>
        <w:rPr>
          <w:sz w:val="28"/>
          <w:szCs w:val="28"/>
        </w:rPr>
      </w:pPr>
    </w:p>
    <w:p w:rsidR="00A6196E" w:rsidRDefault="0049255B" w:rsidP="00D43155">
      <w:pPr>
        <w:tabs>
          <w:tab w:val="left" w:pos="176"/>
        </w:tabs>
        <w:ind w:firstLine="567"/>
        <w:contextualSpacing/>
        <w:jc w:val="both"/>
        <w:rPr>
          <w:sz w:val="28"/>
          <w:szCs w:val="28"/>
        </w:rPr>
      </w:pPr>
      <w:r>
        <w:rPr>
          <w:sz w:val="28"/>
          <w:szCs w:val="28"/>
        </w:rPr>
        <w:t>Протягом 2022 року з</w:t>
      </w:r>
      <w:r w:rsidR="0028796E" w:rsidRPr="0028796E">
        <w:rPr>
          <w:sz w:val="28"/>
          <w:szCs w:val="28"/>
        </w:rPr>
        <w:t xml:space="preserve">дійснено контроль за своєчасністю та повнотою подання платниками податків звітів про контрольовані операції за 2020-2021 роки. </w:t>
      </w:r>
    </w:p>
    <w:p w:rsidR="0028796E" w:rsidRPr="0028796E" w:rsidRDefault="0028796E" w:rsidP="00D43155">
      <w:pPr>
        <w:tabs>
          <w:tab w:val="left" w:pos="176"/>
        </w:tabs>
        <w:ind w:firstLine="567"/>
        <w:contextualSpacing/>
        <w:jc w:val="both"/>
        <w:rPr>
          <w:sz w:val="28"/>
          <w:szCs w:val="28"/>
        </w:rPr>
      </w:pPr>
      <w:r w:rsidRPr="0028796E">
        <w:rPr>
          <w:sz w:val="28"/>
          <w:szCs w:val="28"/>
        </w:rPr>
        <w:t>Проаналізовано звітність по 136 підприємствах.</w:t>
      </w:r>
      <w:r w:rsidRPr="0028796E">
        <w:rPr>
          <w:sz w:val="28"/>
          <w:szCs w:val="28"/>
          <w:lang w:val="en-US"/>
        </w:rPr>
        <w:t xml:space="preserve"> </w:t>
      </w:r>
      <w:r w:rsidRPr="0028796E">
        <w:rPr>
          <w:sz w:val="28"/>
          <w:szCs w:val="28"/>
        </w:rPr>
        <w:t>Сформовано та надіслано на адресу 93 підприємств запити щодо встановлених розбіжностей між обсягами контрольованих операцій</w:t>
      </w:r>
      <w:r w:rsidR="00B256E4">
        <w:rPr>
          <w:sz w:val="28"/>
          <w:szCs w:val="28"/>
        </w:rPr>
        <w:t>,</w:t>
      </w:r>
      <w:r w:rsidRPr="0028796E">
        <w:rPr>
          <w:sz w:val="28"/>
          <w:szCs w:val="28"/>
        </w:rPr>
        <w:t xml:space="preserve"> визначених прогнозним аналізом та фактичними даними поданих звітів про контрольовані операції за 2020-2021 роки.</w:t>
      </w:r>
    </w:p>
    <w:p w:rsidR="00985D69" w:rsidRDefault="00985D69" w:rsidP="00D43155">
      <w:pPr>
        <w:tabs>
          <w:tab w:val="left" w:pos="176"/>
        </w:tabs>
        <w:ind w:firstLine="567"/>
        <w:contextualSpacing/>
        <w:jc w:val="both"/>
        <w:rPr>
          <w:sz w:val="28"/>
          <w:szCs w:val="28"/>
        </w:rPr>
      </w:pPr>
    </w:p>
    <w:p w:rsidR="00A10015" w:rsidRPr="00F734D2" w:rsidRDefault="00A10015" w:rsidP="00D43155">
      <w:pPr>
        <w:ind w:firstLine="567"/>
        <w:jc w:val="both"/>
        <w:rPr>
          <w:sz w:val="28"/>
          <w:szCs w:val="28"/>
        </w:rPr>
      </w:pPr>
      <w:r>
        <w:rPr>
          <w:sz w:val="28"/>
          <w:szCs w:val="28"/>
        </w:rPr>
        <w:t>Протягом</w:t>
      </w:r>
      <w:r w:rsidRPr="00F734D2">
        <w:rPr>
          <w:sz w:val="28"/>
          <w:szCs w:val="28"/>
        </w:rPr>
        <w:t xml:space="preserve"> 2022 року забезпечено надходження до Державного бюджету в рахунок погашення податкового боргу в сумі </w:t>
      </w:r>
      <w:r>
        <w:rPr>
          <w:sz w:val="28"/>
          <w:szCs w:val="28"/>
        </w:rPr>
        <w:t>142 455</w:t>
      </w:r>
      <w:r w:rsidRPr="00F734D2">
        <w:rPr>
          <w:sz w:val="28"/>
          <w:szCs w:val="28"/>
        </w:rPr>
        <w:t xml:space="preserve">,4 тис гривень. </w:t>
      </w:r>
      <w:r w:rsidR="00B35A52">
        <w:rPr>
          <w:sz w:val="28"/>
          <w:szCs w:val="28"/>
        </w:rPr>
        <w:t>В</w:t>
      </w:r>
      <w:r>
        <w:rPr>
          <w:sz w:val="28"/>
          <w:szCs w:val="28"/>
        </w:rPr>
        <w:t>иставлено 6452 інкасових доручен</w:t>
      </w:r>
      <w:r w:rsidR="00B35A52">
        <w:rPr>
          <w:sz w:val="28"/>
          <w:szCs w:val="28"/>
        </w:rPr>
        <w:t>ь</w:t>
      </w:r>
      <w:r>
        <w:rPr>
          <w:sz w:val="28"/>
          <w:szCs w:val="28"/>
        </w:rPr>
        <w:t>, якими стягнуто 22 611 тис грн,</w:t>
      </w:r>
      <w:r w:rsidRPr="00F734D2">
        <w:rPr>
          <w:sz w:val="28"/>
          <w:szCs w:val="28"/>
        </w:rPr>
        <w:t xml:space="preserve"> за рахунок добровільної сплати</w:t>
      </w:r>
      <w:r>
        <w:rPr>
          <w:sz w:val="28"/>
          <w:szCs w:val="28"/>
        </w:rPr>
        <w:t xml:space="preserve"> надходження становлять 90584,5 тис гривень.</w:t>
      </w:r>
    </w:p>
    <w:p w:rsidR="00A10015" w:rsidRPr="00F734D2" w:rsidRDefault="00A10015" w:rsidP="00D43155">
      <w:pPr>
        <w:ind w:firstLine="567"/>
        <w:jc w:val="both"/>
        <w:rPr>
          <w:sz w:val="28"/>
          <w:szCs w:val="28"/>
        </w:rPr>
      </w:pPr>
      <w:r w:rsidRPr="00F734D2">
        <w:rPr>
          <w:sz w:val="28"/>
          <w:szCs w:val="28"/>
        </w:rPr>
        <w:t xml:space="preserve">На постійній основі скеровуються запити на підприємства, що перебувають на обліку в </w:t>
      </w:r>
      <w:r w:rsidR="00F22136">
        <w:rPr>
          <w:sz w:val="28"/>
          <w:szCs w:val="28"/>
          <w:lang w:eastAsia="zh-CN"/>
        </w:rPr>
        <w:t>Міжрегіональн</w:t>
      </w:r>
      <w:r w:rsidR="00330564">
        <w:rPr>
          <w:sz w:val="28"/>
          <w:szCs w:val="28"/>
          <w:lang w:eastAsia="zh-CN"/>
        </w:rPr>
        <w:t>ому</w:t>
      </w:r>
      <w:r w:rsidR="00F22136" w:rsidRPr="00BF7A41">
        <w:t xml:space="preserve"> </w:t>
      </w:r>
      <w:r w:rsidRPr="00F734D2">
        <w:rPr>
          <w:sz w:val="28"/>
          <w:szCs w:val="28"/>
        </w:rPr>
        <w:t>управлінні, щодо виявлення</w:t>
      </w:r>
      <w:r w:rsidR="00035749">
        <w:rPr>
          <w:sz w:val="28"/>
          <w:szCs w:val="28"/>
        </w:rPr>
        <w:t xml:space="preserve"> майна з ознаками безхазяйності.</w:t>
      </w:r>
      <w:r w:rsidRPr="00F734D2">
        <w:rPr>
          <w:sz w:val="28"/>
          <w:szCs w:val="28"/>
        </w:rPr>
        <w:t xml:space="preserve"> </w:t>
      </w:r>
      <w:r w:rsidR="00035749">
        <w:rPr>
          <w:sz w:val="28"/>
          <w:szCs w:val="28"/>
        </w:rPr>
        <w:t>П</w:t>
      </w:r>
      <w:r w:rsidRPr="00F734D2">
        <w:rPr>
          <w:sz w:val="28"/>
          <w:szCs w:val="28"/>
        </w:rPr>
        <w:t xml:space="preserve">одатковими керуючими при проведені перевірок стану збереження заставного майна, безпосередньо </w:t>
      </w:r>
      <w:r w:rsidR="00035749">
        <w:rPr>
          <w:sz w:val="28"/>
          <w:szCs w:val="28"/>
        </w:rPr>
        <w:t>н</w:t>
      </w:r>
      <w:r w:rsidRPr="00F734D2">
        <w:rPr>
          <w:sz w:val="28"/>
          <w:szCs w:val="28"/>
        </w:rPr>
        <w:t xml:space="preserve">а території підприємств проводяться огляди з метою виявлення майна з ознаками безхазяйності. </w:t>
      </w:r>
    </w:p>
    <w:p w:rsidR="00A10015" w:rsidRPr="00F734D2" w:rsidRDefault="00A10015" w:rsidP="00D43155">
      <w:pPr>
        <w:ind w:firstLine="567"/>
        <w:jc w:val="both"/>
        <w:rPr>
          <w:sz w:val="28"/>
          <w:szCs w:val="28"/>
        </w:rPr>
      </w:pPr>
      <w:r w:rsidRPr="00F734D2">
        <w:rPr>
          <w:sz w:val="28"/>
          <w:szCs w:val="28"/>
        </w:rPr>
        <w:t xml:space="preserve">Надходження в рахунок погашення заборгованості по ЄСВ </w:t>
      </w:r>
      <w:r>
        <w:rPr>
          <w:sz w:val="28"/>
          <w:szCs w:val="28"/>
        </w:rPr>
        <w:t>у</w:t>
      </w:r>
      <w:r w:rsidRPr="00F734D2">
        <w:rPr>
          <w:sz w:val="28"/>
          <w:szCs w:val="28"/>
        </w:rPr>
        <w:t xml:space="preserve"> 2022 ро</w:t>
      </w:r>
      <w:r>
        <w:rPr>
          <w:sz w:val="28"/>
          <w:szCs w:val="28"/>
        </w:rPr>
        <w:t>ці</w:t>
      </w:r>
      <w:r w:rsidRPr="00F734D2">
        <w:rPr>
          <w:sz w:val="28"/>
          <w:szCs w:val="28"/>
        </w:rPr>
        <w:t xml:space="preserve"> становлять </w:t>
      </w:r>
      <w:r>
        <w:rPr>
          <w:sz w:val="28"/>
          <w:szCs w:val="28"/>
        </w:rPr>
        <w:t>5688,2</w:t>
      </w:r>
      <w:r w:rsidRPr="00F734D2">
        <w:rPr>
          <w:sz w:val="28"/>
          <w:szCs w:val="28"/>
        </w:rPr>
        <w:t xml:space="preserve"> тис грн, </w:t>
      </w:r>
      <w:r w:rsidR="003E6007">
        <w:rPr>
          <w:sz w:val="28"/>
          <w:szCs w:val="28"/>
        </w:rPr>
        <w:t>доведений</w:t>
      </w:r>
      <w:r w:rsidRPr="00F734D2">
        <w:rPr>
          <w:sz w:val="28"/>
          <w:szCs w:val="28"/>
        </w:rPr>
        <w:t xml:space="preserve"> показник виконано</w:t>
      </w:r>
      <w:r>
        <w:rPr>
          <w:sz w:val="28"/>
          <w:szCs w:val="28"/>
        </w:rPr>
        <w:t xml:space="preserve"> в повному обсязі</w:t>
      </w:r>
      <w:r w:rsidRPr="00F734D2">
        <w:rPr>
          <w:sz w:val="28"/>
          <w:szCs w:val="28"/>
        </w:rPr>
        <w:t>.</w:t>
      </w:r>
    </w:p>
    <w:p w:rsidR="00A10015" w:rsidRPr="00F734D2" w:rsidRDefault="003E6007" w:rsidP="00D43155">
      <w:pPr>
        <w:ind w:firstLine="567"/>
        <w:jc w:val="both"/>
        <w:rPr>
          <w:sz w:val="28"/>
          <w:szCs w:val="28"/>
        </w:rPr>
      </w:pPr>
      <w:r>
        <w:rPr>
          <w:sz w:val="28"/>
          <w:szCs w:val="28"/>
        </w:rPr>
        <w:t>С</w:t>
      </w:r>
      <w:r w:rsidR="00A10015" w:rsidRPr="00F734D2">
        <w:rPr>
          <w:sz w:val="28"/>
          <w:szCs w:val="28"/>
        </w:rPr>
        <w:t>ума боргу</w:t>
      </w:r>
      <w:r w:rsidR="00A10015">
        <w:rPr>
          <w:sz w:val="28"/>
          <w:szCs w:val="28"/>
        </w:rPr>
        <w:t xml:space="preserve"> по ЄСВ</w:t>
      </w:r>
      <w:r w:rsidR="00A10015" w:rsidRPr="00F734D2">
        <w:rPr>
          <w:sz w:val="28"/>
          <w:szCs w:val="28"/>
        </w:rPr>
        <w:t>, що обліковувалась станом на 24</w:t>
      </w:r>
      <w:r>
        <w:rPr>
          <w:sz w:val="28"/>
          <w:szCs w:val="28"/>
        </w:rPr>
        <w:t>.02.</w:t>
      </w:r>
      <w:r w:rsidR="00A10015" w:rsidRPr="00F734D2">
        <w:rPr>
          <w:sz w:val="28"/>
          <w:szCs w:val="28"/>
        </w:rPr>
        <w:t>2022 року, передана в органи державної виконавчої служби на стягнення.</w:t>
      </w:r>
    </w:p>
    <w:p w:rsidR="00A10015" w:rsidRPr="008A4D38" w:rsidRDefault="00A10015" w:rsidP="00D43155">
      <w:pPr>
        <w:ind w:firstLine="567"/>
        <w:jc w:val="both"/>
        <w:rPr>
          <w:color w:val="000000"/>
          <w:sz w:val="28"/>
          <w:szCs w:val="28"/>
        </w:rPr>
      </w:pPr>
      <w:r w:rsidRPr="008A4D38">
        <w:rPr>
          <w:sz w:val="28"/>
          <w:szCs w:val="28"/>
        </w:rPr>
        <w:t xml:space="preserve">На обліку в </w:t>
      </w:r>
      <w:r w:rsidR="00FB4D26">
        <w:rPr>
          <w:sz w:val="28"/>
          <w:szCs w:val="28"/>
          <w:lang w:eastAsia="zh-CN"/>
        </w:rPr>
        <w:t>Міжрегіональному</w:t>
      </w:r>
      <w:r w:rsidR="00FB4D26" w:rsidRPr="00BF7A41">
        <w:t xml:space="preserve"> </w:t>
      </w:r>
      <w:r w:rsidR="00FB4D26" w:rsidRPr="00F734D2">
        <w:rPr>
          <w:sz w:val="28"/>
          <w:szCs w:val="28"/>
        </w:rPr>
        <w:t>управлінні</w:t>
      </w:r>
      <w:r w:rsidR="00FB4D26">
        <w:rPr>
          <w:sz w:val="28"/>
          <w:szCs w:val="28"/>
        </w:rPr>
        <w:t xml:space="preserve"> </w:t>
      </w:r>
      <w:r w:rsidRPr="008A4D38">
        <w:rPr>
          <w:color w:val="000000"/>
          <w:sz w:val="28"/>
          <w:szCs w:val="28"/>
        </w:rPr>
        <w:t>перебуває два платники</w:t>
      </w:r>
      <w:r w:rsidR="00FB4D26">
        <w:rPr>
          <w:color w:val="000000"/>
          <w:sz w:val="28"/>
          <w:szCs w:val="28"/>
        </w:rPr>
        <w:t xml:space="preserve"> податків</w:t>
      </w:r>
      <w:r w:rsidRPr="008A4D38">
        <w:rPr>
          <w:color w:val="000000"/>
          <w:sz w:val="28"/>
          <w:szCs w:val="28"/>
        </w:rPr>
        <w:t xml:space="preserve"> щодо яких обліковується заборгованість за іноземними кредитами.</w:t>
      </w:r>
    </w:p>
    <w:p w:rsidR="00A10015" w:rsidRDefault="00A10015" w:rsidP="00D43155">
      <w:pPr>
        <w:ind w:firstLine="567"/>
        <w:jc w:val="both"/>
        <w:rPr>
          <w:sz w:val="28"/>
          <w:szCs w:val="28"/>
        </w:rPr>
      </w:pPr>
      <w:r w:rsidRPr="00F734D2">
        <w:rPr>
          <w:sz w:val="28"/>
          <w:szCs w:val="28"/>
        </w:rPr>
        <w:t xml:space="preserve">З метою стягнення сум простроченої заборгованості суб’єктів господарювання перед державою (Автономною Республікою Крим чи територіальною громадою міста) за кредитами (позиками), залученими державою </w:t>
      </w:r>
      <w:r w:rsidRPr="00F734D2">
        <w:rPr>
          <w:sz w:val="28"/>
          <w:szCs w:val="28"/>
        </w:rPr>
        <w:lastRenderedPageBreak/>
        <w:t>(Автономною Республікою Крим чи територіальною громадою міста) або під державні (місцеві) гарантії, а також за кредитами з бюджету в порядку, визначеному Податковим кодексом України та іншими законами</w:t>
      </w:r>
      <w:r w:rsidR="00A64FE5">
        <w:rPr>
          <w:sz w:val="28"/>
          <w:szCs w:val="28"/>
        </w:rPr>
        <w:t>,</w:t>
      </w:r>
      <w:r w:rsidRPr="00F734D2">
        <w:rPr>
          <w:sz w:val="28"/>
          <w:szCs w:val="28"/>
        </w:rPr>
        <w:t xml:space="preserve"> </w:t>
      </w:r>
      <w:r w:rsidR="00A64FE5">
        <w:rPr>
          <w:sz w:val="28"/>
          <w:szCs w:val="28"/>
          <w:lang w:eastAsia="zh-CN"/>
        </w:rPr>
        <w:t>Міжрегіональним</w:t>
      </w:r>
      <w:r w:rsidR="00A64FE5" w:rsidRPr="00BF7A41">
        <w:t xml:space="preserve"> </w:t>
      </w:r>
      <w:r w:rsidR="00A64FE5" w:rsidRPr="00F734D2">
        <w:rPr>
          <w:sz w:val="28"/>
          <w:szCs w:val="28"/>
        </w:rPr>
        <w:t>управлін</w:t>
      </w:r>
      <w:r w:rsidR="00A64FE5">
        <w:rPr>
          <w:sz w:val="28"/>
          <w:szCs w:val="28"/>
        </w:rPr>
        <w:t>ням</w:t>
      </w:r>
      <w:r w:rsidRPr="00F734D2">
        <w:rPr>
          <w:sz w:val="28"/>
          <w:szCs w:val="28"/>
        </w:rPr>
        <w:t xml:space="preserve"> подано позови в суд.</w:t>
      </w:r>
    </w:p>
    <w:p w:rsidR="00A10015" w:rsidRPr="00F734D2" w:rsidRDefault="00A10015" w:rsidP="00794B0A">
      <w:pPr>
        <w:ind w:right="34" w:firstLine="567"/>
        <w:jc w:val="both"/>
        <w:rPr>
          <w:sz w:val="28"/>
          <w:szCs w:val="28"/>
        </w:rPr>
      </w:pPr>
      <w:r>
        <w:rPr>
          <w:sz w:val="28"/>
          <w:szCs w:val="28"/>
        </w:rPr>
        <w:t>Впродовж 2022 року</w:t>
      </w:r>
      <w:r w:rsidRPr="00F734D2">
        <w:rPr>
          <w:sz w:val="28"/>
          <w:szCs w:val="28"/>
          <w:lang w:val="en-US"/>
        </w:rPr>
        <w:t xml:space="preserve"> </w:t>
      </w:r>
      <w:r w:rsidRPr="00F734D2">
        <w:rPr>
          <w:sz w:val="28"/>
          <w:szCs w:val="28"/>
        </w:rPr>
        <w:t>ви</w:t>
      </w:r>
      <w:r>
        <w:rPr>
          <w:sz w:val="28"/>
          <w:szCs w:val="28"/>
          <w:lang w:val="en-US"/>
        </w:rPr>
        <w:t xml:space="preserve">дано </w:t>
      </w:r>
      <w:r>
        <w:rPr>
          <w:sz w:val="28"/>
          <w:szCs w:val="28"/>
        </w:rPr>
        <w:t>844</w:t>
      </w:r>
      <w:r w:rsidRPr="00F734D2">
        <w:rPr>
          <w:sz w:val="28"/>
          <w:szCs w:val="28"/>
          <w:lang w:val="en-US"/>
        </w:rPr>
        <w:t xml:space="preserve"> довідки про відсутність заборгованості з платежів, контроль за справлянням яких покладено на контролюючі органи</w:t>
      </w:r>
      <w:r w:rsidR="00794B0A">
        <w:rPr>
          <w:sz w:val="28"/>
          <w:szCs w:val="28"/>
        </w:rPr>
        <w:t>,</w:t>
      </w:r>
      <w:r w:rsidRPr="00F734D2">
        <w:rPr>
          <w:sz w:val="28"/>
          <w:szCs w:val="28"/>
        </w:rPr>
        <w:t xml:space="preserve"> </w:t>
      </w:r>
      <w:r w:rsidR="00794B0A">
        <w:rPr>
          <w:sz w:val="28"/>
          <w:szCs w:val="28"/>
        </w:rPr>
        <w:t>в</w:t>
      </w:r>
      <w:r w:rsidRPr="00F734D2">
        <w:rPr>
          <w:sz w:val="28"/>
          <w:szCs w:val="28"/>
        </w:rPr>
        <w:t xml:space="preserve"> тому числі 4</w:t>
      </w:r>
      <w:r>
        <w:rPr>
          <w:sz w:val="28"/>
          <w:szCs w:val="28"/>
        </w:rPr>
        <w:t>98</w:t>
      </w:r>
      <w:r w:rsidRPr="00F734D2">
        <w:rPr>
          <w:sz w:val="28"/>
          <w:szCs w:val="28"/>
        </w:rPr>
        <w:t xml:space="preserve"> довід</w:t>
      </w:r>
      <w:r>
        <w:rPr>
          <w:sz w:val="28"/>
          <w:szCs w:val="28"/>
        </w:rPr>
        <w:t>ок</w:t>
      </w:r>
      <w:r w:rsidRPr="00F734D2">
        <w:rPr>
          <w:sz w:val="28"/>
          <w:szCs w:val="28"/>
        </w:rPr>
        <w:t xml:space="preserve"> в електронному вигляді та </w:t>
      </w:r>
      <w:r>
        <w:rPr>
          <w:sz w:val="28"/>
          <w:szCs w:val="28"/>
        </w:rPr>
        <w:t>346</w:t>
      </w:r>
      <w:r w:rsidRPr="00F734D2">
        <w:rPr>
          <w:sz w:val="28"/>
          <w:szCs w:val="28"/>
        </w:rPr>
        <w:t xml:space="preserve"> довідок в ЦОП. </w:t>
      </w:r>
    </w:p>
    <w:p w:rsidR="00A10015" w:rsidRPr="00603216" w:rsidRDefault="00A10015" w:rsidP="00794B0A">
      <w:pPr>
        <w:shd w:val="clear" w:color="auto" w:fill="FFFFFF"/>
        <w:autoSpaceDE w:val="0"/>
        <w:autoSpaceDN w:val="0"/>
        <w:adjustRightInd w:val="0"/>
        <w:ind w:firstLine="567"/>
        <w:jc w:val="both"/>
        <w:rPr>
          <w:sz w:val="28"/>
          <w:szCs w:val="28"/>
        </w:rPr>
      </w:pPr>
      <w:r w:rsidRPr="00F734D2">
        <w:rPr>
          <w:sz w:val="28"/>
          <w:szCs w:val="28"/>
          <w:lang w:val="en-US"/>
        </w:rPr>
        <w:t>Причиною утворення податкового боргу, в переважній більшості, є несплачені донарахування по результатах контрольно-перевірочної роботи</w:t>
      </w:r>
      <w:r w:rsidR="00603216">
        <w:rPr>
          <w:sz w:val="28"/>
          <w:szCs w:val="28"/>
        </w:rPr>
        <w:t>.</w:t>
      </w:r>
    </w:p>
    <w:p w:rsidR="00A10015" w:rsidRPr="00F734D2" w:rsidRDefault="005052A3" w:rsidP="005052A3">
      <w:pPr>
        <w:ind w:right="-1" w:firstLine="567"/>
        <w:jc w:val="both"/>
        <w:rPr>
          <w:sz w:val="28"/>
          <w:szCs w:val="28"/>
          <w:lang w:val="en-US"/>
        </w:rPr>
      </w:pPr>
      <w:r>
        <w:rPr>
          <w:sz w:val="28"/>
          <w:szCs w:val="28"/>
        </w:rPr>
        <w:t>З</w:t>
      </w:r>
      <w:r w:rsidR="00A10015" w:rsidRPr="00F734D2">
        <w:rPr>
          <w:sz w:val="28"/>
          <w:szCs w:val="28"/>
          <w:lang w:val="en-US"/>
        </w:rPr>
        <w:t xml:space="preserve"> метою скорочення податкового боргу керівництвом </w:t>
      </w:r>
      <w:r>
        <w:rPr>
          <w:sz w:val="28"/>
          <w:szCs w:val="28"/>
          <w:lang w:eastAsia="zh-CN"/>
        </w:rPr>
        <w:t>Міжрегіонального</w:t>
      </w:r>
      <w:r w:rsidRPr="00BF7A41">
        <w:t xml:space="preserve"> </w:t>
      </w:r>
      <w:r w:rsidRPr="00F734D2">
        <w:rPr>
          <w:sz w:val="28"/>
          <w:szCs w:val="28"/>
        </w:rPr>
        <w:t>управлін</w:t>
      </w:r>
      <w:r>
        <w:rPr>
          <w:sz w:val="28"/>
          <w:szCs w:val="28"/>
        </w:rPr>
        <w:t>ня</w:t>
      </w:r>
      <w:r w:rsidR="00A10015" w:rsidRPr="00F734D2">
        <w:rPr>
          <w:sz w:val="28"/>
          <w:szCs w:val="28"/>
          <w:lang w:val="en-US"/>
        </w:rPr>
        <w:t xml:space="preserve"> пров</w:t>
      </w:r>
      <w:r w:rsidR="004009F2">
        <w:rPr>
          <w:sz w:val="28"/>
          <w:szCs w:val="28"/>
        </w:rPr>
        <w:t>едено</w:t>
      </w:r>
      <w:r w:rsidR="00A10015" w:rsidRPr="00F734D2">
        <w:rPr>
          <w:sz w:val="28"/>
          <w:szCs w:val="28"/>
          <w:lang w:val="en-US"/>
        </w:rPr>
        <w:t xml:space="preserve"> спільні наради з посадовими особами</w:t>
      </w:r>
      <w:r w:rsidR="00A10015" w:rsidRPr="00F734D2">
        <w:rPr>
          <w:sz w:val="28"/>
          <w:szCs w:val="28"/>
        </w:rPr>
        <w:t xml:space="preserve"> підприємств-боржників.</w:t>
      </w:r>
    </w:p>
    <w:p w:rsidR="00985D69" w:rsidRDefault="00985D69" w:rsidP="00794B0A">
      <w:pPr>
        <w:tabs>
          <w:tab w:val="left" w:pos="176"/>
        </w:tabs>
        <w:ind w:firstLine="567"/>
        <w:contextualSpacing/>
        <w:jc w:val="both"/>
        <w:rPr>
          <w:sz w:val="28"/>
          <w:szCs w:val="28"/>
        </w:rPr>
      </w:pPr>
    </w:p>
    <w:p w:rsidR="005E2652" w:rsidRPr="00F2734E" w:rsidRDefault="005E2652" w:rsidP="000A1BED">
      <w:pPr>
        <w:tabs>
          <w:tab w:val="left" w:pos="13320"/>
        </w:tabs>
        <w:ind w:firstLine="567"/>
        <w:jc w:val="both"/>
        <w:outlineLvl w:val="0"/>
        <w:rPr>
          <w:sz w:val="28"/>
          <w:szCs w:val="28"/>
        </w:rPr>
      </w:pPr>
      <w:r>
        <w:rPr>
          <w:sz w:val="28"/>
          <w:szCs w:val="28"/>
        </w:rPr>
        <w:t>Протягом</w:t>
      </w:r>
      <w:r w:rsidRPr="00F734D2">
        <w:rPr>
          <w:sz w:val="28"/>
          <w:szCs w:val="28"/>
        </w:rPr>
        <w:t xml:space="preserve"> 2022 року </w:t>
      </w:r>
      <w:r>
        <w:rPr>
          <w:sz w:val="28"/>
          <w:szCs w:val="28"/>
        </w:rPr>
        <w:t>з</w:t>
      </w:r>
      <w:r w:rsidRPr="00F2734E">
        <w:rPr>
          <w:sz w:val="28"/>
          <w:szCs w:val="28"/>
        </w:rPr>
        <w:t xml:space="preserve">абезпечено організацію роботи щодо проведення аналізу інформації ДПС щодо учасників ймовірних схем ухилення від оподаткування </w:t>
      </w:r>
      <w:r w:rsidR="001C70DF">
        <w:rPr>
          <w:sz w:val="28"/>
          <w:szCs w:val="28"/>
        </w:rPr>
        <w:t>та</w:t>
      </w:r>
      <w:r w:rsidRPr="00F2734E">
        <w:rPr>
          <w:sz w:val="28"/>
          <w:szCs w:val="28"/>
        </w:rPr>
        <w:t xml:space="preserve"> ланцюгах руху сум схемного ПДВ</w:t>
      </w:r>
      <w:r w:rsidR="008B628C">
        <w:rPr>
          <w:sz w:val="28"/>
          <w:szCs w:val="28"/>
        </w:rPr>
        <w:t>.</w:t>
      </w:r>
      <w:r w:rsidRPr="00F2734E">
        <w:rPr>
          <w:sz w:val="28"/>
          <w:szCs w:val="28"/>
        </w:rPr>
        <w:t xml:space="preserve"> </w:t>
      </w:r>
      <w:r w:rsidR="008B628C">
        <w:rPr>
          <w:sz w:val="28"/>
          <w:szCs w:val="28"/>
        </w:rPr>
        <w:t>У</w:t>
      </w:r>
      <w:r w:rsidRPr="00F2734E">
        <w:rPr>
          <w:sz w:val="28"/>
          <w:szCs w:val="28"/>
        </w:rPr>
        <w:t>загальнен</w:t>
      </w:r>
      <w:r w:rsidR="001C70DF">
        <w:rPr>
          <w:sz w:val="28"/>
          <w:szCs w:val="28"/>
        </w:rPr>
        <w:t>о</w:t>
      </w:r>
      <w:r w:rsidRPr="00F2734E">
        <w:rPr>
          <w:sz w:val="28"/>
          <w:szCs w:val="28"/>
        </w:rPr>
        <w:t xml:space="preserve"> отриман</w:t>
      </w:r>
      <w:r w:rsidR="001C70DF">
        <w:rPr>
          <w:sz w:val="28"/>
          <w:szCs w:val="28"/>
        </w:rPr>
        <w:t>у</w:t>
      </w:r>
      <w:r w:rsidRPr="00F2734E">
        <w:rPr>
          <w:sz w:val="28"/>
          <w:szCs w:val="28"/>
        </w:rPr>
        <w:t xml:space="preserve"> від структурних підрозділів </w:t>
      </w:r>
      <w:r w:rsidR="00495685">
        <w:rPr>
          <w:sz w:val="28"/>
          <w:szCs w:val="28"/>
          <w:lang w:eastAsia="zh-CN"/>
        </w:rPr>
        <w:t>Міжрегіонального</w:t>
      </w:r>
      <w:r w:rsidR="00495685" w:rsidRPr="00BF7A41">
        <w:t xml:space="preserve"> </w:t>
      </w:r>
      <w:r w:rsidR="00495685" w:rsidRPr="00F734D2">
        <w:rPr>
          <w:sz w:val="28"/>
          <w:szCs w:val="28"/>
        </w:rPr>
        <w:t>управлін</w:t>
      </w:r>
      <w:r w:rsidR="00495685">
        <w:rPr>
          <w:sz w:val="28"/>
          <w:szCs w:val="28"/>
        </w:rPr>
        <w:t>ня</w:t>
      </w:r>
      <w:r w:rsidR="00495685" w:rsidRPr="00F2734E">
        <w:rPr>
          <w:sz w:val="28"/>
          <w:szCs w:val="28"/>
        </w:rPr>
        <w:t xml:space="preserve"> </w:t>
      </w:r>
      <w:r w:rsidR="001C70DF">
        <w:rPr>
          <w:sz w:val="28"/>
          <w:szCs w:val="28"/>
        </w:rPr>
        <w:t>інформацію</w:t>
      </w:r>
      <w:r w:rsidR="001C70DF" w:rsidRPr="00F2734E">
        <w:rPr>
          <w:sz w:val="28"/>
          <w:szCs w:val="28"/>
        </w:rPr>
        <w:t xml:space="preserve"> </w:t>
      </w:r>
      <w:r w:rsidRPr="00F2734E">
        <w:rPr>
          <w:sz w:val="28"/>
          <w:szCs w:val="28"/>
        </w:rPr>
        <w:t>щодо результатів відпрацювання доведених ДПС ризикових платників за категоріями, визначеними Рекомендованим порядком взаємодії підрозділів ДФС з метою оперативного реагування, подолання та контролю податкових ризиків з ПДВ, затвердженого наказом ДПС від 28.07.2015 №</w:t>
      </w:r>
      <w:r w:rsidR="00E8695D">
        <w:rPr>
          <w:sz w:val="28"/>
          <w:szCs w:val="28"/>
        </w:rPr>
        <w:t xml:space="preserve"> </w:t>
      </w:r>
      <w:r w:rsidRPr="00F2734E">
        <w:rPr>
          <w:sz w:val="28"/>
          <w:szCs w:val="28"/>
        </w:rPr>
        <w:t xml:space="preserve">543. </w:t>
      </w:r>
    </w:p>
    <w:p w:rsidR="005573AE" w:rsidRPr="00F2734E" w:rsidRDefault="005573AE" w:rsidP="000A1BED">
      <w:pPr>
        <w:ind w:firstLine="567"/>
        <w:jc w:val="both"/>
        <w:rPr>
          <w:sz w:val="28"/>
          <w:szCs w:val="28"/>
        </w:rPr>
      </w:pPr>
      <w:r w:rsidRPr="00F2734E">
        <w:rPr>
          <w:sz w:val="28"/>
          <w:szCs w:val="28"/>
        </w:rPr>
        <w:t>За результатами оперативного моніторингу ПН/РК, поданих на реєстрацію в ЄРПН, направлено на адресу ГУ в областях за місцем обліку СГД- контрагентів, в т.ч. по ланцюгу постачання, 220 оперативних повідомлень щодо обміну інформацією про можливі факти формування платниками податків податкового кредиту з ознаками ризиковості.</w:t>
      </w:r>
    </w:p>
    <w:p w:rsidR="005573AE" w:rsidRDefault="00FF5B88" w:rsidP="000A1BED">
      <w:pPr>
        <w:tabs>
          <w:tab w:val="left" w:pos="176"/>
        </w:tabs>
        <w:ind w:firstLine="567"/>
        <w:contextualSpacing/>
        <w:jc w:val="both"/>
        <w:rPr>
          <w:rFonts w:eastAsia="Arial Unicode MS"/>
          <w:sz w:val="28"/>
          <w:szCs w:val="28"/>
        </w:rPr>
      </w:pPr>
      <w:r w:rsidRPr="00F2734E">
        <w:rPr>
          <w:rFonts w:eastAsia="Arial Unicode MS"/>
          <w:sz w:val="28"/>
          <w:szCs w:val="28"/>
        </w:rPr>
        <w:t xml:space="preserve">Упереджено розповсюдження схемного податкового кредиту на загальну суму </w:t>
      </w:r>
      <w:r w:rsidRPr="00FF5B88">
        <w:rPr>
          <w:rFonts w:eastAsia="Arial Unicode MS"/>
          <w:sz w:val="28"/>
          <w:szCs w:val="28"/>
        </w:rPr>
        <w:t>14,1 млн гр</w:t>
      </w:r>
      <w:r>
        <w:rPr>
          <w:rFonts w:eastAsia="Arial Unicode MS"/>
          <w:sz w:val="28"/>
          <w:szCs w:val="28"/>
        </w:rPr>
        <w:t>ивень.</w:t>
      </w:r>
    </w:p>
    <w:p w:rsidR="005E2652" w:rsidRPr="00FF5B88" w:rsidRDefault="005E2652" w:rsidP="00794B0A">
      <w:pPr>
        <w:tabs>
          <w:tab w:val="left" w:pos="176"/>
        </w:tabs>
        <w:ind w:firstLine="567"/>
        <w:contextualSpacing/>
        <w:jc w:val="both"/>
        <w:rPr>
          <w:sz w:val="28"/>
          <w:szCs w:val="28"/>
        </w:rPr>
      </w:pPr>
    </w:p>
    <w:p w:rsidR="004F11B1" w:rsidRPr="00B228D7" w:rsidRDefault="00384ED7" w:rsidP="004F11B1">
      <w:pPr>
        <w:ind w:right="57" w:firstLine="567"/>
        <w:jc w:val="both"/>
        <w:rPr>
          <w:sz w:val="28"/>
          <w:szCs w:val="28"/>
        </w:rPr>
      </w:pPr>
      <w:r>
        <w:rPr>
          <w:sz w:val="28"/>
          <w:szCs w:val="28"/>
        </w:rPr>
        <w:t>Відповідно до</w:t>
      </w:r>
      <w:r w:rsidR="004F11B1" w:rsidRPr="00B228D7">
        <w:rPr>
          <w:sz w:val="28"/>
          <w:szCs w:val="28"/>
        </w:rPr>
        <w:t xml:space="preserve"> Податкового кодексу України до обласних державних адміністрацій надано інформацію </w:t>
      </w:r>
      <w:r w:rsidR="0022280E">
        <w:rPr>
          <w:sz w:val="28"/>
          <w:szCs w:val="28"/>
        </w:rPr>
        <w:t>згідно</w:t>
      </w:r>
      <w:r w:rsidR="004F11B1" w:rsidRPr="00B228D7">
        <w:rPr>
          <w:sz w:val="28"/>
          <w:szCs w:val="28"/>
        </w:rPr>
        <w:t xml:space="preserve"> даних інформаційної системи органів ДПС про суми наданих податкових пільг, включаючи втрати доходів бюджету від їх надання, що відраховуються до місцевих бюджетів по платниках податків які знаходяться на обліку в </w:t>
      </w:r>
      <w:r w:rsidR="0022280E">
        <w:rPr>
          <w:sz w:val="28"/>
          <w:szCs w:val="28"/>
          <w:lang w:eastAsia="zh-CN"/>
        </w:rPr>
        <w:t>Міжрегіональному</w:t>
      </w:r>
      <w:r w:rsidR="0022280E" w:rsidRPr="00BF7A41">
        <w:t xml:space="preserve"> </w:t>
      </w:r>
      <w:r w:rsidR="004F11B1" w:rsidRPr="00B228D7">
        <w:rPr>
          <w:sz w:val="28"/>
          <w:szCs w:val="28"/>
        </w:rPr>
        <w:t>управлінні.</w:t>
      </w:r>
    </w:p>
    <w:p w:rsidR="004F11B1" w:rsidRDefault="004F11B1" w:rsidP="004F11B1">
      <w:pPr>
        <w:ind w:right="57" w:firstLine="567"/>
        <w:jc w:val="both"/>
        <w:rPr>
          <w:sz w:val="28"/>
          <w:szCs w:val="28"/>
        </w:rPr>
      </w:pPr>
      <w:r w:rsidRPr="00B228D7">
        <w:rPr>
          <w:sz w:val="28"/>
          <w:szCs w:val="28"/>
        </w:rPr>
        <w:t>З метою обліку нарахованих і сплачених, повернутих та відшкодованих сум платежів забезпечено відкриття ІКП за кожним платником та кожним видом платежу, які мають сплачуватися такими платниками на рахунки, відкриті в розрізі адміністративно-територіальних одиниць.</w:t>
      </w:r>
    </w:p>
    <w:p w:rsidR="00985D69" w:rsidRDefault="00985D69" w:rsidP="00DF7B2B">
      <w:pPr>
        <w:tabs>
          <w:tab w:val="left" w:pos="176"/>
        </w:tabs>
        <w:ind w:firstLine="567"/>
        <w:contextualSpacing/>
        <w:jc w:val="both"/>
        <w:rPr>
          <w:sz w:val="28"/>
          <w:szCs w:val="28"/>
        </w:rPr>
      </w:pPr>
    </w:p>
    <w:p w:rsidR="005F3AA4" w:rsidRDefault="005F3AA4" w:rsidP="00DF7B2B">
      <w:pPr>
        <w:tabs>
          <w:tab w:val="left" w:pos="176"/>
        </w:tabs>
        <w:ind w:firstLine="567"/>
        <w:contextualSpacing/>
        <w:jc w:val="both"/>
        <w:rPr>
          <w:sz w:val="28"/>
          <w:szCs w:val="28"/>
        </w:rPr>
      </w:pPr>
    </w:p>
    <w:p w:rsidR="00212946" w:rsidRDefault="009D0CBE" w:rsidP="009D0CBE">
      <w:pPr>
        <w:ind w:left="-108" w:right="57"/>
        <w:jc w:val="center"/>
        <w:rPr>
          <w:b/>
          <w:bCs/>
          <w:sz w:val="28"/>
          <w:szCs w:val="28"/>
        </w:rPr>
      </w:pPr>
      <w:r w:rsidRPr="00DE6EC8">
        <w:rPr>
          <w:b/>
          <w:bCs/>
          <w:sz w:val="28"/>
          <w:szCs w:val="28"/>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w:t>
      </w:r>
      <w:r w:rsidR="00212946">
        <w:rPr>
          <w:b/>
          <w:bCs/>
          <w:sz w:val="28"/>
          <w:szCs w:val="28"/>
        </w:rPr>
        <w:t>иманням якого покладено</w:t>
      </w:r>
    </w:p>
    <w:p w:rsidR="009D0CBE" w:rsidRDefault="00212946" w:rsidP="009D0CBE">
      <w:pPr>
        <w:ind w:left="-108" w:right="57"/>
        <w:jc w:val="center"/>
        <w:rPr>
          <w:b/>
          <w:bCs/>
          <w:sz w:val="28"/>
          <w:szCs w:val="28"/>
        </w:rPr>
      </w:pPr>
      <w:r>
        <w:rPr>
          <w:b/>
          <w:bCs/>
          <w:sz w:val="28"/>
          <w:szCs w:val="28"/>
        </w:rPr>
        <w:t xml:space="preserve"> на ДПС</w:t>
      </w:r>
    </w:p>
    <w:p w:rsidR="00A0395C" w:rsidRDefault="00A0395C" w:rsidP="009D0CBE">
      <w:pPr>
        <w:ind w:left="-108" w:right="57"/>
        <w:jc w:val="center"/>
        <w:rPr>
          <w:b/>
          <w:bCs/>
          <w:sz w:val="28"/>
          <w:szCs w:val="28"/>
        </w:rPr>
      </w:pPr>
    </w:p>
    <w:p w:rsidR="00443B13" w:rsidRPr="00443B13" w:rsidRDefault="005A5A51" w:rsidP="00443B13">
      <w:pPr>
        <w:ind w:left="-108" w:right="57" w:firstLine="675"/>
        <w:jc w:val="both"/>
        <w:rPr>
          <w:sz w:val="28"/>
          <w:szCs w:val="28"/>
        </w:rPr>
      </w:pPr>
      <w:r>
        <w:rPr>
          <w:b/>
          <w:bCs/>
          <w:sz w:val="28"/>
          <w:szCs w:val="28"/>
        </w:rPr>
        <w:lastRenderedPageBreak/>
        <w:tab/>
      </w:r>
      <w:r w:rsidR="008D4A7A" w:rsidRPr="008D4A7A">
        <w:rPr>
          <w:sz w:val="28"/>
          <w:szCs w:val="28"/>
        </w:rPr>
        <w:t>У зв’язку із запровадженням воєнного стану в Україні з 24.02.2022</w:t>
      </w:r>
      <w:r w:rsidR="0080716F">
        <w:rPr>
          <w:sz w:val="28"/>
          <w:szCs w:val="28"/>
        </w:rPr>
        <w:t>,</w:t>
      </w:r>
      <w:r w:rsidR="008D4A7A" w:rsidRPr="008D4A7A">
        <w:rPr>
          <w:sz w:val="28"/>
          <w:szCs w:val="28"/>
        </w:rPr>
        <w:t xml:space="preserve"> документальні планові виїзні перевірки зупинено</w:t>
      </w:r>
      <w:r w:rsidR="008D4A7A">
        <w:rPr>
          <w:sz w:val="28"/>
          <w:szCs w:val="28"/>
        </w:rPr>
        <w:t>.</w:t>
      </w:r>
      <w:r w:rsidR="008D4A7A" w:rsidRPr="00443B13">
        <w:rPr>
          <w:sz w:val="28"/>
          <w:szCs w:val="28"/>
        </w:rPr>
        <w:t xml:space="preserve"> </w:t>
      </w:r>
      <w:r w:rsidR="008D4A7A">
        <w:rPr>
          <w:sz w:val="28"/>
          <w:szCs w:val="28"/>
        </w:rPr>
        <w:t>Н</w:t>
      </w:r>
      <w:r w:rsidR="00443B13" w:rsidRPr="00443B13">
        <w:rPr>
          <w:sz w:val="28"/>
          <w:szCs w:val="28"/>
        </w:rPr>
        <w:t xml:space="preserve">а виконання плану-графіка проведення документальних планових перевірок платників податків на 2022 рік розпочато 3 перевірки. </w:t>
      </w:r>
    </w:p>
    <w:p w:rsidR="00443B13" w:rsidRPr="00443B13" w:rsidRDefault="00FF0A67" w:rsidP="00443B13">
      <w:pPr>
        <w:ind w:left="-108" w:right="57" w:firstLine="675"/>
        <w:jc w:val="both"/>
        <w:rPr>
          <w:sz w:val="28"/>
          <w:szCs w:val="28"/>
        </w:rPr>
      </w:pPr>
      <w:r>
        <w:rPr>
          <w:sz w:val="28"/>
          <w:szCs w:val="28"/>
        </w:rPr>
        <w:t>П</w:t>
      </w:r>
      <w:r w:rsidR="00443B13" w:rsidRPr="00443B13">
        <w:rPr>
          <w:sz w:val="28"/>
          <w:szCs w:val="28"/>
        </w:rPr>
        <w:t xml:space="preserve">роєкт плану-графіка проведення документальних планових перевірок на 2023 рік </w:t>
      </w:r>
      <w:r w:rsidRPr="00443B13">
        <w:rPr>
          <w:sz w:val="28"/>
          <w:szCs w:val="28"/>
        </w:rPr>
        <w:t>надано на затвердження до ДПС</w:t>
      </w:r>
      <w:r>
        <w:rPr>
          <w:sz w:val="28"/>
          <w:szCs w:val="28"/>
        </w:rPr>
        <w:t>.</w:t>
      </w:r>
    </w:p>
    <w:p w:rsidR="00443B13" w:rsidRPr="00443B13" w:rsidRDefault="00FE6872" w:rsidP="00443B13">
      <w:pPr>
        <w:ind w:left="-108" w:right="57" w:firstLine="675"/>
        <w:jc w:val="both"/>
        <w:rPr>
          <w:sz w:val="28"/>
          <w:szCs w:val="28"/>
        </w:rPr>
      </w:pPr>
      <w:r>
        <w:rPr>
          <w:sz w:val="28"/>
          <w:szCs w:val="28"/>
        </w:rPr>
        <w:t>Протягом</w:t>
      </w:r>
      <w:r w:rsidRPr="00F734D2">
        <w:rPr>
          <w:sz w:val="28"/>
          <w:szCs w:val="28"/>
        </w:rPr>
        <w:t xml:space="preserve"> 2022 року</w:t>
      </w:r>
      <w:r w:rsidR="00443B13" w:rsidRPr="00443B13">
        <w:rPr>
          <w:sz w:val="28"/>
          <w:szCs w:val="28"/>
        </w:rPr>
        <w:t xml:space="preserve"> проведено 9 документальних позапланових невиїзних перевірок відповідно до підпункту 78.1.1 п</w:t>
      </w:r>
      <w:r>
        <w:rPr>
          <w:sz w:val="28"/>
          <w:szCs w:val="28"/>
        </w:rPr>
        <w:t>ункту</w:t>
      </w:r>
      <w:r w:rsidR="00443B13" w:rsidRPr="00443B13">
        <w:rPr>
          <w:sz w:val="28"/>
          <w:szCs w:val="28"/>
        </w:rPr>
        <w:t xml:space="preserve"> 78.1 статті 78 Податкового кодексу України, за результатами яких застосовано суму пені, у тому числі за порушення строку розрахунку у сфері зовнішньоекономічної діяльності у сумі </w:t>
      </w:r>
      <w:r w:rsidR="006352FE">
        <w:rPr>
          <w:sz w:val="28"/>
          <w:szCs w:val="28"/>
        </w:rPr>
        <w:t xml:space="preserve">     </w:t>
      </w:r>
      <w:r w:rsidR="00443B13" w:rsidRPr="00443B13">
        <w:rPr>
          <w:sz w:val="28"/>
          <w:szCs w:val="28"/>
        </w:rPr>
        <w:t>2 789,5 тис</w:t>
      </w:r>
      <w:r w:rsidR="001E687C">
        <w:rPr>
          <w:sz w:val="28"/>
          <w:szCs w:val="28"/>
        </w:rPr>
        <w:t xml:space="preserve"> грн,</w:t>
      </w:r>
      <w:r w:rsidR="00443B13" w:rsidRPr="00443B13">
        <w:rPr>
          <w:sz w:val="28"/>
          <w:szCs w:val="28"/>
        </w:rPr>
        <w:t xml:space="preserve"> з яких узгоджено 877,9 тис</w:t>
      </w:r>
      <w:r w:rsidR="001E687C">
        <w:rPr>
          <w:sz w:val="28"/>
          <w:szCs w:val="28"/>
        </w:rPr>
        <w:t xml:space="preserve"> </w:t>
      </w:r>
      <w:r w:rsidR="00443B13" w:rsidRPr="00443B13">
        <w:rPr>
          <w:sz w:val="28"/>
          <w:szCs w:val="28"/>
        </w:rPr>
        <w:t>грн та сплачено – 487,2 тис</w:t>
      </w:r>
      <w:r w:rsidR="001E687C">
        <w:rPr>
          <w:sz w:val="28"/>
          <w:szCs w:val="28"/>
        </w:rPr>
        <w:t xml:space="preserve"> </w:t>
      </w:r>
      <w:r w:rsidR="00443B13" w:rsidRPr="00443B13">
        <w:rPr>
          <w:sz w:val="28"/>
          <w:szCs w:val="28"/>
        </w:rPr>
        <w:t>гр</w:t>
      </w:r>
      <w:r w:rsidR="001E687C">
        <w:rPr>
          <w:sz w:val="28"/>
          <w:szCs w:val="28"/>
        </w:rPr>
        <w:t>ивень</w:t>
      </w:r>
      <w:r w:rsidR="00443B13" w:rsidRPr="00443B13">
        <w:rPr>
          <w:sz w:val="28"/>
          <w:szCs w:val="28"/>
        </w:rPr>
        <w:t>.</w:t>
      </w:r>
    </w:p>
    <w:p w:rsidR="00443B13" w:rsidRPr="00443B13" w:rsidRDefault="00443B13" w:rsidP="00443B13">
      <w:pPr>
        <w:ind w:left="-108" w:right="57" w:firstLine="675"/>
        <w:jc w:val="both"/>
        <w:rPr>
          <w:sz w:val="28"/>
          <w:szCs w:val="28"/>
        </w:rPr>
      </w:pPr>
      <w:r w:rsidRPr="00443B13">
        <w:rPr>
          <w:sz w:val="28"/>
          <w:szCs w:val="28"/>
        </w:rPr>
        <w:t xml:space="preserve">Проведено 3 документальних </w:t>
      </w:r>
      <w:r w:rsidR="00E26461">
        <w:rPr>
          <w:sz w:val="28"/>
          <w:szCs w:val="28"/>
        </w:rPr>
        <w:t xml:space="preserve">позапланових виїзних перевірок </w:t>
      </w:r>
      <w:r w:rsidRPr="00443B13">
        <w:rPr>
          <w:sz w:val="28"/>
          <w:szCs w:val="28"/>
        </w:rPr>
        <w:t xml:space="preserve">відповідно до підпункту </w:t>
      </w:r>
      <w:r w:rsidR="00E26461" w:rsidRPr="00443B13">
        <w:rPr>
          <w:sz w:val="28"/>
          <w:szCs w:val="28"/>
        </w:rPr>
        <w:t xml:space="preserve">підпункту </w:t>
      </w:r>
      <w:r w:rsidRPr="00443B13">
        <w:rPr>
          <w:sz w:val="28"/>
          <w:szCs w:val="28"/>
        </w:rPr>
        <w:t>78.1.8 п</w:t>
      </w:r>
      <w:r w:rsidR="00E26461">
        <w:rPr>
          <w:sz w:val="28"/>
          <w:szCs w:val="28"/>
        </w:rPr>
        <w:t>ункту</w:t>
      </w:r>
      <w:r w:rsidRPr="00443B13">
        <w:rPr>
          <w:sz w:val="28"/>
          <w:szCs w:val="28"/>
        </w:rPr>
        <w:t xml:space="preserve"> 78.1 статті 78 Податкового кодексу України щодо дотримання податкового законодавства з від'ємного значення з податку на додану вартість, яке становить більше 100 тис гривень</w:t>
      </w:r>
      <w:r w:rsidR="00E26461">
        <w:rPr>
          <w:sz w:val="28"/>
          <w:szCs w:val="28"/>
        </w:rPr>
        <w:t>,</w:t>
      </w:r>
      <w:r w:rsidRPr="00443B13">
        <w:rPr>
          <w:sz w:val="28"/>
          <w:szCs w:val="28"/>
        </w:rPr>
        <w:t xml:space="preserve"> за результатами яких зменшено суму від’ємного значення різниці між податковими зобов’язаннями та податковим кредитом з ПДВ на 8 028,7 тис </w:t>
      </w:r>
      <w:r w:rsidR="00E26461">
        <w:rPr>
          <w:sz w:val="28"/>
          <w:szCs w:val="28"/>
        </w:rPr>
        <w:t>гривень.</w:t>
      </w:r>
      <w:r w:rsidRPr="00443B13">
        <w:rPr>
          <w:sz w:val="28"/>
          <w:szCs w:val="28"/>
        </w:rPr>
        <w:t xml:space="preserve"> </w:t>
      </w:r>
    </w:p>
    <w:p w:rsidR="00443B13" w:rsidRPr="00443B13" w:rsidRDefault="00443B13" w:rsidP="00443B13">
      <w:pPr>
        <w:ind w:left="-108" w:right="57" w:firstLine="675"/>
        <w:jc w:val="both"/>
        <w:rPr>
          <w:sz w:val="28"/>
          <w:szCs w:val="28"/>
        </w:rPr>
      </w:pPr>
      <w:r w:rsidRPr="00443B13">
        <w:rPr>
          <w:sz w:val="28"/>
          <w:szCs w:val="28"/>
        </w:rPr>
        <w:t>Проведено 1 документальну позапланову виїзну перевірку відповідно до підпункту 78.1.7 п</w:t>
      </w:r>
      <w:r w:rsidR="000D71A4">
        <w:rPr>
          <w:sz w:val="28"/>
          <w:szCs w:val="28"/>
        </w:rPr>
        <w:t>ункту</w:t>
      </w:r>
      <w:r w:rsidRPr="00443B13">
        <w:rPr>
          <w:sz w:val="28"/>
          <w:szCs w:val="28"/>
        </w:rPr>
        <w:t xml:space="preserve"> 78.1 статті 78 Податкового кодексу України, за результатами якої донараховано 189,6 тис гр</w:t>
      </w:r>
      <w:r w:rsidR="000D71A4">
        <w:rPr>
          <w:sz w:val="28"/>
          <w:szCs w:val="28"/>
        </w:rPr>
        <w:t>ивень,</w:t>
      </w:r>
      <w:r w:rsidRPr="00443B13">
        <w:rPr>
          <w:sz w:val="28"/>
          <w:szCs w:val="28"/>
        </w:rPr>
        <w:t xml:space="preserve"> зменшено суму від’ємного значення об'єкта оподаткування на 67 450,5 тис гр</w:t>
      </w:r>
      <w:r w:rsidR="000D71A4">
        <w:rPr>
          <w:sz w:val="28"/>
          <w:szCs w:val="28"/>
        </w:rPr>
        <w:t>ивень</w:t>
      </w:r>
      <w:r w:rsidRPr="00443B13">
        <w:rPr>
          <w:sz w:val="28"/>
          <w:szCs w:val="28"/>
        </w:rPr>
        <w:t>.</w:t>
      </w:r>
    </w:p>
    <w:p w:rsidR="00443B13" w:rsidRPr="00443B13" w:rsidRDefault="00443B13" w:rsidP="00443B13">
      <w:pPr>
        <w:ind w:left="-108" w:right="57" w:firstLine="675"/>
        <w:jc w:val="both"/>
        <w:rPr>
          <w:sz w:val="28"/>
          <w:szCs w:val="28"/>
        </w:rPr>
      </w:pPr>
      <w:r w:rsidRPr="00443B13">
        <w:rPr>
          <w:sz w:val="28"/>
          <w:szCs w:val="28"/>
        </w:rPr>
        <w:t>Проведено 1 документальну позапланову виїзну перевірку</w:t>
      </w:r>
      <w:r w:rsidR="000D71A4">
        <w:rPr>
          <w:sz w:val="28"/>
          <w:szCs w:val="28"/>
        </w:rPr>
        <w:t xml:space="preserve"> </w:t>
      </w:r>
      <w:r w:rsidRPr="00443B13">
        <w:rPr>
          <w:sz w:val="28"/>
          <w:szCs w:val="28"/>
        </w:rPr>
        <w:t>відповідно до п</w:t>
      </w:r>
      <w:r w:rsidR="000D71A4">
        <w:rPr>
          <w:sz w:val="28"/>
          <w:szCs w:val="28"/>
        </w:rPr>
        <w:t>ункту</w:t>
      </w:r>
      <w:r w:rsidRPr="00443B13">
        <w:rPr>
          <w:sz w:val="28"/>
          <w:szCs w:val="28"/>
        </w:rPr>
        <w:t xml:space="preserve"> 78.2 ст</w:t>
      </w:r>
      <w:r w:rsidR="00473D41">
        <w:rPr>
          <w:sz w:val="28"/>
          <w:szCs w:val="28"/>
        </w:rPr>
        <w:t xml:space="preserve">атті </w:t>
      </w:r>
      <w:r w:rsidRPr="00443B13">
        <w:rPr>
          <w:sz w:val="28"/>
          <w:szCs w:val="28"/>
        </w:rPr>
        <w:t>78 Податкового кодексу України, за результатами якої донараховано 1 285,3 тис</w:t>
      </w:r>
      <w:r w:rsidR="00473D41">
        <w:rPr>
          <w:sz w:val="28"/>
          <w:szCs w:val="28"/>
        </w:rPr>
        <w:t xml:space="preserve"> грн</w:t>
      </w:r>
      <w:r w:rsidRPr="00443B13">
        <w:rPr>
          <w:sz w:val="28"/>
          <w:szCs w:val="28"/>
        </w:rPr>
        <w:t xml:space="preserve"> та розпочато 1 документальну позапланову</w:t>
      </w:r>
      <w:r w:rsidR="00473D41">
        <w:rPr>
          <w:sz w:val="28"/>
          <w:szCs w:val="28"/>
        </w:rPr>
        <w:t xml:space="preserve"> виїзну перевірку.</w:t>
      </w:r>
    </w:p>
    <w:p w:rsidR="005C0550" w:rsidRDefault="005C0550" w:rsidP="005C0550">
      <w:pPr>
        <w:ind w:left="-108" w:right="57" w:firstLine="675"/>
        <w:jc w:val="both"/>
        <w:rPr>
          <w:sz w:val="28"/>
          <w:szCs w:val="28"/>
        </w:rPr>
      </w:pPr>
      <w:r>
        <w:rPr>
          <w:sz w:val="28"/>
          <w:szCs w:val="28"/>
        </w:rPr>
        <w:t>П</w:t>
      </w:r>
      <w:r w:rsidRPr="00443B13">
        <w:rPr>
          <w:sz w:val="28"/>
          <w:szCs w:val="28"/>
        </w:rPr>
        <w:t xml:space="preserve">роведено 25 фактичних перевірок, за результатами яких донараховано </w:t>
      </w:r>
      <w:r w:rsidR="006352FE">
        <w:rPr>
          <w:sz w:val="28"/>
          <w:szCs w:val="28"/>
        </w:rPr>
        <w:t xml:space="preserve">       </w:t>
      </w:r>
      <w:r w:rsidRPr="00443B13">
        <w:rPr>
          <w:sz w:val="28"/>
          <w:szCs w:val="28"/>
        </w:rPr>
        <w:t>1034 тис</w:t>
      </w:r>
      <w:r>
        <w:rPr>
          <w:sz w:val="28"/>
          <w:szCs w:val="28"/>
        </w:rPr>
        <w:t xml:space="preserve"> гривень</w:t>
      </w:r>
      <w:r w:rsidRPr="00443B13">
        <w:rPr>
          <w:sz w:val="28"/>
          <w:szCs w:val="28"/>
        </w:rPr>
        <w:t>.</w:t>
      </w:r>
    </w:p>
    <w:p w:rsidR="00EC1459" w:rsidRPr="00443B13" w:rsidRDefault="00EC1459" w:rsidP="005C0550">
      <w:pPr>
        <w:ind w:left="-108" w:right="57" w:firstLine="675"/>
        <w:jc w:val="both"/>
        <w:rPr>
          <w:sz w:val="28"/>
          <w:szCs w:val="28"/>
        </w:rPr>
      </w:pPr>
    </w:p>
    <w:p w:rsidR="00825D31" w:rsidRDefault="00EC1459" w:rsidP="00EC1459">
      <w:pPr>
        <w:ind w:left="-108" w:right="57" w:firstLine="675"/>
        <w:jc w:val="both"/>
        <w:rPr>
          <w:sz w:val="28"/>
          <w:szCs w:val="28"/>
        </w:rPr>
      </w:pPr>
      <w:r w:rsidRPr="00EC1459">
        <w:rPr>
          <w:sz w:val="28"/>
          <w:szCs w:val="28"/>
        </w:rPr>
        <w:t xml:space="preserve">Проведено </w:t>
      </w:r>
      <w:r w:rsidRPr="00EC1459">
        <w:rPr>
          <w:sz w:val="28"/>
          <w:szCs w:val="28"/>
          <w:lang w:val="en-US"/>
        </w:rPr>
        <w:t>27</w:t>
      </w:r>
      <w:r w:rsidRPr="00EC1459">
        <w:rPr>
          <w:sz w:val="28"/>
          <w:szCs w:val="28"/>
        </w:rPr>
        <w:t xml:space="preserve"> документальних позапланових перевірок з питань достовірності нарахування суми бюджетного відшкодування, за результатами яких зменшено суму ПДВ, заявлену до відшкодування з бюджету на 14 578 тис гр</w:t>
      </w:r>
      <w:r>
        <w:rPr>
          <w:sz w:val="28"/>
          <w:szCs w:val="28"/>
        </w:rPr>
        <w:t>ивень.</w:t>
      </w:r>
      <w:r w:rsidRPr="00EC1459">
        <w:rPr>
          <w:sz w:val="28"/>
          <w:szCs w:val="28"/>
        </w:rPr>
        <w:t xml:space="preserve"> </w:t>
      </w:r>
      <w:r w:rsidR="00825D31">
        <w:rPr>
          <w:sz w:val="28"/>
          <w:szCs w:val="28"/>
        </w:rPr>
        <w:t xml:space="preserve">    </w:t>
      </w:r>
    </w:p>
    <w:p w:rsidR="00EC1459" w:rsidRPr="00EC1459" w:rsidRDefault="00EC1459" w:rsidP="00EC1459">
      <w:pPr>
        <w:ind w:left="-108" w:right="57" w:firstLine="675"/>
        <w:jc w:val="both"/>
        <w:rPr>
          <w:sz w:val="28"/>
          <w:szCs w:val="28"/>
        </w:rPr>
      </w:pPr>
      <w:r w:rsidRPr="00EC1459">
        <w:rPr>
          <w:sz w:val="28"/>
          <w:szCs w:val="28"/>
        </w:rPr>
        <w:t>Розпочато 7 документальних перевірок суб’єктів господарювання щодо достовірності нарахуван</w:t>
      </w:r>
      <w:r>
        <w:rPr>
          <w:sz w:val="28"/>
          <w:szCs w:val="28"/>
        </w:rPr>
        <w:t>ня бюджетного відшкодування ПДВ.</w:t>
      </w:r>
    </w:p>
    <w:p w:rsidR="005A5A51" w:rsidRPr="005A5A51" w:rsidRDefault="005A5A51" w:rsidP="005A5A51">
      <w:pPr>
        <w:tabs>
          <w:tab w:val="left" w:pos="676"/>
        </w:tabs>
        <w:ind w:left="-108" w:right="57"/>
        <w:rPr>
          <w:bCs/>
          <w:color w:val="FF0000"/>
          <w:sz w:val="28"/>
          <w:szCs w:val="28"/>
        </w:rPr>
      </w:pPr>
    </w:p>
    <w:p w:rsidR="00A0395C" w:rsidRPr="00B53D90" w:rsidRDefault="00A0395C" w:rsidP="00A0395C">
      <w:pPr>
        <w:ind w:firstLine="567"/>
        <w:jc w:val="both"/>
        <w:rPr>
          <w:sz w:val="28"/>
          <w:szCs w:val="28"/>
        </w:rPr>
      </w:pPr>
      <w:r>
        <w:rPr>
          <w:sz w:val="28"/>
          <w:szCs w:val="28"/>
          <w:lang w:eastAsia="ru-RU"/>
        </w:rPr>
        <w:t xml:space="preserve">Міжрегіональним </w:t>
      </w:r>
      <w:r w:rsidRPr="00B53D90">
        <w:rPr>
          <w:sz w:val="28"/>
          <w:szCs w:val="28"/>
          <w:lang w:eastAsia="ru-RU"/>
        </w:rPr>
        <w:t>управлінням п</w:t>
      </w:r>
      <w:r w:rsidRPr="00B53D90">
        <w:rPr>
          <w:sz w:val="28"/>
          <w:szCs w:val="28"/>
        </w:rPr>
        <w:t xml:space="preserve">ротягом 2022 року проведено </w:t>
      </w:r>
      <w:r w:rsidRPr="00B53D90">
        <w:rPr>
          <w:sz w:val="28"/>
          <w:szCs w:val="28"/>
          <w:lang w:val="en-US"/>
        </w:rPr>
        <w:t>146</w:t>
      </w:r>
      <w:r w:rsidRPr="00B53D90">
        <w:rPr>
          <w:sz w:val="28"/>
          <w:szCs w:val="28"/>
        </w:rPr>
        <w:t xml:space="preserve"> результативних камеральних перевірок, за результатами яких встановлено порушення щодо несвоєчасної сплати, несвоєчасного подання декларацій, несвоєчасної реєстрації накладних та донараховано </w:t>
      </w:r>
      <w:r w:rsidRPr="00B53D90">
        <w:rPr>
          <w:sz w:val="28"/>
          <w:szCs w:val="28"/>
          <w:lang w:val="en-US"/>
        </w:rPr>
        <w:t>22 611</w:t>
      </w:r>
      <w:r w:rsidRPr="00B53D90">
        <w:rPr>
          <w:sz w:val="28"/>
          <w:szCs w:val="28"/>
        </w:rPr>
        <w:t>,</w:t>
      </w:r>
      <w:r w:rsidRPr="00B53D90">
        <w:rPr>
          <w:sz w:val="28"/>
          <w:szCs w:val="28"/>
          <w:lang w:val="en-US"/>
        </w:rPr>
        <w:t>4</w:t>
      </w:r>
      <w:r w:rsidRPr="00B53D90">
        <w:rPr>
          <w:sz w:val="28"/>
          <w:szCs w:val="28"/>
        </w:rPr>
        <w:t xml:space="preserve"> тис гривень.</w:t>
      </w:r>
    </w:p>
    <w:p w:rsidR="00A0395C" w:rsidRPr="00B53D90" w:rsidRDefault="00A0395C" w:rsidP="00A0395C">
      <w:pPr>
        <w:ind w:firstLine="567"/>
        <w:jc w:val="both"/>
        <w:rPr>
          <w:sz w:val="28"/>
          <w:szCs w:val="28"/>
        </w:rPr>
      </w:pPr>
      <w:r w:rsidRPr="00B53D90">
        <w:rPr>
          <w:sz w:val="28"/>
          <w:szCs w:val="28"/>
        </w:rPr>
        <w:t xml:space="preserve">За несвоєчасну сплату узгоджених грошових зобов’язань застосовано штрафні санкції на суму </w:t>
      </w:r>
      <w:r>
        <w:rPr>
          <w:sz w:val="28"/>
          <w:szCs w:val="28"/>
        </w:rPr>
        <w:t>1 775,5</w:t>
      </w:r>
      <w:r w:rsidRPr="00B53D90">
        <w:rPr>
          <w:sz w:val="28"/>
          <w:szCs w:val="28"/>
        </w:rPr>
        <w:t xml:space="preserve"> тис гривень.</w:t>
      </w:r>
    </w:p>
    <w:p w:rsidR="00A0395C" w:rsidRPr="00996747" w:rsidRDefault="00A0395C" w:rsidP="00A0395C">
      <w:pPr>
        <w:ind w:firstLine="567"/>
        <w:jc w:val="both"/>
        <w:rPr>
          <w:sz w:val="28"/>
          <w:szCs w:val="28"/>
        </w:rPr>
      </w:pPr>
      <w:r w:rsidRPr="00996747">
        <w:rPr>
          <w:sz w:val="28"/>
          <w:szCs w:val="28"/>
        </w:rPr>
        <w:t>За неподання та/або несвоєчасне подання звітності застосовано штрафні санкції на суму 6</w:t>
      </w:r>
      <w:r>
        <w:rPr>
          <w:sz w:val="28"/>
          <w:szCs w:val="28"/>
        </w:rPr>
        <w:t>7</w:t>
      </w:r>
      <w:r w:rsidRPr="00996747">
        <w:rPr>
          <w:sz w:val="28"/>
          <w:szCs w:val="28"/>
        </w:rPr>
        <w:t xml:space="preserve"> тис гривень.</w:t>
      </w:r>
    </w:p>
    <w:p w:rsidR="00A0395C" w:rsidRDefault="00A0395C" w:rsidP="00A0395C">
      <w:pPr>
        <w:ind w:firstLine="567"/>
        <w:jc w:val="both"/>
        <w:rPr>
          <w:sz w:val="28"/>
          <w:szCs w:val="28"/>
        </w:rPr>
      </w:pPr>
      <w:r w:rsidRPr="00996747">
        <w:rPr>
          <w:sz w:val="28"/>
          <w:szCs w:val="28"/>
        </w:rPr>
        <w:t>За несвоєчасну реєстрацію податкових накладних/ розрахунків коригування в ЄРПН застосовано штрафні санкції на суму 20 443,0 тис гривень.</w:t>
      </w:r>
    </w:p>
    <w:p w:rsidR="00882471" w:rsidRDefault="00882471" w:rsidP="00A0395C">
      <w:pPr>
        <w:ind w:firstLine="567"/>
        <w:jc w:val="both"/>
        <w:rPr>
          <w:sz w:val="28"/>
          <w:szCs w:val="28"/>
        </w:rPr>
      </w:pPr>
    </w:p>
    <w:p w:rsidR="00882471" w:rsidRDefault="00882471" w:rsidP="00A0395C">
      <w:pPr>
        <w:ind w:firstLine="567"/>
        <w:jc w:val="both"/>
        <w:rPr>
          <w:sz w:val="28"/>
          <w:szCs w:val="28"/>
        </w:rPr>
      </w:pPr>
    </w:p>
    <w:p w:rsidR="00CE02D1" w:rsidRDefault="00CE02D1" w:rsidP="00CE02D1">
      <w:pPr>
        <w:ind w:left="-28" w:right="34" w:firstLine="595"/>
        <w:jc w:val="both"/>
        <w:rPr>
          <w:sz w:val="28"/>
          <w:szCs w:val="28"/>
        </w:rPr>
      </w:pPr>
      <w:r w:rsidRPr="007F3B42">
        <w:rPr>
          <w:sz w:val="28"/>
          <w:szCs w:val="28"/>
        </w:rPr>
        <w:lastRenderedPageBreak/>
        <w:t>У 202</w:t>
      </w:r>
      <w:r>
        <w:rPr>
          <w:sz w:val="28"/>
          <w:szCs w:val="28"/>
        </w:rPr>
        <w:t>2</w:t>
      </w:r>
      <w:r w:rsidRPr="007F3B42">
        <w:rPr>
          <w:sz w:val="28"/>
          <w:szCs w:val="28"/>
        </w:rPr>
        <w:t xml:space="preserve"> році </w:t>
      </w:r>
      <w:r>
        <w:rPr>
          <w:sz w:val="28"/>
          <w:szCs w:val="28"/>
        </w:rPr>
        <w:t>проведено</w:t>
      </w:r>
      <w:r w:rsidRPr="007F3B42">
        <w:rPr>
          <w:sz w:val="28"/>
          <w:szCs w:val="28"/>
        </w:rPr>
        <w:t xml:space="preserve"> аналіз поданої платниками податків документації з трансфер</w:t>
      </w:r>
      <w:r>
        <w:rPr>
          <w:sz w:val="28"/>
          <w:szCs w:val="28"/>
        </w:rPr>
        <w:t>т</w:t>
      </w:r>
      <w:r w:rsidRPr="007F3B42">
        <w:rPr>
          <w:sz w:val="28"/>
          <w:szCs w:val="28"/>
        </w:rPr>
        <w:t>ного ціноутворення</w:t>
      </w:r>
      <w:r>
        <w:rPr>
          <w:sz w:val="28"/>
          <w:szCs w:val="28"/>
        </w:rPr>
        <w:t>.</w:t>
      </w:r>
      <w:r w:rsidRPr="007F3B42">
        <w:rPr>
          <w:sz w:val="28"/>
          <w:szCs w:val="28"/>
        </w:rPr>
        <w:t xml:space="preserve"> </w:t>
      </w:r>
      <w:r>
        <w:rPr>
          <w:sz w:val="28"/>
          <w:szCs w:val="28"/>
        </w:rPr>
        <w:t>Н</w:t>
      </w:r>
      <w:r w:rsidRPr="007F3B42">
        <w:rPr>
          <w:sz w:val="28"/>
          <w:szCs w:val="28"/>
        </w:rPr>
        <w:t xml:space="preserve">аправлено </w:t>
      </w:r>
      <w:r>
        <w:rPr>
          <w:sz w:val="28"/>
          <w:szCs w:val="28"/>
        </w:rPr>
        <w:t xml:space="preserve">ДПС </w:t>
      </w:r>
      <w:r w:rsidRPr="007F3B42">
        <w:rPr>
          <w:sz w:val="28"/>
          <w:szCs w:val="28"/>
        </w:rPr>
        <w:t xml:space="preserve">аналітичні довідки по </w:t>
      </w:r>
      <w:r>
        <w:rPr>
          <w:sz w:val="28"/>
          <w:szCs w:val="28"/>
        </w:rPr>
        <w:t>7</w:t>
      </w:r>
      <w:r w:rsidRPr="007F3B42">
        <w:rPr>
          <w:sz w:val="28"/>
          <w:szCs w:val="28"/>
        </w:rPr>
        <w:t xml:space="preserve"> платник</w:t>
      </w:r>
      <w:r>
        <w:rPr>
          <w:sz w:val="28"/>
          <w:szCs w:val="28"/>
        </w:rPr>
        <w:t>ах податків</w:t>
      </w:r>
      <w:r w:rsidRPr="007F3B42">
        <w:rPr>
          <w:sz w:val="28"/>
          <w:szCs w:val="28"/>
        </w:rPr>
        <w:t xml:space="preserve"> щодо </w:t>
      </w:r>
      <w:r w:rsidR="00675EEF">
        <w:rPr>
          <w:sz w:val="28"/>
          <w:szCs w:val="28"/>
        </w:rPr>
        <w:t>пропозиції</w:t>
      </w:r>
      <w:r w:rsidRPr="007F3B42">
        <w:rPr>
          <w:sz w:val="28"/>
          <w:szCs w:val="28"/>
        </w:rPr>
        <w:t xml:space="preserve"> надіслання запитів щодо подання документації про контрольовані операції</w:t>
      </w:r>
      <w:r>
        <w:rPr>
          <w:sz w:val="28"/>
          <w:szCs w:val="28"/>
        </w:rPr>
        <w:t>.</w:t>
      </w:r>
      <w:r w:rsidRPr="007F3B42">
        <w:rPr>
          <w:sz w:val="28"/>
          <w:szCs w:val="28"/>
        </w:rPr>
        <w:t xml:space="preserve"> </w:t>
      </w:r>
    </w:p>
    <w:p w:rsidR="00CE02D1" w:rsidRDefault="00CE02D1" w:rsidP="00A0395C">
      <w:pPr>
        <w:ind w:firstLine="567"/>
        <w:jc w:val="both"/>
        <w:rPr>
          <w:sz w:val="28"/>
          <w:szCs w:val="28"/>
        </w:rPr>
      </w:pPr>
    </w:p>
    <w:p w:rsidR="005107A4" w:rsidRPr="00D96CAF" w:rsidRDefault="00EE1E42" w:rsidP="00F90949">
      <w:pPr>
        <w:ind w:left="-28" w:right="57" w:firstLine="595"/>
        <w:jc w:val="both"/>
        <w:rPr>
          <w:sz w:val="28"/>
          <w:szCs w:val="28"/>
        </w:rPr>
      </w:pPr>
      <w:r>
        <w:rPr>
          <w:sz w:val="28"/>
          <w:szCs w:val="28"/>
        </w:rPr>
        <w:t>П</w:t>
      </w:r>
      <w:r w:rsidR="005107A4" w:rsidRPr="00D96CAF">
        <w:rPr>
          <w:sz w:val="28"/>
          <w:szCs w:val="28"/>
        </w:rPr>
        <w:t>ротягом</w:t>
      </w:r>
      <w:r w:rsidR="005107A4" w:rsidRPr="00D96CAF">
        <w:rPr>
          <w:b/>
          <w:sz w:val="28"/>
          <w:szCs w:val="28"/>
        </w:rPr>
        <w:t xml:space="preserve"> </w:t>
      </w:r>
      <w:r w:rsidRPr="00EE1E42">
        <w:rPr>
          <w:sz w:val="28"/>
          <w:szCs w:val="28"/>
        </w:rPr>
        <w:t xml:space="preserve">2022 </w:t>
      </w:r>
      <w:r w:rsidR="005107A4" w:rsidRPr="00D96CAF">
        <w:rPr>
          <w:sz w:val="28"/>
          <w:szCs w:val="28"/>
        </w:rPr>
        <w:t>року</w:t>
      </w:r>
      <w:r w:rsidR="005107A4" w:rsidRPr="00D96CAF">
        <w:rPr>
          <w:b/>
          <w:sz w:val="28"/>
          <w:szCs w:val="28"/>
        </w:rPr>
        <w:t xml:space="preserve"> </w:t>
      </w:r>
      <w:r w:rsidR="005107A4" w:rsidRPr="00D96CAF">
        <w:rPr>
          <w:sz w:val="28"/>
          <w:szCs w:val="28"/>
        </w:rPr>
        <w:t>виявлено 2 юридичні особи,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складено та направлено до ДПС 12 повідомлень на суму 16 080,9 тис</w:t>
      </w:r>
      <w:r>
        <w:rPr>
          <w:sz w:val="28"/>
          <w:szCs w:val="28"/>
        </w:rPr>
        <w:t xml:space="preserve"> гривень.</w:t>
      </w:r>
    </w:p>
    <w:p w:rsidR="005107A4" w:rsidRPr="00D96CAF" w:rsidRDefault="0075366D" w:rsidP="00F90949">
      <w:pPr>
        <w:ind w:left="-28" w:right="57" w:firstLine="595"/>
        <w:jc w:val="both"/>
        <w:rPr>
          <w:sz w:val="28"/>
          <w:szCs w:val="28"/>
        </w:rPr>
      </w:pPr>
      <w:r>
        <w:rPr>
          <w:sz w:val="28"/>
          <w:szCs w:val="28"/>
        </w:rPr>
        <w:t>З</w:t>
      </w:r>
      <w:r w:rsidR="005107A4" w:rsidRPr="00D96CAF">
        <w:rPr>
          <w:sz w:val="28"/>
          <w:szCs w:val="28"/>
        </w:rPr>
        <w:t>а наслідками проведеної роботи складено 13 висновків аналітичних досліджень. Сума виявлених легалізованих доходів становить 271 402,91 </w:t>
      </w:r>
      <w:r w:rsidR="0080716F">
        <w:rPr>
          <w:sz w:val="28"/>
          <w:szCs w:val="28"/>
        </w:rPr>
        <w:t xml:space="preserve">          </w:t>
      </w:r>
      <w:r w:rsidR="005107A4" w:rsidRPr="00D96CAF">
        <w:rPr>
          <w:sz w:val="28"/>
          <w:szCs w:val="28"/>
        </w:rPr>
        <w:t>тис</w:t>
      </w:r>
      <w:r>
        <w:rPr>
          <w:sz w:val="28"/>
          <w:szCs w:val="28"/>
        </w:rPr>
        <w:t xml:space="preserve"> </w:t>
      </w:r>
      <w:r w:rsidR="005107A4" w:rsidRPr="00D96CAF">
        <w:rPr>
          <w:sz w:val="28"/>
          <w:szCs w:val="28"/>
        </w:rPr>
        <w:t>гр</w:t>
      </w:r>
      <w:r>
        <w:rPr>
          <w:sz w:val="28"/>
          <w:szCs w:val="28"/>
        </w:rPr>
        <w:t>ивень.</w:t>
      </w:r>
    </w:p>
    <w:p w:rsidR="00A0395C" w:rsidRPr="00DE6EC8" w:rsidRDefault="00A0395C" w:rsidP="00A0395C">
      <w:pPr>
        <w:ind w:left="-108" w:right="57"/>
        <w:jc w:val="both"/>
        <w:rPr>
          <w:b/>
          <w:bCs/>
          <w:sz w:val="28"/>
          <w:szCs w:val="28"/>
        </w:rPr>
      </w:pPr>
    </w:p>
    <w:p w:rsidR="00E56F72" w:rsidRDefault="00E56F72" w:rsidP="009D0CBE">
      <w:pPr>
        <w:ind w:left="-108" w:right="57"/>
        <w:jc w:val="center"/>
        <w:rPr>
          <w:b/>
          <w:bCs/>
        </w:rPr>
      </w:pPr>
    </w:p>
    <w:p w:rsidR="007709A8" w:rsidRDefault="009D0CBE" w:rsidP="007709A8">
      <w:pPr>
        <w:ind w:left="-108" w:right="34"/>
        <w:jc w:val="center"/>
        <w:rPr>
          <w:sz w:val="28"/>
          <w:szCs w:val="28"/>
          <w:lang w:val="ru-RU"/>
        </w:rPr>
      </w:pPr>
      <w:r w:rsidRPr="008C18B6">
        <w:rPr>
          <w:b/>
          <w:bCs/>
          <w:sz w:val="28"/>
          <w:szCs w:val="28"/>
        </w:rPr>
        <w:t>Розділ 3. Організація роботи щодо контролю за виробництвом та обігом спирту, алкогольних напоїв, тютюнових виробів</w:t>
      </w:r>
      <w:r w:rsidR="007709A8">
        <w:rPr>
          <w:b/>
          <w:bCs/>
          <w:sz w:val="28"/>
          <w:szCs w:val="28"/>
        </w:rPr>
        <w:t xml:space="preserve">, </w:t>
      </w:r>
      <w:r w:rsidR="007709A8" w:rsidRPr="007709A8">
        <w:rPr>
          <w:b/>
          <w:color w:val="000000"/>
          <w:sz w:val="28"/>
          <w:szCs w:val="28"/>
        </w:rPr>
        <w:t>рідин, що використовуються в електронних сигаретах, пального</w:t>
      </w:r>
      <w:r w:rsidR="007709A8" w:rsidRPr="007709A8">
        <w:rPr>
          <w:sz w:val="28"/>
          <w:szCs w:val="28"/>
          <w:lang w:val="ru-RU"/>
        </w:rPr>
        <w:t xml:space="preserve"> </w:t>
      </w:r>
    </w:p>
    <w:p w:rsidR="00F90949" w:rsidRDefault="00F90949" w:rsidP="007709A8">
      <w:pPr>
        <w:ind w:left="-108" w:right="34"/>
        <w:jc w:val="center"/>
        <w:rPr>
          <w:sz w:val="28"/>
          <w:szCs w:val="28"/>
          <w:lang w:val="ru-RU"/>
        </w:rPr>
      </w:pPr>
    </w:p>
    <w:p w:rsidR="00F90949" w:rsidRDefault="004266C7" w:rsidP="00F90949">
      <w:pPr>
        <w:ind w:firstLine="567"/>
        <w:jc w:val="both"/>
        <w:rPr>
          <w:sz w:val="28"/>
          <w:szCs w:val="28"/>
        </w:rPr>
      </w:pPr>
      <w:r>
        <w:rPr>
          <w:sz w:val="28"/>
          <w:szCs w:val="28"/>
        </w:rPr>
        <w:t>У</w:t>
      </w:r>
      <w:r w:rsidR="00F90949">
        <w:rPr>
          <w:sz w:val="28"/>
          <w:szCs w:val="28"/>
        </w:rPr>
        <w:t xml:space="preserve"> Міжрегіональному управлінні з</w:t>
      </w:r>
      <w:r w:rsidR="00F90949" w:rsidRPr="00993115">
        <w:rPr>
          <w:sz w:val="28"/>
          <w:szCs w:val="28"/>
        </w:rPr>
        <w:t>абезпечено проведення аналізу та контроль за обсягами виробництва спирту, спиртовмісної продукції, нафтопродуктів, палива моторного альтернативного, скрапленого газу, алкогольних напоїв і тютюнових виробів, вжиття заходів щодо запобігання їх незаконному виробництву та обігу</w:t>
      </w:r>
      <w:r w:rsidR="00F90949">
        <w:rPr>
          <w:sz w:val="28"/>
          <w:szCs w:val="28"/>
        </w:rPr>
        <w:t>.</w:t>
      </w:r>
    </w:p>
    <w:p w:rsidR="00F90949" w:rsidRPr="00993115" w:rsidRDefault="00F90949" w:rsidP="00F90949">
      <w:pPr>
        <w:ind w:firstLine="317"/>
        <w:jc w:val="both"/>
        <w:rPr>
          <w:sz w:val="28"/>
          <w:szCs w:val="28"/>
        </w:rPr>
      </w:pPr>
    </w:p>
    <w:p w:rsidR="00F90949" w:rsidRPr="00C6304F" w:rsidRDefault="00F90949" w:rsidP="00F90949">
      <w:pPr>
        <w:ind w:right="34" w:firstLine="567"/>
        <w:jc w:val="both"/>
        <w:rPr>
          <w:b/>
          <w:bCs/>
          <w:sz w:val="28"/>
          <w:szCs w:val="28"/>
        </w:rPr>
      </w:pPr>
      <w:r>
        <w:rPr>
          <w:sz w:val="28"/>
          <w:szCs w:val="28"/>
        </w:rPr>
        <w:t>Протягом 202</w:t>
      </w:r>
      <w:r w:rsidR="00B644EC">
        <w:rPr>
          <w:sz w:val="28"/>
          <w:szCs w:val="28"/>
        </w:rPr>
        <w:t>2</w:t>
      </w:r>
      <w:r>
        <w:rPr>
          <w:sz w:val="28"/>
          <w:szCs w:val="28"/>
        </w:rPr>
        <w:t xml:space="preserve"> року з</w:t>
      </w:r>
      <w:r w:rsidRPr="00C6304F">
        <w:rPr>
          <w:sz w:val="28"/>
          <w:szCs w:val="28"/>
        </w:rPr>
        <w:t>абезпечено ведення обліку податкових векселів, які видаються суб’єктами господарювання до отримання підакцизних товарів (продукції) та контроль за повнотою і своєчасністю їх погашення</w:t>
      </w:r>
      <w:r>
        <w:rPr>
          <w:sz w:val="28"/>
          <w:szCs w:val="28"/>
        </w:rPr>
        <w:t>.</w:t>
      </w:r>
    </w:p>
    <w:p w:rsidR="006A6178" w:rsidRPr="006A6178" w:rsidRDefault="006A6178" w:rsidP="006A6178">
      <w:pPr>
        <w:ind w:firstLine="708"/>
        <w:jc w:val="both"/>
        <w:rPr>
          <w:sz w:val="28"/>
          <w:szCs w:val="28"/>
        </w:rPr>
      </w:pPr>
      <w:r>
        <w:rPr>
          <w:sz w:val="28"/>
          <w:szCs w:val="28"/>
        </w:rPr>
        <w:t>П</w:t>
      </w:r>
      <w:r w:rsidRPr="006A6178">
        <w:rPr>
          <w:sz w:val="28"/>
          <w:szCs w:val="28"/>
        </w:rPr>
        <w:t>роведено 24 перевір</w:t>
      </w:r>
      <w:r>
        <w:rPr>
          <w:sz w:val="28"/>
          <w:szCs w:val="28"/>
        </w:rPr>
        <w:t>ки</w:t>
      </w:r>
      <w:r w:rsidRPr="006A6178">
        <w:rPr>
          <w:sz w:val="28"/>
          <w:szCs w:val="28"/>
        </w:rPr>
        <w:t xml:space="preserve"> суб'єктів господарювання з питань дотримання вимог законодавства, яке регулює відносини у сфері виробництва та обігу спирту, спиртовмісної продукції, алкогольних напоїв і тютюнових виробів, за результатами яких донараховано 1 034 тис</w:t>
      </w:r>
      <w:r>
        <w:rPr>
          <w:sz w:val="28"/>
          <w:szCs w:val="28"/>
        </w:rPr>
        <w:t xml:space="preserve"> </w:t>
      </w:r>
      <w:r w:rsidRPr="006A6178">
        <w:rPr>
          <w:sz w:val="28"/>
          <w:szCs w:val="28"/>
        </w:rPr>
        <w:t>гр</w:t>
      </w:r>
      <w:r>
        <w:rPr>
          <w:sz w:val="28"/>
          <w:szCs w:val="28"/>
        </w:rPr>
        <w:t>ивень.</w:t>
      </w:r>
    </w:p>
    <w:p w:rsidR="00F90949" w:rsidRPr="007709A8" w:rsidRDefault="00F90949" w:rsidP="007709A8">
      <w:pPr>
        <w:ind w:left="-108" w:right="34"/>
        <w:jc w:val="center"/>
        <w:rPr>
          <w:sz w:val="28"/>
          <w:szCs w:val="28"/>
          <w:lang w:val="ru-RU"/>
        </w:rPr>
      </w:pPr>
    </w:p>
    <w:p w:rsidR="00FD4FC5" w:rsidRPr="009D0CBE" w:rsidRDefault="00FD4FC5" w:rsidP="00650C5C">
      <w:pPr>
        <w:ind w:left="-108" w:right="34"/>
        <w:jc w:val="center"/>
        <w:rPr>
          <w:b/>
          <w:bCs/>
          <w:sz w:val="28"/>
          <w:szCs w:val="28"/>
        </w:rPr>
      </w:pPr>
    </w:p>
    <w:p w:rsidR="002F358D" w:rsidRDefault="009D0CBE" w:rsidP="002F358D">
      <w:pPr>
        <w:widowControl w:val="0"/>
        <w:jc w:val="center"/>
        <w:rPr>
          <w:b/>
          <w:color w:val="000000"/>
          <w:sz w:val="28"/>
          <w:szCs w:val="28"/>
        </w:rPr>
      </w:pPr>
      <w:r w:rsidRPr="00DE6EC8">
        <w:rPr>
          <w:b/>
          <w:sz w:val="28"/>
          <w:szCs w:val="28"/>
          <w:lang w:eastAsia="en-US"/>
        </w:rPr>
        <w:t xml:space="preserve">Розділ 4. </w:t>
      </w:r>
      <w:r w:rsidR="002F358D" w:rsidRPr="002F358D">
        <w:rPr>
          <w:b/>
          <w:sz w:val="28"/>
          <w:szCs w:val="28"/>
          <w:lang w:eastAsia="en-US"/>
        </w:rPr>
        <w:t>З</w:t>
      </w:r>
      <w:r w:rsidR="002F358D" w:rsidRPr="002F358D">
        <w:rPr>
          <w:b/>
          <w:color w:val="000000"/>
          <w:sz w:val="28"/>
          <w:szCs w:val="28"/>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4266C7" w:rsidRPr="002F358D" w:rsidRDefault="004266C7" w:rsidP="002F358D">
      <w:pPr>
        <w:widowControl w:val="0"/>
        <w:jc w:val="center"/>
        <w:rPr>
          <w:b/>
          <w:color w:val="000000"/>
          <w:sz w:val="28"/>
          <w:szCs w:val="28"/>
        </w:rPr>
      </w:pPr>
    </w:p>
    <w:p w:rsidR="00FC653E" w:rsidRDefault="00FC653E" w:rsidP="00FC653E">
      <w:pPr>
        <w:ind w:left="-28" w:right="34" w:firstLine="595"/>
        <w:jc w:val="both"/>
        <w:rPr>
          <w:sz w:val="28"/>
          <w:szCs w:val="28"/>
          <w:lang w:val="en-US"/>
        </w:rPr>
      </w:pPr>
      <w:r w:rsidRPr="00BB0061">
        <w:rPr>
          <w:spacing w:val="-4"/>
          <w:sz w:val="28"/>
          <w:szCs w:val="28"/>
        </w:rPr>
        <w:t>Забезпечено</w:t>
      </w:r>
      <w:r w:rsidRPr="00BB0061">
        <w:rPr>
          <w:sz w:val="28"/>
          <w:szCs w:val="28"/>
        </w:rPr>
        <w:t xml:space="preserve"> взаємодію з органами виконавчої влади, які забезпечують ведення відповідних державних реєстрів (кадастрів), щодо отримання (безоплатно) інформації, необхідної для здійснення повноважень контролюючих органів</w:t>
      </w:r>
      <w:r>
        <w:rPr>
          <w:sz w:val="28"/>
          <w:szCs w:val="28"/>
        </w:rPr>
        <w:t>.</w:t>
      </w:r>
    </w:p>
    <w:p w:rsidR="00FC653E" w:rsidRDefault="00FC653E" w:rsidP="00FC653E">
      <w:pPr>
        <w:ind w:left="-28" w:right="34" w:firstLine="595"/>
        <w:jc w:val="both"/>
        <w:rPr>
          <w:sz w:val="28"/>
          <w:szCs w:val="28"/>
        </w:rPr>
      </w:pPr>
      <w:r>
        <w:rPr>
          <w:sz w:val="28"/>
          <w:szCs w:val="28"/>
        </w:rPr>
        <w:t>В</w:t>
      </w:r>
      <w:r w:rsidRPr="007F3B42">
        <w:rPr>
          <w:sz w:val="28"/>
          <w:szCs w:val="28"/>
        </w:rPr>
        <w:t xml:space="preserve">продовж </w:t>
      </w:r>
      <w:r>
        <w:rPr>
          <w:sz w:val="28"/>
          <w:szCs w:val="28"/>
        </w:rPr>
        <w:t>202</w:t>
      </w:r>
      <w:r>
        <w:rPr>
          <w:sz w:val="28"/>
          <w:szCs w:val="28"/>
          <w:lang w:val="en-US"/>
        </w:rPr>
        <w:t>2</w:t>
      </w:r>
      <w:r>
        <w:rPr>
          <w:sz w:val="28"/>
          <w:szCs w:val="28"/>
        </w:rPr>
        <w:t xml:space="preserve"> </w:t>
      </w:r>
      <w:r w:rsidRPr="007F3B42">
        <w:rPr>
          <w:sz w:val="28"/>
          <w:szCs w:val="28"/>
        </w:rPr>
        <w:t>року</w:t>
      </w:r>
      <w:r>
        <w:rPr>
          <w:sz w:val="28"/>
          <w:szCs w:val="28"/>
        </w:rPr>
        <w:t xml:space="preserve">, в рамках </w:t>
      </w:r>
      <w:r w:rsidRPr="007F3B42">
        <w:rPr>
          <w:sz w:val="28"/>
          <w:szCs w:val="28"/>
        </w:rPr>
        <w:t>обміну податковою інформацією</w:t>
      </w:r>
      <w:r>
        <w:rPr>
          <w:sz w:val="28"/>
          <w:szCs w:val="28"/>
        </w:rPr>
        <w:t>,</w:t>
      </w:r>
      <w:r w:rsidRPr="007F3B42">
        <w:rPr>
          <w:sz w:val="28"/>
          <w:szCs w:val="28"/>
        </w:rPr>
        <w:t xml:space="preserve"> було ініційовано</w:t>
      </w:r>
      <w:r>
        <w:rPr>
          <w:sz w:val="28"/>
          <w:szCs w:val="28"/>
        </w:rPr>
        <w:t xml:space="preserve"> перед ДПС України</w:t>
      </w:r>
      <w:r w:rsidRPr="007F3B42">
        <w:rPr>
          <w:sz w:val="28"/>
          <w:szCs w:val="28"/>
        </w:rPr>
        <w:t xml:space="preserve"> </w:t>
      </w:r>
      <w:r>
        <w:rPr>
          <w:sz w:val="28"/>
          <w:szCs w:val="28"/>
        </w:rPr>
        <w:t>надання запитів іноземним компетентним органам (ІКО)</w:t>
      </w:r>
      <w:r w:rsidRPr="007F3B42">
        <w:rPr>
          <w:sz w:val="28"/>
          <w:szCs w:val="28"/>
        </w:rPr>
        <w:t xml:space="preserve"> </w:t>
      </w:r>
      <w:r>
        <w:rPr>
          <w:sz w:val="28"/>
          <w:szCs w:val="28"/>
        </w:rPr>
        <w:t>по 1</w:t>
      </w:r>
      <w:r>
        <w:rPr>
          <w:sz w:val="28"/>
          <w:szCs w:val="28"/>
          <w:lang w:val="en-US"/>
        </w:rPr>
        <w:t>4</w:t>
      </w:r>
      <w:r>
        <w:rPr>
          <w:sz w:val="28"/>
          <w:szCs w:val="28"/>
        </w:rPr>
        <w:t xml:space="preserve"> платниках.</w:t>
      </w:r>
      <w:r w:rsidRPr="007F3B42">
        <w:rPr>
          <w:sz w:val="28"/>
          <w:szCs w:val="28"/>
        </w:rPr>
        <w:t xml:space="preserve"> </w:t>
      </w:r>
    </w:p>
    <w:p w:rsidR="004266C7" w:rsidRPr="007F3B42" w:rsidRDefault="004266C7" w:rsidP="00FC653E">
      <w:pPr>
        <w:ind w:left="-28" w:right="34" w:firstLine="595"/>
        <w:jc w:val="both"/>
        <w:rPr>
          <w:sz w:val="28"/>
          <w:szCs w:val="28"/>
        </w:rPr>
      </w:pPr>
    </w:p>
    <w:p w:rsidR="00FC653E" w:rsidRPr="004B2EA7" w:rsidRDefault="00FC653E" w:rsidP="00FC653E">
      <w:pPr>
        <w:widowControl w:val="0"/>
        <w:ind w:firstLine="567"/>
        <w:jc w:val="both"/>
        <w:rPr>
          <w:b/>
          <w:color w:val="000000"/>
          <w:sz w:val="28"/>
          <w:szCs w:val="28"/>
        </w:rPr>
      </w:pPr>
      <w:r>
        <w:rPr>
          <w:sz w:val="28"/>
          <w:szCs w:val="28"/>
        </w:rPr>
        <w:lastRenderedPageBreak/>
        <w:t>Прийнято</w:t>
      </w:r>
      <w:r w:rsidRPr="004B2EA7">
        <w:rPr>
          <w:sz w:val="28"/>
          <w:szCs w:val="28"/>
        </w:rPr>
        <w:t xml:space="preserve"> участь у 6 засіданнях міжвідомчих груп з обговорення питання трансфертного ціноутворення.</w:t>
      </w:r>
    </w:p>
    <w:p w:rsidR="00FC653E" w:rsidRDefault="00FC653E" w:rsidP="00FC653E">
      <w:pPr>
        <w:ind w:right="34" w:firstLine="708"/>
        <w:jc w:val="both"/>
        <w:rPr>
          <w:b/>
          <w:sz w:val="28"/>
          <w:szCs w:val="28"/>
          <w:lang w:eastAsia="en-US"/>
        </w:rPr>
      </w:pPr>
    </w:p>
    <w:p w:rsidR="002C730A" w:rsidRPr="009D0CBE" w:rsidRDefault="002C730A" w:rsidP="002C730A">
      <w:pPr>
        <w:ind w:right="34" w:firstLine="708"/>
        <w:jc w:val="both"/>
        <w:rPr>
          <w:b/>
          <w:sz w:val="28"/>
          <w:szCs w:val="28"/>
          <w:lang w:eastAsia="en-US"/>
        </w:rPr>
      </w:pPr>
    </w:p>
    <w:p w:rsidR="00614985" w:rsidRDefault="009D0CBE" w:rsidP="009D0CBE">
      <w:pPr>
        <w:jc w:val="center"/>
        <w:rPr>
          <w:b/>
        </w:rPr>
      </w:pPr>
      <w:r w:rsidRPr="00DE6EC8">
        <w:rPr>
          <w:b/>
          <w:sz w:val="28"/>
          <w:szCs w:val="28"/>
        </w:rPr>
        <w:t xml:space="preserve">Розділ 5. </w:t>
      </w:r>
      <w:r w:rsidR="00025047" w:rsidRPr="00025047">
        <w:rPr>
          <w:b/>
          <w:sz w:val="28"/>
          <w:szCs w:val="28"/>
        </w:rPr>
        <w:t>В</w:t>
      </w:r>
      <w:r w:rsidR="00025047" w:rsidRPr="00025047">
        <w:rPr>
          <w:b/>
          <w:color w:val="000000"/>
          <w:sz w:val="28"/>
          <w:szCs w:val="28"/>
        </w:rPr>
        <w:t>провадження електронних сервісів для суб’єктів господарювання</w:t>
      </w:r>
    </w:p>
    <w:p w:rsidR="00584687" w:rsidRDefault="00584687" w:rsidP="00584687">
      <w:pPr>
        <w:pStyle w:val="a7"/>
        <w:jc w:val="both"/>
        <w:rPr>
          <w:sz w:val="24"/>
          <w:szCs w:val="24"/>
          <w:lang w:val="uk-UA" w:eastAsia="en-US"/>
        </w:rPr>
      </w:pPr>
    </w:p>
    <w:p w:rsidR="00584687" w:rsidRPr="00584687" w:rsidRDefault="00584687" w:rsidP="00584687">
      <w:pPr>
        <w:pStyle w:val="a7"/>
        <w:ind w:firstLine="567"/>
        <w:jc w:val="both"/>
        <w:rPr>
          <w:color w:val="000000"/>
          <w:sz w:val="28"/>
          <w:szCs w:val="28"/>
        </w:rPr>
      </w:pPr>
      <w:r>
        <w:rPr>
          <w:sz w:val="28"/>
          <w:szCs w:val="28"/>
          <w:lang w:val="uk-UA" w:eastAsia="en-US"/>
        </w:rPr>
        <w:t>П</w:t>
      </w:r>
      <w:r w:rsidRPr="00584687">
        <w:rPr>
          <w:sz w:val="28"/>
          <w:szCs w:val="28"/>
          <w:lang w:eastAsia="en-US"/>
        </w:rPr>
        <w:t xml:space="preserve">ротягом 2022 року забезпечено належний контроль за якістю та своєчасністю надання структурними підрозділами </w:t>
      </w:r>
      <w:r w:rsidR="00C02C1A">
        <w:rPr>
          <w:sz w:val="28"/>
          <w:szCs w:val="28"/>
        </w:rPr>
        <w:t>Міжрегіонально</w:t>
      </w:r>
      <w:r w:rsidR="00C02C1A">
        <w:rPr>
          <w:sz w:val="28"/>
          <w:szCs w:val="28"/>
          <w:lang w:val="uk-UA"/>
        </w:rPr>
        <w:t>го</w:t>
      </w:r>
      <w:r w:rsidR="00C02C1A">
        <w:rPr>
          <w:sz w:val="28"/>
          <w:szCs w:val="28"/>
        </w:rPr>
        <w:t xml:space="preserve"> управлінн</w:t>
      </w:r>
      <w:r w:rsidR="00C02C1A">
        <w:rPr>
          <w:sz w:val="28"/>
          <w:szCs w:val="28"/>
          <w:lang w:val="uk-UA"/>
        </w:rPr>
        <w:t>я</w:t>
      </w:r>
      <w:r w:rsidR="00C02C1A">
        <w:rPr>
          <w:sz w:val="28"/>
          <w:szCs w:val="28"/>
        </w:rPr>
        <w:t xml:space="preserve"> </w:t>
      </w:r>
      <w:r w:rsidRPr="00584687">
        <w:rPr>
          <w:sz w:val="28"/>
          <w:szCs w:val="28"/>
          <w:lang w:eastAsia="en-US"/>
        </w:rPr>
        <w:t xml:space="preserve">адміністративних послуг та інших сервісів. </w:t>
      </w:r>
      <w:r w:rsidR="00EA6185">
        <w:rPr>
          <w:sz w:val="28"/>
          <w:szCs w:val="28"/>
          <w:lang w:val="uk-UA" w:eastAsia="en-US"/>
        </w:rPr>
        <w:t>Н</w:t>
      </w:r>
      <w:r w:rsidRPr="00584687">
        <w:rPr>
          <w:color w:val="000000"/>
          <w:sz w:val="28"/>
          <w:szCs w:val="28"/>
        </w:rPr>
        <w:t>адійшло та опрацьовано 689</w:t>
      </w:r>
      <w:r w:rsidRPr="00584687">
        <w:rPr>
          <w:color w:val="000000"/>
          <w:sz w:val="28"/>
          <w:szCs w:val="28"/>
          <w:lang w:val="en-US"/>
        </w:rPr>
        <w:t>5</w:t>
      </w:r>
      <w:r w:rsidRPr="00584687">
        <w:rPr>
          <w:color w:val="000000"/>
          <w:sz w:val="28"/>
          <w:szCs w:val="28"/>
        </w:rPr>
        <w:t xml:space="preserve"> звернення платників податків щодо надання адміністративних послуг. Зареєстровано 3416 книг обліку розрахункових операцій, 2501 реєстраторів розрахункових операці</w:t>
      </w:r>
      <w:r>
        <w:rPr>
          <w:color w:val="000000"/>
          <w:sz w:val="28"/>
          <w:szCs w:val="28"/>
          <w:lang w:val="uk-UA"/>
        </w:rPr>
        <w:t>й</w:t>
      </w:r>
      <w:r w:rsidRPr="00584687">
        <w:rPr>
          <w:color w:val="000000"/>
          <w:sz w:val="28"/>
          <w:szCs w:val="28"/>
        </w:rPr>
        <w:t>, 60 розрахункових книжок. Видано 844 довідок про відсутність заборгованості з платежів, контроль за справлянням яких покладено на контролюючі органи, 35 довід</w:t>
      </w:r>
      <w:r w:rsidR="00EA6185">
        <w:rPr>
          <w:color w:val="000000"/>
          <w:sz w:val="28"/>
          <w:szCs w:val="28"/>
          <w:lang w:val="uk-UA"/>
        </w:rPr>
        <w:t>ок</w:t>
      </w:r>
      <w:r w:rsidRPr="00584687">
        <w:rPr>
          <w:color w:val="000000"/>
          <w:sz w:val="28"/>
          <w:szCs w:val="28"/>
        </w:rPr>
        <w:t xml:space="preserve"> про сплачений нерезидентом в Україні податок на прибуток (доходи), 21 довідк</w:t>
      </w:r>
      <w:r w:rsidR="00EA6185">
        <w:rPr>
          <w:color w:val="000000"/>
          <w:sz w:val="28"/>
          <w:szCs w:val="28"/>
          <w:lang w:val="uk-UA"/>
        </w:rPr>
        <w:t>у</w:t>
      </w:r>
      <w:r w:rsidRPr="00584687">
        <w:rPr>
          <w:color w:val="000000"/>
          <w:sz w:val="28"/>
          <w:szCs w:val="28"/>
        </w:rPr>
        <w:t xml:space="preserve"> підтвердження статусу податкового резидента України, зареєстровано </w:t>
      </w:r>
      <w:r w:rsidRPr="00584687">
        <w:rPr>
          <w:color w:val="000000"/>
          <w:sz w:val="28"/>
          <w:szCs w:val="28"/>
          <w:lang w:val="en-US"/>
        </w:rPr>
        <w:t>4</w:t>
      </w:r>
      <w:r w:rsidRPr="00584687">
        <w:rPr>
          <w:color w:val="000000"/>
          <w:sz w:val="28"/>
          <w:szCs w:val="28"/>
        </w:rPr>
        <w:t xml:space="preserve"> заяви на</w:t>
      </w:r>
      <w:r w:rsidR="00C02C1A">
        <w:rPr>
          <w:color w:val="000000"/>
          <w:sz w:val="28"/>
          <w:szCs w:val="28"/>
        </w:rPr>
        <w:t xml:space="preserve"> </w:t>
      </w:r>
      <w:r w:rsidRPr="00584687">
        <w:rPr>
          <w:color w:val="000000"/>
          <w:sz w:val="28"/>
          <w:szCs w:val="28"/>
        </w:rPr>
        <w:t xml:space="preserve">реєстрацію платника єдиного податку, </w:t>
      </w:r>
      <w:r w:rsidRPr="00584687">
        <w:rPr>
          <w:color w:val="000000"/>
          <w:sz w:val="28"/>
          <w:szCs w:val="28"/>
          <w:lang w:val="en-US"/>
        </w:rPr>
        <w:t>3</w:t>
      </w:r>
      <w:r w:rsidRPr="00584687">
        <w:rPr>
          <w:color w:val="000000"/>
          <w:sz w:val="28"/>
          <w:szCs w:val="28"/>
        </w:rPr>
        <w:t xml:space="preserve"> реєстраційні заяви платника податку на додану вартість</w:t>
      </w:r>
      <w:r w:rsidR="00963F00">
        <w:rPr>
          <w:color w:val="000000"/>
          <w:sz w:val="28"/>
          <w:szCs w:val="28"/>
          <w:lang w:val="uk-UA"/>
        </w:rPr>
        <w:t>,</w:t>
      </w:r>
      <w:r w:rsidRPr="00584687">
        <w:rPr>
          <w:color w:val="000000"/>
          <w:sz w:val="28"/>
          <w:szCs w:val="28"/>
        </w:rPr>
        <w:t xml:space="preserve"> видано </w:t>
      </w:r>
      <w:r w:rsidR="004266C7">
        <w:rPr>
          <w:color w:val="000000"/>
          <w:sz w:val="28"/>
          <w:szCs w:val="28"/>
          <w:lang w:val="uk-UA"/>
        </w:rPr>
        <w:t xml:space="preserve">           </w:t>
      </w:r>
      <w:r w:rsidRPr="00584687">
        <w:rPr>
          <w:color w:val="000000"/>
          <w:sz w:val="28"/>
          <w:szCs w:val="28"/>
          <w:lang w:val="en-US"/>
        </w:rPr>
        <w:t>3</w:t>
      </w:r>
      <w:r w:rsidRPr="00584687">
        <w:rPr>
          <w:color w:val="000000"/>
          <w:sz w:val="28"/>
          <w:szCs w:val="28"/>
        </w:rPr>
        <w:t xml:space="preserve"> витяги з реєстру платників єдиного податку та</w:t>
      </w:r>
      <w:r w:rsidRPr="00584687">
        <w:rPr>
          <w:color w:val="000000"/>
          <w:sz w:val="28"/>
          <w:szCs w:val="28"/>
          <w:lang w:val="en-US"/>
        </w:rPr>
        <w:t xml:space="preserve"> 8</w:t>
      </w:r>
      <w:r w:rsidRPr="00584687">
        <w:rPr>
          <w:color w:val="000000"/>
          <w:sz w:val="28"/>
          <w:szCs w:val="28"/>
        </w:rPr>
        <w:t xml:space="preserve"> витяг</w:t>
      </w:r>
      <w:r w:rsidR="00963F00">
        <w:rPr>
          <w:color w:val="000000"/>
          <w:sz w:val="28"/>
          <w:szCs w:val="28"/>
          <w:lang w:val="uk-UA"/>
        </w:rPr>
        <w:t>ів</w:t>
      </w:r>
      <w:r w:rsidRPr="00584687">
        <w:rPr>
          <w:color w:val="000000"/>
          <w:sz w:val="28"/>
          <w:szCs w:val="28"/>
        </w:rPr>
        <w:t xml:space="preserve"> з реєстру платників податку на додану вартість.</w:t>
      </w:r>
    </w:p>
    <w:p w:rsidR="00584687" w:rsidRPr="00584687" w:rsidRDefault="00584687" w:rsidP="00ED66E5">
      <w:pPr>
        <w:ind w:right="34" w:firstLine="567"/>
        <w:jc w:val="both"/>
        <w:rPr>
          <w:sz w:val="28"/>
          <w:szCs w:val="28"/>
          <w:lang w:val="en-US" w:eastAsia="en-US"/>
        </w:rPr>
      </w:pPr>
      <w:r w:rsidRPr="00584687">
        <w:rPr>
          <w:sz w:val="28"/>
          <w:szCs w:val="28"/>
          <w:lang w:eastAsia="en-US"/>
        </w:rPr>
        <w:t>Щоденно проводиться робота щодо формування та ведення реєстрів: платників ПДВ, страхувальників, платників акцизного податку з реалізації пального та спирту етилового</w:t>
      </w:r>
      <w:r w:rsidRPr="00584687">
        <w:rPr>
          <w:sz w:val="28"/>
          <w:szCs w:val="28"/>
          <w:lang w:val="en-US" w:eastAsia="en-US"/>
        </w:rPr>
        <w:t>.</w:t>
      </w:r>
    </w:p>
    <w:p w:rsidR="009D0CBE" w:rsidRPr="009D0CBE" w:rsidRDefault="009D0CBE" w:rsidP="009D0CBE">
      <w:pPr>
        <w:jc w:val="center"/>
        <w:rPr>
          <w:b/>
        </w:rPr>
      </w:pPr>
    </w:p>
    <w:p w:rsidR="009D0CBE" w:rsidRDefault="009D0CBE" w:rsidP="00DB36E6">
      <w:pPr>
        <w:ind w:left="-108" w:right="34"/>
        <w:jc w:val="center"/>
        <w:rPr>
          <w:b/>
          <w:color w:val="000000"/>
          <w:sz w:val="28"/>
          <w:szCs w:val="28"/>
        </w:rPr>
      </w:pPr>
      <w:r w:rsidRPr="00CB403D">
        <w:rPr>
          <w:b/>
          <w:bCs/>
          <w:sz w:val="28"/>
          <w:szCs w:val="28"/>
        </w:rPr>
        <w:t xml:space="preserve">Розділ 6. </w:t>
      </w:r>
      <w:r w:rsidR="00DB36E6" w:rsidRPr="00DB36E6">
        <w:rPr>
          <w:b/>
          <w:bCs/>
          <w:sz w:val="28"/>
          <w:szCs w:val="28"/>
        </w:rPr>
        <w:t>О</w:t>
      </w:r>
      <w:r w:rsidR="00DB36E6" w:rsidRPr="00DB36E6">
        <w:rPr>
          <w:b/>
          <w:color w:val="000000"/>
          <w:sz w:val="28"/>
          <w:szCs w:val="28"/>
        </w:rPr>
        <w:t>рганізація роботи з платниками податків, громадськістю та засобами масової інформації</w:t>
      </w:r>
    </w:p>
    <w:p w:rsidR="00ED66E5" w:rsidRDefault="00ED66E5" w:rsidP="00DB36E6">
      <w:pPr>
        <w:ind w:left="-108" w:right="34"/>
        <w:jc w:val="center"/>
        <w:rPr>
          <w:b/>
          <w:bCs/>
          <w:sz w:val="28"/>
          <w:szCs w:val="28"/>
        </w:rPr>
      </w:pPr>
    </w:p>
    <w:p w:rsidR="00ED66E5" w:rsidRPr="003836AE" w:rsidRDefault="0075648F" w:rsidP="003836AE">
      <w:pPr>
        <w:tabs>
          <w:tab w:val="left" w:pos="567"/>
        </w:tabs>
        <w:ind w:right="34" w:firstLine="567"/>
        <w:jc w:val="both"/>
        <w:rPr>
          <w:sz w:val="28"/>
          <w:szCs w:val="28"/>
        </w:rPr>
      </w:pPr>
      <w:r w:rsidRPr="003836AE">
        <w:rPr>
          <w:sz w:val="28"/>
          <w:szCs w:val="28"/>
        </w:rPr>
        <w:t>Упродовж 2022 року відбулось 327 заходів з представниками бізнесу, інститутів громадянського суспільства (засідань «круглого столу», зборів, зустрічей тощо) з питань реалізації державної політики у сфері оподаткування за участі керівництва Міжрегіонального управління, участь у них взяло 713 осіб.</w:t>
      </w:r>
    </w:p>
    <w:p w:rsidR="0075648F" w:rsidRPr="003836AE" w:rsidRDefault="00CE1CC2" w:rsidP="003836AE">
      <w:pPr>
        <w:tabs>
          <w:tab w:val="left" w:pos="567"/>
        </w:tabs>
        <w:ind w:right="34" w:firstLine="567"/>
        <w:jc w:val="both"/>
        <w:rPr>
          <w:sz w:val="28"/>
          <w:szCs w:val="28"/>
        </w:rPr>
      </w:pPr>
      <w:r>
        <w:rPr>
          <w:sz w:val="28"/>
          <w:szCs w:val="28"/>
          <w:lang w:eastAsia="en-US"/>
        </w:rPr>
        <w:t>Ч</w:t>
      </w:r>
      <w:r w:rsidR="0075648F" w:rsidRPr="003836AE">
        <w:rPr>
          <w:sz w:val="28"/>
          <w:szCs w:val="28"/>
          <w:lang w:eastAsia="en-US"/>
        </w:rPr>
        <w:t xml:space="preserve">ерез засоби масової інформації та субсайт вебпорталу ДПС громадскість </w:t>
      </w:r>
      <w:r w:rsidR="00FF306F">
        <w:rPr>
          <w:sz w:val="28"/>
          <w:szCs w:val="28"/>
          <w:lang w:eastAsia="en-US"/>
        </w:rPr>
        <w:t>по</w:t>
      </w:r>
      <w:r w:rsidR="0075648F" w:rsidRPr="003836AE">
        <w:rPr>
          <w:sz w:val="28"/>
          <w:szCs w:val="28"/>
          <w:lang w:eastAsia="en-US"/>
        </w:rPr>
        <w:t>інформ</w:t>
      </w:r>
      <w:r w:rsidR="00FF306F">
        <w:rPr>
          <w:sz w:val="28"/>
          <w:szCs w:val="28"/>
          <w:lang w:eastAsia="en-US"/>
        </w:rPr>
        <w:t>овано</w:t>
      </w:r>
      <w:r w:rsidR="0075648F" w:rsidRPr="003836AE">
        <w:rPr>
          <w:sz w:val="28"/>
          <w:szCs w:val="28"/>
          <w:lang w:eastAsia="en-US"/>
        </w:rPr>
        <w:t xml:space="preserve"> щодо завдань, напрямів і результатів діяльності </w:t>
      </w:r>
      <w:r w:rsidR="0075648F" w:rsidRPr="003836AE">
        <w:rPr>
          <w:sz w:val="28"/>
          <w:szCs w:val="28"/>
        </w:rPr>
        <w:t xml:space="preserve">Міжрегіонального управління. На субсайті </w:t>
      </w:r>
      <w:r w:rsidR="00FF306F" w:rsidRPr="003836AE">
        <w:rPr>
          <w:sz w:val="28"/>
          <w:szCs w:val="28"/>
        </w:rPr>
        <w:t xml:space="preserve">Міжрегіонального управління </w:t>
      </w:r>
      <w:r w:rsidR="0075648F" w:rsidRPr="003836AE">
        <w:rPr>
          <w:sz w:val="28"/>
          <w:szCs w:val="28"/>
        </w:rPr>
        <w:t xml:space="preserve">вебпорталу ДПС було розміщено 2728 інформаційних повідомлень, які дублювались на офіційні сторінці </w:t>
      </w:r>
      <w:r w:rsidR="00FF306F" w:rsidRPr="003836AE">
        <w:rPr>
          <w:sz w:val="28"/>
          <w:szCs w:val="28"/>
        </w:rPr>
        <w:t xml:space="preserve">Міжрегіонального управління </w:t>
      </w:r>
      <w:r w:rsidR="0075648F" w:rsidRPr="003836AE">
        <w:rPr>
          <w:sz w:val="28"/>
          <w:szCs w:val="28"/>
        </w:rPr>
        <w:t>у соціальній мережі Фейсбук.</w:t>
      </w:r>
    </w:p>
    <w:p w:rsidR="00A91061" w:rsidRPr="003836AE" w:rsidRDefault="00A91061" w:rsidP="003836AE">
      <w:pPr>
        <w:tabs>
          <w:tab w:val="left" w:pos="567"/>
        </w:tabs>
        <w:ind w:right="34" w:firstLine="567"/>
        <w:jc w:val="both"/>
        <w:rPr>
          <w:sz w:val="28"/>
          <w:szCs w:val="28"/>
        </w:rPr>
      </w:pPr>
      <w:r w:rsidRPr="003836AE">
        <w:rPr>
          <w:sz w:val="28"/>
          <w:szCs w:val="28"/>
        </w:rPr>
        <w:t xml:space="preserve">Для платників податків підготовлено та розповсюджено 5 видів друкованої продукції, зокрема щодо Закону України від </w:t>
      </w:r>
      <w:r w:rsidRPr="003836AE">
        <w:rPr>
          <w:sz w:val="28"/>
          <w:szCs w:val="28"/>
          <w:lang w:val="en-US"/>
        </w:rPr>
        <w:t>15.06.2021 №</w:t>
      </w:r>
      <w:r w:rsidR="00090EE2">
        <w:rPr>
          <w:sz w:val="28"/>
          <w:szCs w:val="28"/>
        </w:rPr>
        <w:t xml:space="preserve"> </w:t>
      </w:r>
      <w:r w:rsidRPr="003836AE">
        <w:rPr>
          <w:sz w:val="28"/>
          <w:szCs w:val="28"/>
          <w:lang w:val="en-US"/>
        </w:rPr>
        <w:t>1539-IX</w:t>
      </w:r>
      <w:r w:rsidRPr="003836AE">
        <w:rPr>
          <w:sz w:val="28"/>
          <w:szCs w:val="28"/>
        </w:rPr>
        <w:t xml:space="preserve">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та новацій податкового законодавства, передбачених Законом України від 14.12.2021 №</w:t>
      </w:r>
      <w:r w:rsidR="00090EE2">
        <w:rPr>
          <w:sz w:val="28"/>
          <w:szCs w:val="28"/>
        </w:rPr>
        <w:t xml:space="preserve"> </w:t>
      </w:r>
      <w:r w:rsidRPr="003836AE">
        <w:rPr>
          <w:sz w:val="28"/>
          <w:szCs w:val="28"/>
        </w:rPr>
        <w:t>1946 "Про внесення змін до Податкового кодексу України та інших законів України щодо стимулювання розвитку цифрової економіки в Україні".</w:t>
      </w:r>
    </w:p>
    <w:p w:rsidR="00ED66E5" w:rsidRPr="00DB36E6" w:rsidRDefault="00ED66E5" w:rsidP="00DB36E6">
      <w:pPr>
        <w:ind w:left="-108" w:right="34"/>
        <w:jc w:val="center"/>
        <w:rPr>
          <w:b/>
          <w:bCs/>
          <w:sz w:val="28"/>
          <w:szCs w:val="28"/>
        </w:rPr>
      </w:pPr>
    </w:p>
    <w:p w:rsidR="00ED66E5" w:rsidRPr="00ED66E5" w:rsidRDefault="009907E0" w:rsidP="00DF0606">
      <w:pPr>
        <w:ind w:firstLine="567"/>
        <w:jc w:val="both"/>
        <w:rPr>
          <w:color w:val="000000"/>
          <w:sz w:val="28"/>
          <w:szCs w:val="28"/>
        </w:rPr>
      </w:pPr>
      <w:r>
        <w:rPr>
          <w:sz w:val="28"/>
          <w:szCs w:val="28"/>
        </w:rPr>
        <w:lastRenderedPageBreak/>
        <w:t>Забезпечено координацію</w:t>
      </w:r>
      <w:r w:rsidR="003A1D50">
        <w:rPr>
          <w:sz w:val="28"/>
          <w:szCs w:val="28"/>
        </w:rPr>
        <w:t xml:space="preserve"> роботи</w:t>
      </w:r>
      <w:r w:rsidR="00ED66E5" w:rsidRPr="00ED66E5">
        <w:rPr>
          <w:sz w:val="28"/>
          <w:szCs w:val="28"/>
        </w:rPr>
        <w:t xml:space="preserve"> структурних підрозділів щодо реєстрації та наповнення облікових даних платників податків</w:t>
      </w:r>
      <w:r w:rsidR="00ED66E5" w:rsidRPr="00ED66E5">
        <w:rPr>
          <w:sz w:val="28"/>
          <w:szCs w:val="28"/>
          <w:lang w:val="en-US"/>
        </w:rPr>
        <w:t>,</w:t>
      </w:r>
      <w:r w:rsidR="00ED66E5" w:rsidRPr="00ED66E5">
        <w:rPr>
          <w:sz w:val="28"/>
          <w:szCs w:val="28"/>
        </w:rPr>
        <w:t xml:space="preserve"> що обслуговуються у </w:t>
      </w:r>
      <w:r w:rsidR="003A1D50">
        <w:rPr>
          <w:sz w:val="28"/>
          <w:szCs w:val="28"/>
        </w:rPr>
        <w:t>Міжрегіональному управлінні.</w:t>
      </w:r>
    </w:p>
    <w:p w:rsidR="00ED66E5" w:rsidRPr="00ED66E5" w:rsidRDefault="00ED66E5" w:rsidP="00DF0606">
      <w:pPr>
        <w:ind w:right="34" w:firstLine="567"/>
        <w:jc w:val="both"/>
        <w:rPr>
          <w:sz w:val="28"/>
          <w:szCs w:val="28"/>
        </w:rPr>
      </w:pPr>
      <w:r w:rsidRPr="00ED66E5">
        <w:rPr>
          <w:sz w:val="28"/>
          <w:szCs w:val="28"/>
          <w:lang w:eastAsia="en-US"/>
        </w:rPr>
        <w:t xml:space="preserve">Протягом 2022 року опрацьовано </w:t>
      </w:r>
      <w:r w:rsidRPr="00ED66E5">
        <w:rPr>
          <w:sz w:val="28"/>
          <w:szCs w:val="28"/>
          <w:lang w:val="en-US" w:eastAsia="en-US"/>
        </w:rPr>
        <w:t>270</w:t>
      </w:r>
      <w:r w:rsidRPr="00ED66E5">
        <w:rPr>
          <w:sz w:val="28"/>
          <w:szCs w:val="28"/>
          <w:lang w:eastAsia="en-US"/>
        </w:rPr>
        <w:t xml:space="preserve"> відомостей </w:t>
      </w:r>
      <w:r w:rsidRPr="00ED66E5">
        <w:rPr>
          <w:bCs/>
          <w:sz w:val="28"/>
          <w:szCs w:val="28"/>
        </w:rPr>
        <w:t xml:space="preserve">з Єдиного державного реєстру </w:t>
      </w:r>
      <w:r w:rsidRPr="00ED66E5">
        <w:rPr>
          <w:sz w:val="28"/>
          <w:szCs w:val="28"/>
        </w:rPr>
        <w:t xml:space="preserve">щодо змін у реєстраційних даних платників податків.  </w:t>
      </w:r>
    </w:p>
    <w:p w:rsidR="00ED66E5" w:rsidRDefault="00ED66E5" w:rsidP="00DF0606">
      <w:pPr>
        <w:ind w:firstLine="567"/>
        <w:jc w:val="both"/>
        <w:rPr>
          <w:sz w:val="28"/>
          <w:szCs w:val="28"/>
        </w:rPr>
      </w:pPr>
      <w:r w:rsidRPr="00ED66E5">
        <w:rPr>
          <w:sz w:val="28"/>
          <w:szCs w:val="28"/>
        </w:rPr>
        <w:t>Вжи</w:t>
      </w:r>
      <w:r w:rsidR="003A1D50">
        <w:rPr>
          <w:sz w:val="28"/>
          <w:szCs w:val="28"/>
        </w:rPr>
        <w:t>то</w:t>
      </w:r>
      <w:r w:rsidRPr="00ED66E5">
        <w:rPr>
          <w:sz w:val="28"/>
          <w:szCs w:val="28"/>
        </w:rPr>
        <w:t xml:space="preserve"> заход</w:t>
      </w:r>
      <w:r w:rsidR="003A1D50">
        <w:rPr>
          <w:sz w:val="28"/>
          <w:szCs w:val="28"/>
        </w:rPr>
        <w:t>ів</w:t>
      </w:r>
      <w:r w:rsidRPr="00ED66E5">
        <w:rPr>
          <w:sz w:val="28"/>
          <w:szCs w:val="28"/>
        </w:rPr>
        <w:t xml:space="preserve"> щодо завершення процедур, пов</w:t>
      </w:r>
      <w:r w:rsidRPr="00ED66E5">
        <w:rPr>
          <w:sz w:val="28"/>
          <w:szCs w:val="28"/>
          <w:lang w:val="en-US"/>
        </w:rPr>
        <w:t>’язаних із зняттям</w:t>
      </w:r>
      <w:r w:rsidRPr="00ED66E5">
        <w:rPr>
          <w:sz w:val="28"/>
          <w:szCs w:val="28"/>
        </w:rPr>
        <w:t xml:space="preserve"> з обліку платників податків у зв</w:t>
      </w:r>
      <w:r w:rsidRPr="00ED66E5">
        <w:rPr>
          <w:sz w:val="28"/>
          <w:szCs w:val="28"/>
          <w:lang w:val="en-US"/>
        </w:rPr>
        <w:t>’язку з їх припиненням</w:t>
      </w:r>
      <w:r w:rsidRPr="00ED66E5">
        <w:rPr>
          <w:sz w:val="28"/>
          <w:szCs w:val="28"/>
        </w:rPr>
        <w:t>.</w:t>
      </w:r>
      <w:r w:rsidRPr="00ED66E5">
        <w:rPr>
          <w:sz w:val="28"/>
          <w:szCs w:val="28"/>
          <w:lang w:val="en-US"/>
        </w:rPr>
        <w:t xml:space="preserve"> </w:t>
      </w:r>
      <w:r w:rsidR="007B6F32">
        <w:rPr>
          <w:sz w:val="28"/>
          <w:szCs w:val="28"/>
        </w:rPr>
        <w:t>З</w:t>
      </w:r>
      <w:r w:rsidRPr="00ED66E5">
        <w:rPr>
          <w:sz w:val="28"/>
          <w:szCs w:val="28"/>
        </w:rPr>
        <w:t xml:space="preserve"> податкового обліку</w:t>
      </w:r>
      <w:r w:rsidR="007B6F32">
        <w:rPr>
          <w:sz w:val="28"/>
          <w:szCs w:val="28"/>
        </w:rPr>
        <w:t xml:space="preserve"> </w:t>
      </w:r>
      <w:r w:rsidRPr="00ED66E5">
        <w:rPr>
          <w:sz w:val="28"/>
          <w:szCs w:val="28"/>
        </w:rPr>
        <w:t xml:space="preserve">переведено на обслуговування </w:t>
      </w:r>
      <w:r w:rsidR="007B6F32">
        <w:rPr>
          <w:sz w:val="28"/>
          <w:szCs w:val="28"/>
        </w:rPr>
        <w:t>в</w:t>
      </w:r>
      <w:r w:rsidR="00DF0606">
        <w:rPr>
          <w:sz w:val="28"/>
          <w:szCs w:val="28"/>
        </w:rPr>
        <w:t xml:space="preserve"> </w:t>
      </w:r>
      <w:r w:rsidRPr="00ED66E5">
        <w:rPr>
          <w:sz w:val="28"/>
          <w:szCs w:val="28"/>
        </w:rPr>
        <w:t>ГУ ДПС у обл</w:t>
      </w:r>
      <w:r w:rsidR="007B6F32">
        <w:rPr>
          <w:sz w:val="28"/>
          <w:szCs w:val="28"/>
        </w:rPr>
        <w:t>астях</w:t>
      </w:r>
      <w:r w:rsidRPr="00ED66E5">
        <w:rPr>
          <w:sz w:val="28"/>
          <w:szCs w:val="28"/>
        </w:rPr>
        <w:t xml:space="preserve"> 16 платників, що не досягли критерію ВПП</w:t>
      </w:r>
      <w:r w:rsidR="00821D01">
        <w:rPr>
          <w:sz w:val="28"/>
          <w:szCs w:val="28"/>
        </w:rPr>
        <w:t>,</w:t>
      </w:r>
      <w:r w:rsidRPr="00ED66E5">
        <w:rPr>
          <w:sz w:val="28"/>
          <w:szCs w:val="28"/>
          <w:lang w:val="en-US"/>
        </w:rPr>
        <w:t xml:space="preserve"> </w:t>
      </w:r>
      <w:r w:rsidRPr="00ED66E5">
        <w:rPr>
          <w:sz w:val="28"/>
          <w:szCs w:val="28"/>
        </w:rPr>
        <w:t xml:space="preserve">2 ВПП знято з податкового обліку та переведено на облік у Центральне </w:t>
      </w:r>
      <w:r w:rsidR="00982CA7" w:rsidRPr="00982CA7">
        <w:rPr>
          <w:sz w:val="28"/>
          <w:szCs w:val="28"/>
        </w:rPr>
        <w:t>міжрегіональне управління ДПС по роботі з великими платниками податків</w:t>
      </w:r>
      <w:r w:rsidRPr="00982CA7">
        <w:rPr>
          <w:sz w:val="28"/>
          <w:szCs w:val="28"/>
        </w:rPr>
        <w:t>.</w:t>
      </w:r>
    </w:p>
    <w:p w:rsidR="005C08E5" w:rsidRDefault="005C08E5" w:rsidP="00DF0606">
      <w:pPr>
        <w:ind w:firstLine="567"/>
        <w:jc w:val="both"/>
        <w:rPr>
          <w:sz w:val="28"/>
          <w:szCs w:val="28"/>
        </w:rPr>
      </w:pPr>
    </w:p>
    <w:p w:rsidR="00F63297" w:rsidRDefault="005C08E5" w:rsidP="003F0373">
      <w:pPr>
        <w:ind w:firstLine="567"/>
        <w:jc w:val="both"/>
      </w:pPr>
      <w:r w:rsidRPr="00AD3D0E">
        <w:rPr>
          <w:sz w:val="28"/>
          <w:szCs w:val="28"/>
        </w:rPr>
        <w:t>Протягом 202</w:t>
      </w:r>
      <w:r>
        <w:rPr>
          <w:sz w:val="28"/>
          <w:szCs w:val="28"/>
        </w:rPr>
        <w:t>2</w:t>
      </w:r>
      <w:r w:rsidRPr="00AD3D0E">
        <w:rPr>
          <w:sz w:val="28"/>
          <w:szCs w:val="28"/>
        </w:rPr>
        <w:t xml:space="preserve"> року забезпечено </w:t>
      </w:r>
      <w:r w:rsidR="00F63297">
        <w:rPr>
          <w:sz w:val="28"/>
          <w:szCs w:val="28"/>
        </w:rPr>
        <w:t xml:space="preserve">контроль щодо </w:t>
      </w:r>
      <w:r w:rsidRPr="00AD3D0E">
        <w:rPr>
          <w:sz w:val="28"/>
          <w:szCs w:val="28"/>
        </w:rPr>
        <w:t>кваліфікован</w:t>
      </w:r>
      <w:r w:rsidR="00F63297">
        <w:rPr>
          <w:sz w:val="28"/>
          <w:szCs w:val="28"/>
        </w:rPr>
        <w:t>ого</w:t>
      </w:r>
      <w:r w:rsidRPr="00AD3D0E">
        <w:rPr>
          <w:sz w:val="28"/>
          <w:szCs w:val="28"/>
        </w:rPr>
        <w:t xml:space="preserve"> та своєчасн</w:t>
      </w:r>
      <w:r w:rsidR="00F63297">
        <w:rPr>
          <w:sz w:val="28"/>
          <w:szCs w:val="28"/>
        </w:rPr>
        <w:t>ого</w:t>
      </w:r>
      <w:r w:rsidRPr="00AD3D0E">
        <w:rPr>
          <w:sz w:val="28"/>
          <w:szCs w:val="28"/>
        </w:rPr>
        <w:t xml:space="preserve"> розгляд</w:t>
      </w:r>
      <w:r w:rsidR="00F63297">
        <w:rPr>
          <w:sz w:val="28"/>
          <w:szCs w:val="28"/>
        </w:rPr>
        <w:t>у</w:t>
      </w:r>
      <w:r w:rsidRPr="00AD3D0E">
        <w:rPr>
          <w:sz w:val="28"/>
          <w:szCs w:val="28"/>
        </w:rPr>
        <w:t xml:space="preserve"> звернень громадян відповідно до вимог Закону України від 2 жовтня 1996 року № 393/96-ВР «Про звернення громадян» (зі змінами).</w:t>
      </w:r>
      <w:r w:rsidRPr="00F82610">
        <w:t xml:space="preserve"> </w:t>
      </w:r>
    </w:p>
    <w:p w:rsidR="005C08E5" w:rsidRDefault="005C08E5" w:rsidP="003F0373">
      <w:pPr>
        <w:ind w:firstLine="567"/>
        <w:jc w:val="both"/>
        <w:rPr>
          <w:sz w:val="28"/>
          <w:szCs w:val="28"/>
        </w:rPr>
      </w:pPr>
      <w:r w:rsidRPr="00AD3D0E">
        <w:rPr>
          <w:sz w:val="28"/>
          <w:szCs w:val="28"/>
        </w:rPr>
        <w:t>Проведено роботу щодо оновлення графіків особистого прийому громадян посадовими особами та розміщення на стендах у приміщенні ЦОП ГУ ДПС у Львівській області та на субсайті Західного міжрегіонального управління ДПС по роботі з великими платниками податків вебпорталу ДПС. Звернень громадян щодо особистого прийому посадовими особами Міжрегіонального управління</w:t>
      </w:r>
      <w:r w:rsidRPr="00AD3D0E">
        <w:rPr>
          <w:sz w:val="28"/>
          <w:szCs w:val="28"/>
          <w:lang w:eastAsia="en-US"/>
        </w:rPr>
        <w:t xml:space="preserve"> </w:t>
      </w:r>
      <w:r w:rsidRPr="00AD3D0E">
        <w:rPr>
          <w:sz w:val="28"/>
          <w:szCs w:val="28"/>
        </w:rPr>
        <w:t>не надходило</w:t>
      </w:r>
      <w:r>
        <w:rPr>
          <w:sz w:val="28"/>
          <w:szCs w:val="28"/>
        </w:rPr>
        <w:t>.</w:t>
      </w:r>
    </w:p>
    <w:p w:rsidR="005C08E5" w:rsidRDefault="005C08E5" w:rsidP="003F0373">
      <w:pPr>
        <w:ind w:firstLine="567"/>
        <w:jc w:val="both"/>
        <w:rPr>
          <w:sz w:val="28"/>
          <w:szCs w:val="28"/>
        </w:rPr>
      </w:pPr>
      <w:r w:rsidRPr="00BF23A4">
        <w:rPr>
          <w:sz w:val="28"/>
          <w:szCs w:val="28"/>
        </w:rPr>
        <w:t>Забезпечено о</w:t>
      </w:r>
      <w:r w:rsidRPr="00BF23A4">
        <w:rPr>
          <w:sz w:val="28"/>
          <w:szCs w:val="28"/>
          <w:lang w:eastAsia="en-US"/>
        </w:rPr>
        <w:t xml:space="preserve">рганізацію роботи щодо своєчасного розгляду запитів на публічну інформацію відповідно до вимог Закону України від 13 січня 2011 року № 2939-VI «Про доступ до публічної інформації» (зі змінами) та надання відповідей на них. </w:t>
      </w:r>
      <w:r w:rsidRPr="00BF23A4">
        <w:rPr>
          <w:sz w:val="28"/>
          <w:szCs w:val="28"/>
        </w:rPr>
        <w:t>Протягом 202</w:t>
      </w:r>
      <w:r w:rsidR="003F45DA">
        <w:rPr>
          <w:sz w:val="28"/>
          <w:szCs w:val="28"/>
        </w:rPr>
        <w:t>2</w:t>
      </w:r>
      <w:r w:rsidRPr="00BF23A4">
        <w:rPr>
          <w:sz w:val="28"/>
          <w:szCs w:val="28"/>
        </w:rPr>
        <w:t xml:space="preserve"> року поступило 4 запити на публічну інформацію, відповідь надано згідно встановлених термінів</w:t>
      </w:r>
      <w:r>
        <w:rPr>
          <w:sz w:val="28"/>
          <w:szCs w:val="28"/>
        </w:rPr>
        <w:t>.</w:t>
      </w:r>
    </w:p>
    <w:p w:rsidR="005C08E5" w:rsidRPr="008D3412" w:rsidRDefault="005C08E5" w:rsidP="003F0373">
      <w:pPr>
        <w:ind w:left="-28" w:right="34" w:firstLine="567"/>
        <w:jc w:val="both"/>
        <w:rPr>
          <w:sz w:val="28"/>
          <w:szCs w:val="28"/>
        </w:rPr>
      </w:pPr>
      <w:r w:rsidRPr="008D3412">
        <w:rPr>
          <w:sz w:val="28"/>
          <w:szCs w:val="28"/>
        </w:rPr>
        <w:t>Проведено моніторинг запитів платників податків, що надходять на сервіс «Пульс». Протягом  202</w:t>
      </w:r>
      <w:r w:rsidR="00FC232B">
        <w:rPr>
          <w:sz w:val="28"/>
          <w:szCs w:val="28"/>
        </w:rPr>
        <w:t>2</w:t>
      </w:r>
      <w:r w:rsidRPr="008D3412">
        <w:rPr>
          <w:sz w:val="28"/>
          <w:szCs w:val="28"/>
        </w:rPr>
        <w:t xml:space="preserve"> року поступило (закрито у встановлені терміни) </w:t>
      </w:r>
      <w:r w:rsidR="00920AAE">
        <w:rPr>
          <w:sz w:val="28"/>
          <w:szCs w:val="28"/>
        </w:rPr>
        <w:t xml:space="preserve">             </w:t>
      </w:r>
      <w:r w:rsidR="00FC232B">
        <w:rPr>
          <w:sz w:val="28"/>
          <w:szCs w:val="28"/>
        </w:rPr>
        <w:t>6</w:t>
      </w:r>
      <w:r w:rsidRPr="008D3412">
        <w:rPr>
          <w:sz w:val="28"/>
          <w:szCs w:val="28"/>
        </w:rPr>
        <w:t xml:space="preserve"> звернен</w:t>
      </w:r>
      <w:r w:rsidR="00FC232B">
        <w:rPr>
          <w:sz w:val="28"/>
          <w:szCs w:val="28"/>
        </w:rPr>
        <w:t>ь</w:t>
      </w:r>
      <w:r>
        <w:rPr>
          <w:sz w:val="28"/>
          <w:szCs w:val="28"/>
        </w:rPr>
        <w:t>.</w:t>
      </w:r>
    </w:p>
    <w:p w:rsidR="007B4769" w:rsidRPr="00982CA7" w:rsidRDefault="007B4769" w:rsidP="00DF0606">
      <w:pPr>
        <w:ind w:firstLine="567"/>
        <w:jc w:val="both"/>
        <w:rPr>
          <w:sz w:val="28"/>
          <w:szCs w:val="28"/>
        </w:rPr>
      </w:pPr>
    </w:p>
    <w:p w:rsidR="009B5F79" w:rsidRDefault="009B5F79" w:rsidP="009B5F79">
      <w:pPr>
        <w:ind w:left="-28" w:right="34" w:firstLine="595"/>
        <w:jc w:val="both"/>
        <w:rPr>
          <w:sz w:val="28"/>
          <w:szCs w:val="28"/>
        </w:rPr>
      </w:pPr>
    </w:p>
    <w:p w:rsidR="009D0CBE" w:rsidRDefault="009D0CBE" w:rsidP="003F0373">
      <w:pPr>
        <w:tabs>
          <w:tab w:val="left" w:pos="567"/>
        </w:tabs>
        <w:jc w:val="center"/>
        <w:rPr>
          <w:b/>
          <w:bCs/>
          <w:sz w:val="28"/>
          <w:szCs w:val="28"/>
        </w:rPr>
      </w:pPr>
      <w:r w:rsidRPr="00CB403D">
        <w:rPr>
          <w:b/>
          <w:bCs/>
          <w:sz w:val="28"/>
          <w:szCs w:val="28"/>
        </w:rPr>
        <w:t xml:space="preserve">Розділ 7. Координація роботи з питань основної діяльності, здійснення контролю за </w:t>
      </w:r>
      <w:r w:rsidRPr="00B610FC">
        <w:rPr>
          <w:b/>
          <w:bCs/>
          <w:sz w:val="28"/>
          <w:szCs w:val="28"/>
        </w:rPr>
        <w:t xml:space="preserve">виконанням </w:t>
      </w:r>
      <w:r w:rsidR="00B610FC" w:rsidRPr="00B610FC">
        <w:rPr>
          <w:b/>
          <w:color w:val="000000"/>
          <w:sz w:val="28"/>
          <w:szCs w:val="28"/>
        </w:rPr>
        <w:t>контрольних завдань</w:t>
      </w:r>
      <w:r w:rsidR="00B610FC" w:rsidRPr="00F053ED">
        <w:rPr>
          <w:b/>
          <w:color w:val="000000"/>
        </w:rPr>
        <w:t xml:space="preserve"> </w:t>
      </w:r>
      <w:r w:rsidRPr="00CB403D">
        <w:rPr>
          <w:b/>
          <w:bCs/>
          <w:sz w:val="28"/>
          <w:szCs w:val="28"/>
        </w:rPr>
        <w:t>та перевірок з окремих питань</w:t>
      </w:r>
    </w:p>
    <w:p w:rsidR="00920AAE" w:rsidRDefault="00920AAE" w:rsidP="003F0373">
      <w:pPr>
        <w:tabs>
          <w:tab w:val="left" w:pos="567"/>
        </w:tabs>
        <w:jc w:val="center"/>
        <w:rPr>
          <w:b/>
          <w:bCs/>
          <w:sz w:val="28"/>
          <w:szCs w:val="28"/>
        </w:rPr>
      </w:pPr>
    </w:p>
    <w:p w:rsidR="003F0373" w:rsidRPr="003F0373" w:rsidRDefault="003F0373" w:rsidP="003F0373">
      <w:pPr>
        <w:tabs>
          <w:tab w:val="left" w:pos="567"/>
        </w:tabs>
        <w:ind w:firstLine="427"/>
        <w:jc w:val="both"/>
        <w:rPr>
          <w:sz w:val="28"/>
          <w:szCs w:val="28"/>
        </w:rPr>
      </w:pPr>
      <w:r>
        <w:rPr>
          <w:sz w:val="28"/>
          <w:szCs w:val="28"/>
        </w:rPr>
        <w:t xml:space="preserve"> </w:t>
      </w:r>
      <w:r w:rsidRPr="003F0373">
        <w:rPr>
          <w:sz w:val="28"/>
          <w:szCs w:val="28"/>
        </w:rPr>
        <w:t xml:space="preserve">Листом від 28.01.2022 № 289/8/33-00-01 до ДПС України надано </w:t>
      </w:r>
      <w:r w:rsidRPr="003F0373">
        <w:rPr>
          <w:sz w:val="28"/>
          <w:szCs w:val="28"/>
          <w:lang w:eastAsia="en-US"/>
        </w:rPr>
        <w:t xml:space="preserve">звіти про виконання Планів роботи </w:t>
      </w:r>
      <w:r w:rsidRPr="003F0373">
        <w:rPr>
          <w:sz w:val="28"/>
          <w:szCs w:val="28"/>
        </w:rPr>
        <w:t>Міжрегіонального управління</w:t>
      </w:r>
      <w:r w:rsidRPr="003F0373">
        <w:rPr>
          <w:sz w:val="28"/>
          <w:szCs w:val="28"/>
          <w:lang w:eastAsia="en-US"/>
        </w:rPr>
        <w:t xml:space="preserve"> на друге півріччя </w:t>
      </w:r>
      <w:r w:rsidR="006E5C7E">
        <w:rPr>
          <w:sz w:val="28"/>
          <w:szCs w:val="28"/>
          <w:lang w:eastAsia="en-US"/>
        </w:rPr>
        <w:t xml:space="preserve">       </w:t>
      </w:r>
      <w:r w:rsidRPr="003F0373">
        <w:rPr>
          <w:sz w:val="28"/>
          <w:szCs w:val="28"/>
          <w:lang w:eastAsia="en-US"/>
        </w:rPr>
        <w:t xml:space="preserve">2021 року </w:t>
      </w:r>
      <w:r w:rsidRPr="003F0373">
        <w:rPr>
          <w:sz w:val="28"/>
          <w:szCs w:val="28"/>
        </w:rPr>
        <w:t>та на 2021 рік</w:t>
      </w:r>
      <w:r w:rsidRPr="003F0373">
        <w:rPr>
          <w:sz w:val="28"/>
          <w:szCs w:val="28"/>
          <w:lang w:eastAsia="en-US"/>
        </w:rPr>
        <w:t>.</w:t>
      </w:r>
    </w:p>
    <w:p w:rsidR="003F0373" w:rsidRPr="003F0373" w:rsidRDefault="003F0373" w:rsidP="003F0373">
      <w:pPr>
        <w:tabs>
          <w:tab w:val="left" w:pos="567"/>
        </w:tabs>
        <w:ind w:firstLine="427"/>
        <w:jc w:val="both"/>
        <w:rPr>
          <w:sz w:val="28"/>
          <w:szCs w:val="28"/>
        </w:rPr>
      </w:pPr>
      <w:r>
        <w:rPr>
          <w:sz w:val="28"/>
          <w:szCs w:val="28"/>
        </w:rPr>
        <w:t xml:space="preserve"> </w:t>
      </w:r>
      <w:r w:rsidRPr="003F0373">
        <w:rPr>
          <w:sz w:val="28"/>
          <w:szCs w:val="28"/>
        </w:rPr>
        <w:t xml:space="preserve">Листом від 29.07.2022 № 1468/8/33-00-01 до ДПС України надано </w:t>
      </w:r>
      <w:r w:rsidRPr="003F0373">
        <w:rPr>
          <w:sz w:val="28"/>
          <w:szCs w:val="28"/>
          <w:lang w:eastAsia="en-US"/>
        </w:rPr>
        <w:t xml:space="preserve">звіт про виконання Плану роботи </w:t>
      </w:r>
      <w:r w:rsidRPr="003F0373">
        <w:rPr>
          <w:sz w:val="28"/>
          <w:szCs w:val="28"/>
        </w:rPr>
        <w:t>Міжрегіонального управління</w:t>
      </w:r>
      <w:r w:rsidRPr="003F0373">
        <w:rPr>
          <w:sz w:val="28"/>
          <w:szCs w:val="28"/>
          <w:lang w:eastAsia="en-US"/>
        </w:rPr>
        <w:t xml:space="preserve"> на перше півріччя </w:t>
      </w:r>
      <w:r w:rsidR="006E5C7E">
        <w:rPr>
          <w:sz w:val="28"/>
          <w:szCs w:val="28"/>
          <w:lang w:eastAsia="en-US"/>
        </w:rPr>
        <w:t xml:space="preserve">      </w:t>
      </w:r>
      <w:r w:rsidRPr="003F0373">
        <w:rPr>
          <w:sz w:val="28"/>
          <w:szCs w:val="28"/>
          <w:lang w:eastAsia="en-US"/>
        </w:rPr>
        <w:t>2022 року.</w:t>
      </w:r>
    </w:p>
    <w:p w:rsidR="00A31C37" w:rsidRPr="002663F5" w:rsidRDefault="00A31C37" w:rsidP="00A31C37">
      <w:pPr>
        <w:ind w:firstLine="567"/>
        <w:jc w:val="both"/>
        <w:rPr>
          <w:sz w:val="28"/>
          <w:szCs w:val="28"/>
        </w:rPr>
      </w:pPr>
      <w:r w:rsidRPr="002663F5">
        <w:rPr>
          <w:sz w:val="28"/>
          <w:szCs w:val="28"/>
        </w:rPr>
        <w:t xml:space="preserve">Листом від </w:t>
      </w:r>
      <w:r w:rsidR="00220B70" w:rsidRPr="00220B70">
        <w:rPr>
          <w:sz w:val="28"/>
          <w:szCs w:val="28"/>
        </w:rPr>
        <w:t>03.06.2022 № 959/8/33-00-01</w:t>
      </w:r>
      <w:r w:rsidR="00220B70">
        <w:t xml:space="preserve"> </w:t>
      </w:r>
      <w:r w:rsidRPr="002663F5">
        <w:rPr>
          <w:sz w:val="28"/>
          <w:szCs w:val="28"/>
        </w:rPr>
        <w:t>до ДПС України надано на затвердження План роботи Міжрегіонального управління</w:t>
      </w:r>
      <w:r w:rsidRPr="002663F5">
        <w:rPr>
          <w:sz w:val="28"/>
          <w:szCs w:val="28"/>
          <w:lang w:eastAsia="en-US"/>
        </w:rPr>
        <w:t xml:space="preserve"> на друге півріччя </w:t>
      </w:r>
      <w:r w:rsidR="006E5C7E">
        <w:rPr>
          <w:sz w:val="28"/>
          <w:szCs w:val="28"/>
          <w:lang w:eastAsia="en-US"/>
        </w:rPr>
        <w:t xml:space="preserve">    </w:t>
      </w:r>
      <w:r w:rsidRPr="002663F5">
        <w:rPr>
          <w:sz w:val="28"/>
          <w:szCs w:val="28"/>
          <w:lang w:eastAsia="en-US"/>
        </w:rPr>
        <w:t>202</w:t>
      </w:r>
      <w:r w:rsidR="00D25169">
        <w:rPr>
          <w:sz w:val="28"/>
          <w:szCs w:val="28"/>
          <w:lang w:eastAsia="en-US"/>
        </w:rPr>
        <w:t>2</w:t>
      </w:r>
      <w:r w:rsidRPr="002663F5">
        <w:rPr>
          <w:sz w:val="28"/>
          <w:szCs w:val="28"/>
          <w:lang w:eastAsia="en-US"/>
        </w:rPr>
        <w:t xml:space="preserve"> року</w:t>
      </w:r>
      <w:r>
        <w:rPr>
          <w:sz w:val="28"/>
          <w:szCs w:val="28"/>
          <w:lang w:eastAsia="en-US"/>
        </w:rPr>
        <w:t>.</w:t>
      </w:r>
      <w:r w:rsidRPr="002663F5">
        <w:rPr>
          <w:sz w:val="28"/>
          <w:szCs w:val="28"/>
        </w:rPr>
        <w:t xml:space="preserve"> </w:t>
      </w:r>
    </w:p>
    <w:p w:rsidR="00A31C37" w:rsidRDefault="00302611" w:rsidP="00A31C37">
      <w:pPr>
        <w:ind w:firstLine="567"/>
        <w:jc w:val="both"/>
        <w:rPr>
          <w:sz w:val="28"/>
          <w:szCs w:val="28"/>
          <w:lang w:eastAsia="en-US"/>
        </w:rPr>
      </w:pPr>
      <w:r w:rsidRPr="00302611">
        <w:rPr>
          <w:sz w:val="28"/>
          <w:szCs w:val="28"/>
        </w:rPr>
        <w:t>Листом від 30.11.2022 № 2575/8/33-00-01 до ДПС України надано на затвердження Плани роботи Міжрегіонального управління</w:t>
      </w:r>
      <w:r w:rsidRPr="00302611">
        <w:rPr>
          <w:sz w:val="28"/>
          <w:szCs w:val="28"/>
          <w:lang w:eastAsia="en-US"/>
        </w:rPr>
        <w:t xml:space="preserve"> на 2023 рік та перше півріччя 2023 року</w:t>
      </w:r>
      <w:r>
        <w:rPr>
          <w:sz w:val="28"/>
          <w:szCs w:val="28"/>
          <w:lang w:eastAsia="en-US"/>
        </w:rPr>
        <w:t>.</w:t>
      </w:r>
    </w:p>
    <w:p w:rsidR="00A31C37" w:rsidRDefault="00682665" w:rsidP="00A31C37">
      <w:pPr>
        <w:ind w:firstLine="567"/>
        <w:jc w:val="both"/>
        <w:rPr>
          <w:sz w:val="28"/>
          <w:szCs w:val="28"/>
        </w:rPr>
      </w:pPr>
      <w:r w:rsidRPr="00D757D0">
        <w:rPr>
          <w:sz w:val="28"/>
          <w:szCs w:val="28"/>
        </w:rPr>
        <w:lastRenderedPageBreak/>
        <w:t>Листом від 11.02.2022 № 474/8/33-00-01 до ДПС України надано на затвердження Організаційну структуру Західного міжрегіонального управління ДПС по роботі з великими платниками податків</w:t>
      </w:r>
      <w:r w:rsidR="00D757D0">
        <w:rPr>
          <w:sz w:val="28"/>
          <w:szCs w:val="28"/>
        </w:rPr>
        <w:t>.</w:t>
      </w:r>
    </w:p>
    <w:p w:rsidR="00E6604F" w:rsidRDefault="00E6604F" w:rsidP="00A31C37">
      <w:pPr>
        <w:ind w:firstLine="567"/>
        <w:jc w:val="both"/>
        <w:rPr>
          <w:sz w:val="28"/>
          <w:szCs w:val="28"/>
        </w:rPr>
      </w:pPr>
    </w:p>
    <w:p w:rsidR="00E6604F" w:rsidRDefault="00E6604F" w:rsidP="00A31C37">
      <w:pPr>
        <w:ind w:firstLine="567"/>
        <w:jc w:val="both"/>
        <w:rPr>
          <w:sz w:val="28"/>
          <w:szCs w:val="28"/>
        </w:rPr>
      </w:pPr>
      <w:r w:rsidRPr="00B40278">
        <w:rPr>
          <w:sz w:val="28"/>
          <w:szCs w:val="28"/>
        </w:rPr>
        <w:t>Лист</w:t>
      </w:r>
      <w:r w:rsidR="00B40278" w:rsidRPr="00B40278">
        <w:rPr>
          <w:sz w:val="28"/>
          <w:szCs w:val="28"/>
        </w:rPr>
        <w:t>ами</w:t>
      </w:r>
      <w:r w:rsidRPr="00B40278">
        <w:rPr>
          <w:sz w:val="28"/>
          <w:szCs w:val="28"/>
        </w:rPr>
        <w:t xml:space="preserve"> від 29.06.2022 № 1159/8/33-00-01</w:t>
      </w:r>
      <w:r w:rsidR="00104BCC" w:rsidRPr="00B40278">
        <w:rPr>
          <w:sz w:val="28"/>
          <w:szCs w:val="28"/>
        </w:rPr>
        <w:t>, від 19.07.2022 № 1358/8/33-00-01, від 31.10.2022 № 2336/8/33-00-01, від 20.12.2022 № 2775/8/33-00-01</w:t>
      </w:r>
      <w:r w:rsidRPr="00B40278">
        <w:rPr>
          <w:sz w:val="28"/>
          <w:szCs w:val="28"/>
        </w:rPr>
        <w:t xml:space="preserve"> до ДПС України надано на погодження проєкт</w:t>
      </w:r>
      <w:r w:rsidR="00B40278" w:rsidRPr="00B40278">
        <w:rPr>
          <w:sz w:val="28"/>
          <w:szCs w:val="28"/>
        </w:rPr>
        <w:t>и</w:t>
      </w:r>
      <w:r w:rsidRPr="00B40278">
        <w:rPr>
          <w:sz w:val="28"/>
          <w:szCs w:val="28"/>
        </w:rPr>
        <w:t xml:space="preserve"> наказ</w:t>
      </w:r>
      <w:r w:rsidR="00B40278" w:rsidRPr="00B40278">
        <w:rPr>
          <w:sz w:val="28"/>
          <w:szCs w:val="28"/>
        </w:rPr>
        <w:t>ів</w:t>
      </w:r>
      <w:r w:rsidRPr="00B40278">
        <w:rPr>
          <w:sz w:val="28"/>
          <w:szCs w:val="28"/>
        </w:rPr>
        <w:t xml:space="preserve"> про розподіл</w:t>
      </w:r>
      <w:r w:rsidRPr="00B40278">
        <w:rPr>
          <w:sz w:val="28"/>
          <w:szCs w:val="28"/>
          <w:lang w:eastAsia="en-US"/>
        </w:rPr>
        <w:t xml:space="preserve"> обов’язків між керівним складом </w:t>
      </w:r>
      <w:r w:rsidRPr="00B40278">
        <w:rPr>
          <w:sz w:val="28"/>
          <w:szCs w:val="28"/>
        </w:rPr>
        <w:t>Міжрегіонального управління</w:t>
      </w:r>
      <w:r w:rsidR="00B40278" w:rsidRPr="00B40278">
        <w:rPr>
          <w:sz w:val="28"/>
          <w:szCs w:val="28"/>
        </w:rPr>
        <w:t>.</w:t>
      </w:r>
    </w:p>
    <w:p w:rsidR="00CB52AF" w:rsidRPr="00B40278" w:rsidRDefault="00CB52AF" w:rsidP="00A31C37">
      <w:pPr>
        <w:ind w:firstLine="567"/>
        <w:jc w:val="both"/>
        <w:rPr>
          <w:sz w:val="28"/>
          <w:szCs w:val="28"/>
        </w:rPr>
      </w:pPr>
    </w:p>
    <w:p w:rsidR="00A31C37" w:rsidRPr="006F0595" w:rsidRDefault="00A31C37" w:rsidP="00A31C37">
      <w:pPr>
        <w:ind w:firstLine="567"/>
        <w:jc w:val="both"/>
        <w:rPr>
          <w:sz w:val="28"/>
          <w:szCs w:val="28"/>
        </w:rPr>
      </w:pPr>
      <w:r w:rsidRPr="006F0595">
        <w:rPr>
          <w:sz w:val="28"/>
          <w:szCs w:val="28"/>
        </w:rPr>
        <w:t>Забезпечено організацію участі керівництва Міжрегіонального управління</w:t>
      </w:r>
      <w:r w:rsidRPr="006F0595">
        <w:rPr>
          <w:sz w:val="28"/>
          <w:szCs w:val="28"/>
          <w:lang w:eastAsia="en-US"/>
        </w:rPr>
        <w:t xml:space="preserve"> </w:t>
      </w:r>
      <w:r w:rsidRPr="006F0595">
        <w:rPr>
          <w:sz w:val="28"/>
          <w:szCs w:val="28"/>
        </w:rPr>
        <w:t xml:space="preserve">у апаратних нарадах та підготовку відповідних матеріалів. </w:t>
      </w:r>
    </w:p>
    <w:p w:rsidR="00A31C37" w:rsidRDefault="00A31C37" w:rsidP="00A31C37">
      <w:pPr>
        <w:ind w:firstLine="567"/>
        <w:jc w:val="both"/>
        <w:rPr>
          <w:rStyle w:val="ad"/>
          <w:color w:val="000000"/>
          <w:sz w:val="28"/>
          <w:szCs w:val="28"/>
        </w:rPr>
      </w:pPr>
      <w:r w:rsidRPr="006F0595">
        <w:rPr>
          <w:sz w:val="28"/>
          <w:szCs w:val="28"/>
        </w:rPr>
        <w:t>Забезпечено якісний та своєчасний контроль за виконанням контрольних завдань, зокрема</w:t>
      </w:r>
      <w:r w:rsidRPr="006F0595">
        <w:rPr>
          <w:rStyle w:val="ad"/>
          <w:color w:val="000000"/>
          <w:sz w:val="28"/>
          <w:szCs w:val="28"/>
        </w:rPr>
        <w:t xml:space="preserve"> щоденне надання структурним підрозділам в електронному вигляді випереджувальної інформації щодо доручень, терміни виконання яких минають на відповідну дату, та строки виконання</w:t>
      </w:r>
      <w:r>
        <w:rPr>
          <w:rStyle w:val="ad"/>
          <w:color w:val="000000"/>
          <w:sz w:val="28"/>
          <w:szCs w:val="28"/>
        </w:rPr>
        <w:t>.</w:t>
      </w:r>
    </w:p>
    <w:p w:rsidR="00A31C37" w:rsidRPr="006F0595" w:rsidRDefault="00A31C37" w:rsidP="00A31C37">
      <w:pPr>
        <w:ind w:firstLine="567"/>
        <w:jc w:val="both"/>
        <w:rPr>
          <w:sz w:val="28"/>
          <w:szCs w:val="28"/>
        </w:rPr>
      </w:pPr>
      <w:r w:rsidRPr="006F0595">
        <w:rPr>
          <w:bCs/>
          <w:sz w:val="28"/>
          <w:szCs w:val="28"/>
        </w:rPr>
        <w:t>Забезпечено здійснення системного автоматизованого та дистанційного контролю за виконанням структурними підрозділами контрольних завдань. Щомісячно</w:t>
      </w:r>
      <w:r w:rsidRPr="006F0595">
        <w:rPr>
          <w:sz w:val="28"/>
          <w:szCs w:val="28"/>
        </w:rPr>
        <w:t xml:space="preserve"> за результатами даних </w:t>
      </w:r>
      <w:r w:rsidRPr="006F0595">
        <w:rPr>
          <w:rStyle w:val="20pt"/>
          <w:color w:val="000000"/>
          <w:sz w:val="28"/>
          <w:szCs w:val="28"/>
        </w:rPr>
        <w:t>АІС «Управління документами»</w:t>
      </w:r>
      <w:r w:rsidRPr="006F0595">
        <w:rPr>
          <w:sz w:val="28"/>
          <w:szCs w:val="28"/>
        </w:rPr>
        <w:t xml:space="preserve"> проводиться загальний аналіз стану виконавської дисципліни щодо виконання контрольних завдань, </w:t>
      </w:r>
      <w:r w:rsidRPr="006F0595">
        <w:rPr>
          <w:bCs/>
          <w:sz w:val="28"/>
          <w:szCs w:val="28"/>
        </w:rPr>
        <w:t>визначених актами органів державної влади та дорученнями органів вищого рівня, завдань до іншої вхідної кореспонденції, звернень і запитів народних депутатів України, депутатів місцевих рад, доручень керівництва ДПС до іншої вхідної кореспонденції та власних рішень.</w:t>
      </w:r>
    </w:p>
    <w:p w:rsidR="00A31C37" w:rsidRPr="002B6541" w:rsidRDefault="00A31C37" w:rsidP="00A31C37">
      <w:pPr>
        <w:ind w:firstLine="567"/>
        <w:jc w:val="both"/>
        <w:rPr>
          <w:sz w:val="28"/>
          <w:szCs w:val="28"/>
        </w:rPr>
      </w:pPr>
      <w:r w:rsidRPr="006F0595">
        <w:rPr>
          <w:sz w:val="28"/>
          <w:szCs w:val="28"/>
        </w:rPr>
        <w:t>Забезпечено здійснення системної оцінки рівня виконавської дисципліни відповідно до вимог наказу Міжрегіонального управління</w:t>
      </w:r>
      <w:r w:rsidRPr="006F0595">
        <w:rPr>
          <w:sz w:val="28"/>
          <w:szCs w:val="28"/>
          <w:lang w:eastAsia="en-US"/>
        </w:rPr>
        <w:t xml:space="preserve"> </w:t>
      </w:r>
      <w:r w:rsidRPr="006F0595">
        <w:rPr>
          <w:sz w:val="28"/>
          <w:szCs w:val="28"/>
        </w:rPr>
        <w:t xml:space="preserve">від </w:t>
      </w:r>
      <w:r w:rsidR="00466EF6" w:rsidRPr="002B6541">
        <w:rPr>
          <w:sz w:val="28"/>
          <w:szCs w:val="28"/>
        </w:rPr>
        <w:t>27.07.2022 № 117</w:t>
      </w:r>
      <w:r w:rsidRPr="002B6541">
        <w:rPr>
          <w:sz w:val="28"/>
          <w:szCs w:val="28"/>
        </w:rPr>
        <w:t>.</w:t>
      </w:r>
    </w:p>
    <w:p w:rsidR="00A31C37" w:rsidRDefault="00A31C37" w:rsidP="00A31C37">
      <w:pPr>
        <w:ind w:firstLine="567"/>
        <w:jc w:val="both"/>
        <w:rPr>
          <w:sz w:val="28"/>
          <w:szCs w:val="28"/>
        </w:rPr>
      </w:pPr>
      <w:r w:rsidRPr="006F0595">
        <w:rPr>
          <w:sz w:val="28"/>
          <w:szCs w:val="28"/>
        </w:rPr>
        <w:t>Проведено аналіз оцінки рівня виконавської дисципліни при виконанні контрольних завдань, визначених дорученнями органів вищого рівня та власними рішеннями, та забезпечено його врахування при щомісячному преміюванні працівників Міжрегіонального управління</w:t>
      </w:r>
      <w:r>
        <w:rPr>
          <w:sz w:val="28"/>
          <w:szCs w:val="28"/>
        </w:rPr>
        <w:t>.</w:t>
      </w:r>
    </w:p>
    <w:p w:rsidR="00A31C37" w:rsidRDefault="00A31C37" w:rsidP="00A31C37">
      <w:pPr>
        <w:ind w:firstLine="567"/>
        <w:jc w:val="both"/>
        <w:rPr>
          <w:sz w:val="28"/>
          <w:szCs w:val="28"/>
        </w:rPr>
      </w:pPr>
      <w:r w:rsidRPr="006F0595">
        <w:rPr>
          <w:sz w:val="28"/>
          <w:szCs w:val="28"/>
        </w:rPr>
        <w:t>Забезпечено своєчасний та якісний системний автоматизований контроль за розглядом звернень громадян та запитів на публічну інформацію.</w:t>
      </w:r>
      <w:r w:rsidRPr="006F0595">
        <w:rPr>
          <w:sz w:val="28"/>
          <w:szCs w:val="28"/>
          <w:lang w:eastAsia="en-US"/>
        </w:rPr>
        <w:t xml:space="preserve"> </w:t>
      </w:r>
      <w:r w:rsidRPr="006F0595">
        <w:rPr>
          <w:sz w:val="28"/>
          <w:szCs w:val="28"/>
        </w:rPr>
        <w:t xml:space="preserve"> </w:t>
      </w:r>
    </w:p>
    <w:p w:rsidR="00A31C37" w:rsidRPr="006F0595" w:rsidRDefault="00A31C37" w:rsidP="00A31C37">
      <w:pPr>
        <w:ind w:firstLine="567"/>
        <w:jc w:val="both"/>
        <w:rPr>
          <w:sz w:val="28"/>
          <w:szCs w:val="28"/>
        </w:rPr>
      </w:pPr>
    </w:p>
    <w:p w:rsidR="00A31C37" w:rsidRDefault="00A31C37" w:rsidP="00A31C37">
      <w:pPr>
        <w:ind w:firstLine="567"/>
        <w:jc w:val="both"/>
        <w:rPr>
          <w:sz w:val="28"/>
          <w:szCs w:val="28"/>
        </w:rPr>
      </w:pPr>
      <w:r w:rsidRPr="00CA7C0C">
        <w:rPr>
          <w:sz w:val="28"/>
          <w:szCs w:val="28"/>
        </w:rPr>
        <w:t xml:space="preserve">Наказом Міжрегіонального управління від </w:t>
      </w:r>
      <w:r w:rsidR="001F335B" w:rsidRPr="001F335B">
        <w:rPr>
          <w:sz w:val="28"/>
          <w:szCs w:val="28"/>
        </w:rPr>
        <w:t>28.01.2022 № 14</w:t>
      </w:r>
      <w:r w:rsidRPr="00CA7C0C">
        <w:rPr>
          <w:sz w:val="28"/>
          <w:szCs w:val="28"/>
        </w:rPr>
        <w:t xml:space="preserve"> затверджено </w:t>
      </w:r>
      <w:r w:rsidRPr="00CA7C0C">
        <w:rPr>
          <w:color w:val="000000"/>
          <w:sz w:val="28"/>
          <w:szCs w:val="28"/>
        </w:rPr>
        <w:t xml:space="preserve">Порядок організації та здійснення внутрішнього контролю у </w:t>
      </w:r>
      <w:r w:rsidRPr="00CA7C0C">
        <w:rPr>
          <w:sz w:val="28"/>
          <w:szCs w:val="28"/>
        </w:rPr>
        <w:t>Західному міжрегіональному управлінні ДПС по роботі з великими платниками податків.</w:t>
      </w:r>
      <w:r>
        <w:rPr>
          <w:sz w:val="28"/>
          <w:szCs w:val="28"/>
        </w:rPr>
        <w:t xml:space="preserve"> </w:t>
      </w:r>
      <w:r w:rsidRPr="00CA7C0C">
        <w:rPr>
          <w:sz w:val="28"/>
          <w:szCs w:val="28"/>
        </w:rPr>
        <w:t>З метою відстеження функціонування системи внутрішнього контролю в цілому та/або окремих його елементів, своєчасного виявлення, запобігання та усунення недоліків, проведено періодичний моніторинг та оцінку стану організації роботи структурних підрозділів</w:t>
      </w:r>
      <w:r>
        <w:rPr>
          <w:sz w:val="28"/>
          <w:szCs w:val="28"/>
        </w:rPr>
        <w:t>.</w:t>
      </w:r>
    </w:p>
    <w:p w:rsidR="00A71F99" w:rsidRPr="002F0EA1" w:rsidRDefault="00A71F99" w:rsidP="00A71F99">
      <w:pPr>
        <w:ind w:right="-108" w:firstLine="567"/>
        <w:jc w:val="both"/>
        <w:rPr>
          <w:sz w:val="28"/>
          <w:szCs w:val="28"/>
        </w:rPr>
      </w:pPr>
      <w:r w:rsidRPr="002F0EA1">
        <w:rPr>
          <w:sz w:val="28"/>
          <w:szCs w:val="28"/>
        </w:rPr>
        <w:t>Забезпечено організацію роботи щодо формування, зберігання та використання фонду архівних документів</w:t>
      </w:r>
      <w:r>
        <w:rPr>
          <w:sz w:val="28"/>
          <w:szCs w:val="28"/>
        </w:rPr>
        <w:t>.</w:t>
      </w:r>
    </w:p>
    <w:p w:rsidR="00A71F99" w:rsidRPr="00CA7C0C" w:rsidRDefault="00A71F99" w:rsidP="00A31C37">
      <w:pPr>
        <w:ind w:firstLine="567"/>
        <w:jc w:val="both"/>
        <w:rPr>
          <w:sz w:val="28"/>
          <w:szCs w:val="28"/>
        </w:rPr>
      </w:pPr>
    </w:p>
    <w:p w:rsidR="00A71F99" w:rsidRDefault="00A31C37" w:rsidP="00A31C37">
      <w:pPr>
        <w:ind w:firstLine="567"/>
        <w:jc w:val="both"/>
        <w:rPr>
          <w:sz w:val="28"/>
          <w:szCs w:val="28"/>
        </w:rPr>
      </w:pPr>
      <w:r>
        <w:rPr>
          <w:sz w:val="28"/>
          <w:szCs w:val="28"/>
        </w:rPr>
        <w:t>Протягом 202</w:t>
      </w:r>
      <w:r w:rsidR="00E52A9A">
        <w:rPr>
          <w:sz w:val="28"/>
          <w:szCs w:val="28"/>
        </w:rPr>
        <w:t>2</w:t>
      </w:r>
      <w:r>
        <w:rPr>
          <w:sz w:val="28"/>
          <w:szCs w:val="28"/>
        </w:rPr>
        <w:t xml:space="preserve"> року у </w:t>
      </w:r>
      <w:r w:rsidRPr="00CA7C0C">
        <w:rPr>
          <w:sz w:val="28"/>
          <w:szCs w:val="28"/>
        </w:rPr>
        <w:t>Міжрегіонально</w:t>
      </w:r>
      <w:r>
        <w:rPr>
          <w:sz w:val="28"/>
          <w:szCs w:val="28"/>
        </w:rPr>
        <w:t>му</w:t>
      </w:r>
      <w:r w:rsidRPr="00CA7C0C">
        <w:rPr>
          <w:sz w:val="28"/>
          <w:szCs w:val="28"/>
        </w:rPr>
        <w:t xml:space="preserve"> управлінн</w:t>
      </w:r>
      <w:r>
        <w:rPr>
          <w:sz w:val="28"/>
          <w:szCs w:val="28"/>
        </w:rPr>
        <w:t xml:space="preserve">і підрозділом </w:t>
      </w:r>
      <w:r w:rsidR="00E52A9A">
        <w:rPr>
          <w:sz w:val="28"/>
          <w:szCs w:val="28"/>
        </w:rPr>
        <w:t xml:space="preserve">забезпечення </w:t>
      </w:r>
      <w:r>
        <w:rPr>
          <w:sz w:val="28"/>
          <w:szCs w:val="28"/>
        </w:rPr>
        <w:t>відомчого контролю п</w:t>
      </w:r>
      <w:r w:rsidRPr="00A22985">
        <w:rPr>
          <w:sz w:val="28"/>
          <w:szCs w:val="28"/>
        </w:rPr>
        <w:t xml:space="preserve">роведено </w:t>
      </w:r>
      <w:r w:rsidR="00E52A9A">
        <w:rPr>
          <w:sz w:val="28"/>
          <w:szCs w:val="28"/>
        </w:rPr>
        <w:t>6</w:t>
      </w:r>
      <w:r w:rsidRPr="00A22985">
        <w:rPr>
          <w:sz w:val="28"/>
          <w:szCs w:val="28"/>
        </w:rPr>
        <w:t xml:space="preserve"> перевірок</w:t>
      </w:r>
      <w:r w:rsidR="00A71F99">
        <w:rPr>
          <w:sz w:val="28"/>
          <w:szCs w:val="28"/>
        </w:rPr>
        <w:t>:</w:t>
      </w:r>
    </w:p>
    <w:p w:rsidR="00920AAE" w:rsidRDefault="00920AAE" w:rsidP="00A31C37">
      <w:pPr>
        <w:ind w:firstLine="567"/>
        <w:jc w:val="both"/>
        <w:rPr>
          <w:sz w:val="28"/>
          <w:szCs w:val="28"/>
        </w:rPr>
      </w:pPr>
    </w:p>
    <w:p w:rsidR="0062426E" w:rsidRPr="003B364E" w:rsidRDefault="00A71F99" w:rsidP="00A71F99">
      <w:pPr>
        <w:ind w:firstLine="567"/>
        <w:jc w:val="both"/>
        <w:rPr>
          <w:sz w:val="28"/>
          <w:szCs w:val="28"/>
        </w:rPr>
      </w:pPr>
      <w:r w:rsidRPr="003B364E">
        <w:rPr>
          <w:sz w:val="28"/>
          <w:szCs w:val="28"/>
        </w:rPr>
        <w:lastRenderedPageBreak/>
        <w:t>перевірка стану організації роботи відділу фактичних перевірок управління податкового аудиту у частині проведення фактичних перевірок за період з 01.10.2019</w:t>
      </w:r>
      <w:r w:rsidR="005F1836" w:rsidRPr="003B364E">
        <w:rPr>
          <w:sz w:val="28"/>
          <w:szCs w:val="28"/>
        </w:rPr>
        <w:t xml:space="preserve"> </w:t>
      </w:r>
      <w:r w:rsidRPr="003B364E">
        <w:rPr>
          <w:sz w:val="28"/>
          <w:szCs w:val="28"/>
        </w:rPr>
        <w:t>по 30.09.2021 р</w:t>
      </w:r>
      <w:r w:rsidR="005F1836" w:rsidRPr="003B364E">
        <w:rPr>
          <w:sz w:val="28"/>
          <w:szCs w:val="28"/>
        </w:rPr>
        <w:t>оки</w:t>
      </w:r>
      <w:r w:rsidRPr="003B364E">
        <w:rPr>
          <w:sz w:val="28"/>
          <w:szCs w:val="28"/>
        </w:rPr>
        <w:t>, виявлено порушення п</w:t>
      </w:r>
      <w:r w:rsidR="006A33E4" w:rsidRPr="003B364E">
        <w:rPr>
          <w:sz w:val="28"/>
          <w:szCs w:val="28"/>
        </w:rPr>
        <w:t xml:space="preserve">унктів </w:t>
      </w:r>
      <w:r w:rsidRPr="003B364E">
        <w:rPr>
          <w:sz w:val="28"/>
          <w:szCs w:val="28"/>
        </w:rPr>
        <w:t>2.4</w:t>
      </w:r>
      <w:r w:rsidR="006A33E4" w:rsidRPr="003B364E">
        <w:rPr>
          <w:sz w:val="28"/>
          <w:szCs w:val="28"/>
        </w:rPr>
        <w:t>-</w:t>
      </w:r>
      <w:r w:rsidRPr="003B364E">
        <w:rPr>
          <w:sz w:val="28"/>
          <w:szCs w:val="28"/>
        </w:rPr>
        <w:t>2.5 розділ</w:t>
      </w:r>
      <w:r w:rsidR="006A33E4" w:rsidRPr="003B364E">
        <w:rPr>
          <w:sz w:val="28"/>
          <w:szCs w:val="28"/>
        </w:rPr>
        <w:t>у</w:t>
      </w:r>
      <w:r w:rsidRPr="003B364E">
        <w:rPr>
          <w:sz w:val="28"/>
          <w:szCs w:val="28"/>
        </w:rPr>
        <w:t xml:space="preserve"> </w:t>
      </w:r>
      <w:r w:rsidR="001E3D30">
        <w:rPr>
          <w:sz w:val="28"/>
          <w:szCs w:val="28"/>
        </w:rPr>
        <w:t xml:space="preserve">          </w:t>
      </w:r>
      <w:r w:rsidRPr="003B364E">
        <w:rPr>
          <w:sz w:val="28"/>
          <w:szCs w:val="28"/>
        </w:rPr>
        <w:t>ІІ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затверджен</w:t>
      </w:r>
      <w:r w:rsidR="00744C0E" w:rsidRPr="003B364E">
        <w:rPr>
          <w:sz w:val="28"/>
          <w:szCs w:val="28"/>
        </w:rPr>
        <w:t>их</w:t>
      </w:r>
      <w:r w:rsidRPr="003B364E">
        <w:rPr>
          <w:sz w:val="28"/>
          <w:szCs w:val="28"/>
        </w:rPr>
        <w:t xml:space="preserve"> наказом ДФС від 31.07.2014 №</w:t>
      </w:r>
      <w:r w:rsidR="006A33E4" w:rsidRPr="003B364E">
        <w:rPr>
          <w:sz w:val="28"/>
          <w:szCs w:val="28"/>
        </w:rPr>
        <w:t xml:space="preserve"> </w:t>
      </w:r>
      <w:r w:rsidR="00744C0E" w:rsidRPr="003B364E">
        <w:rPr>
          <w:sz w:val="28"/>
          <w:szCs w:val="28"/>
        </w:rPr>
        <w:t>22 (</w:t>
      </w:r>
      <w:r w:rsidRPr="003B364E">
        <w:rPr>
          <w:sz w:val="28"/>
          <w:szCs w:val="28"/>
        </w:rPr>
        <w:t>з</w:t>
      </w:r>
      <w:r w:rsidR="00744C0E" w:rsidRPr="003B364E">
        <w:rPr>
          <w:sz w:val="28"/>
          <w:szCs w:val="28"/>
        </w:rPr>
        <w:t>і</w:t>
      </w:r>
      <w:r w:rsidRPr="003B364E">
        <w:rPr>
          <w:sz w:val="28"/>
          <w:szCs w:val="28"/>
        </w:rPr>
        <w:t xml:space="preserve"> змінами та доповненнями), п</w:t>
      </w:r>
      <w:r w:rsidR="006A33E4" w:rsidRPr="003B364E">
        <w:rPr>
          <w:sz w:val="28"/>
          <w:szCs w:val="28"/>
        </w:rPr>
        <w:t>у</w:t>
      </w:r>
      <w:r w:rsidR="00744C0E" w:rsidRPr="003B364E">
        <w:rPr>
          <w:sz w:val="28"/>
          <w:szCs w:val="28"/>
        </w:rPr>
        <w:t xml:space="preserve">нктів </w:t>
      </w:r>
      <w:r w:rsidRPr="003B364E">
        <w:rPr>
          <w:sz w:val="28"/>
          <w:szCs w:val="28"/>
        </w:rPr>
        <w:t>2.4</w:t>
      </w:r>
      <w:r w:rsidR="00744C0E" w:rsidRPr="003B364E">
        <w:rPr>
          <w:sz w:val="28"/>
          <w:szCs w:val="28"/>
        </w:rPr>
        <w:t>-</w:t>
      </w:r>
      <w:r w:rsidRPr="003B364E">
        <w:rPr>
          <w:sz w:val="28"/>
          <w:szCs w:val="28"/>
        </w:rPr>
        <w:t>2.5 розділ</w:t>
      </w:r>
      <w:r w:rsidR="00744C0E" w:rsidRPr="003B364E">
        <w:rPr>
          <w:sz w:val="28"/>
          <w:szCs w:val="28"/>
        </w:rPr>
        <w:t>у</w:t>
      </w:r>
      <w:r w:rsidRPr="003B364E">
        <w:rPr>
          <w:sz w:val="28"/>
          <w:szCs w:val="28"/>
        </w:rPr>
        <w:t xml:space="preserve"> ІІ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 затверджен</w:t>
      </w:r>
      <w:r w:rsidR="00744C0E" w:rsidRPr="003B364E">
        <w:rPr>
          <w:sz w:val="28"/>
          <w:szCs w:val="28"/>
        </w:rPr>
        <w:t>их</w:t>
      </w:r>
      <w:r w:rsidRPr="003B364E">
        <w:rPr>
          <w:sz w:val="28"/>
          <w:szCs w:val="28"/>
        </w:rPr>
        <w:t xml:space="preserve"> наказом ДПС України від 04.09.2020 №</w:t>
      </w:r>
      <w:r w:rsidR="00744C0E" w:rsidRPr="003B364E">
        <w:rPr>
          <w:sz w:val="28"/>
          <w:szCs w:val="28"/>
        </w:rPr>
        <w:t xml:space="preserve"> </w:t>
      </w:r>
      <w:r w:rsidRPr="003B364E">
        <w:rPr>
          <w:sz w:val="28"/>
          <w:szCs w:val="28"/>
        </w:rPr>
        <w:t xml:space="preserve">470 </w:t>
      </w:r>
      <w:r w:rsidR="00744C0E" w:rsidRPr="003B364E">
        <w:rPr>
          <w:sz w:val="28"/>
          <w:szCs w:val="28"/>
        </w:rPr>
        <w:t>(</w:t>
      </w:r>
      <w:r w:rsidRPr="003B364E">
        <w:rPr>
          <w:sz w:val="28"/>
          <w:szCs w:val="28"/>
        </w:rPr>
        <w:t>зі змінами</w:t>
      </w:r>
      <w:r w:rsidR="00744C0E" w:rsidRPr="003B364E">
        <w:rPr>
          <w:sz w:val="28"/>
          <w:szCs w:val="28"/>
        </w:rPr>
        <w:t>)</w:t>
      </w:r>
      <w:r w:rsidRPr="003B364E">
        <w:rPr>
          <w:sz w:val="28"/>
          <w:szCs w:val="28"/>
        </w:rPr>
        <w:t>, п</w:t>
      </w:r>
      <w:r w:rsidR="00744C0E" w:rsidRPr="003B364E">
        <w:rPr>
          <w:sz w:val="28"/>
          <w:szCs w:val="28"/>
        </w:rPr>
        <w:t xml:space="preserve">ункту </w:t>
      </w:r>
      <w:r w:rsidRPr="003B364E">
        <w:rPr>
          <w:sz w:val="28"/>
          <w:szCs w:val="28"/>
        </w:rPr>
        <w:t>5</w:t>
      </w:r>
      <w:r w:rsidR="00744C0E" w:rsidRPr="003B364E">
        <w:rPr>
          <w:sz w:val="28"/>
          <w:szCs w:val="28"/>
        </w:rPr>
        <w:t xml:space="preserve"> та</w:t>
      </w:r>
      <w:r w:rsidRPr="003B364E">
        <w:rPr>
          <w:sz w:val="28"/>
          <w:szCs w:val="28"/>
        </w:rPr>
        <w:t xml:space="preserve"> п</w:t>
      </w:r>
      <w:r w:rsidR="00744C0E" w:rsidRPr="003B364E">
        <w:rPr>
          <w:sz w:val="28"/>
          <w:szCs w:val="28"/>
        </w:rPr>
        <w:t xml:space="preserve">ункту </w:t>
      </w:r>
      <w:r w:rsidRPr="003B364E">
        <w:rPr>
          <w:sz w:val="28"/>
          <w:szCs w:val="28"/>
        </w:rPr>
        <w:t xml:space="preserve">9 розділу ІІ «Порядку надіслання контролюючими органами податкових повідомлень-рішень платникам податків», затвердженим наказом Міністерства фінансів України 28 грудня 2015 року </w:t>
      </w:r>
      <w:r w:rsidR="004C0EE2" w:rsidRPr="003B364E">
        <w:rPr>
          <w:sz w:val="28"/>
          <w:szCs w:val="28"/>
        </w:rPr>
        <w:t>№</w:t>
      </w:r>
      <w:r w:rsidRPr="003B364E">
        <w:rPr>
          <w:sz w:val="28"/>
          <w:szCs w:val="28"/>
        </w:rPr>
        <w:t xml:space="preserve"> 1204 (у редакції наказу Міністерства фінансів України від 31 грудня 2020 року </w:t>
      </w:r>
      <w:r w:rsidR="004C0EE2" w:rsidRPr="003B364E">
        <w:rPr>
          <w:sz w:val="28"/>
          <w:szCs w:val="28"/>
        </w:rPr>
        <w:t>№</w:t>
      </w:r>
      <w:r w:rsidRPr="003B364E">
        <w:rPr>
          <w:sz w:val="28"/>
          <w:szCs w:val="28"/>
        </w:rPr>
        <w:t xml:space="preserve"> 846);  </w:t>
      </w:r>
    </w:p>
    <w:p w:rsidR="00B90A91" w:rsidRPr="00E232E4" w:rsidRDefault="00A71F99" w:rsidP="00A71F99">
      <w:pPr>
        <w:ind w:firstLine="567"/>
        <w:jc w:val="both"/>
        <w:rPr>
          <w:sz w:val="28"/>
          <w:szCs w:val="28"/>
        </w:rPr>
      </w:pPr>
      <w:r w:rsidRPr="00E232E4">
        <w:rPr>
          <w:sz w:val="28"/>
          <w:szCs w:val="28"/>
        </w:rPr>
        <w:t xml:space="preserve">перевірка стану організації роботи підрозділів адміністрування підприємств в частині проведення камеральних перевірок податкових розрахунків сум доходу, нарахованого (сплаченого) на користь фізичних осіб, і сум утриманого з них податку (форма № 1 ДФ, </w:t>
      </w:r>
      <w:r w:rsidR="003B364E" w:rsidRPr="00E232E4">
        <w:rPr>
          <w:sz w:val="28"/>
          <w:szCs w:val="28"/>
        </w:rPr>
        <w:t xml:space="preserve">№ </w:t>
      </w:r>
      <w:r w:rsidRPr="00E232E4">
        <w:rPr>
          <w:sz w:val="28"/>
          <w:szCs w:val="28"/>
        </w:rPr>
        <w:t>4 ДФ), уточнюючих розрахунків з 01.10.2019 по 31.12.2021</w:t>
      </w:r>
      <w:r w:rsidR="00D6053A" w:rsidRPr="00E232E4">
        <w:rPr>
          <w:sz w:val="28"/>
          <w:szCs w:val="28"/>
        </w:rPr>
        <w:t xml:space="preserve"> роки</w:t>
      </w:r>
      <w:r w:rsidRPr="00E232E4">
        <w:rPr>
          <w:sz w:val="28"/>
          <w:szCs w:val="28"/>
        </w:rPr>
        <w:t xml:space="preserve">, виявлено порушення </w:t>
      </w:r>
      <w:r w:rsidR="00D6053A" w:rsidRPr="00E232E4">
        <w:rPr>
          <w:sz w:val="28"/>
          <w:szCs w:val="28"/>
        </w:rPr>
        <w:t xml:space="preserve">пункту </w:t>
      </w:r>
      <w:r w:rsidRPr="00E232E4">
        <w:rPr>
          <w:sz w:val="28"/>
          <w:szCs w:val="28"/>
        </w:rPr>
        <w:t>76.3 ст</w:t>
      </w:r>
      <w:r w:rsidR="00D6053A" w:rsidRPr="00E232E4">
        <w:rPr>
          <w:sz w:val="28"/>
          <w:szCs w:val="28"/>
        </w:rPr>
        <w:t xml:space="preserve">атті </w:t>
      </w:r>
      <w:r w:rsidRPr="00E232E4">
        <w:rPr>
          <w:sz w:val="28"/>
          <w:szCs w:val="28"/>
        </w:rPr>
        <w:t>76 ПКУ, п</w:t>
      </w:r>
      <w:r w:rsidR="00005E95" w:rsidRPr="00E232E4">
        <w:rPr>
          <w:sz w:val="28"/>
          <w:szCs w:val="28"/>
        </w:rPr>
        <w:t xml:space="preserve">ункту </w:t>
      </w:r>
      <w:r w:rsidRPr="00E232E4">
        <w:rPr>
          <w:sz w:val="28"/>
          <w:szCs w:val="28"/>
        </w:rPr>
        <w:t>3.4.2 Методичних рекомендацій щодо організації та проведення камеральних перевірок податкової звітності платників податків, крім перевірок податкової декларації про майновий стан і доходи та податкової декларації платника єдиного податку – фізичної особи – підприємця», затверджених наказом Міністерства доходів і зборів від 14.06.2013 №</w:t>
      </w:r>
      <w:r w:rsidR="00005E95" w:rsidRPr="00E232E4">
        <w:rPr>
          <w:sz w:val="28"/>
          <w:szCs w:val="28"/>
        </w:rPr>
        <w:t xml:space="preserve"> </w:t>
      </w:r>
      <w:r w:rsidRPr="00E232E4">
        <w:rPr>
          <w:sz w:val="28"/>
          <w:szCs w:val="28"/>
        </w:rPr>
        <w:t>165, підприємствами подано уточнюючі декларації на суму 56,5 тис</w:t>
      </w:r>
      <w:r w:rsidR="00562334" w:rsidRPr="00E232E4">
        <w:rPr>
          <w:sz w:val="28"/>
          <w:szCs w:val="28"/>
        </w:rPr>
        <w:t xml:space="preserve"> </w:t>
      </w:r>
      <w:r w:rsidRPr="00E232E4">
        <w:rPr>
          <w:sz w:val="28"/>
          <w:szCs w:val="28"/>
        </w:rPr>
        <w:t>гр</w:t>
      </w:r>
      <w:r w:rsidR="00562334" w:rsidRPr="00E232E4">
        <w:rPr>
          <w:sz w:val="28"/>
          <w:szCs w:val="28"/>
        </w:rPr>
        <w:t>ивень</w:t>
      </w:r>
      <w:r w:rsidRPr="00E232E4">
        <w:rPr>
          <w:sz w:val="28"/>
          <w:szCs w:val="28"/>
        </w:rPr>
        <w:t xml:space="preserve">, які сплачено до бюджету; </w:t>
      </w:r>
    </w:p>
    <w:p w:rsidR="0062426E" w:rsidRPr="00EA0D32" w:rsidRDefault="00A71F99" w:rsidP="00A71F99">
      <w:pPr>
        <w:ind w:firstLine="567"/>
        <w:jc w:val="both"/>
        <w:rPr>
          <w:sz w:val="28"/>
          <w:szCs w:val="28"/>
          <w:lang w:val="ru-RU"/>
        </w:rPr>
      </w:pPr>
      <w:r w:rsidRPr="00EA0D32">
        <w:rPr>
          <w:sz w:val="28"/>
          <w:szCs w:val="28"/>
        </w:rPr>
        <w:t xml:space="preserve">перевірка стану організації роботи в </w:t>
      </w:r>
      <w:r w:rsidR="00E232E4" w:rsidRPr="00EA0D32">
        <w:rPr>
          <w:sz w:val="28"/>
          <w:szCs w:val="28"/>
        </w:rPr>
        <w:t>М</w:t>
      </w:r>
      <w:r w:rsidRPr="00EA0D32">
        <w:rPr>
          <w:sz w:val="28"/>
          <w:szCs w:val="28"/>
        </w:rPr>
        <w:t>іжрегіональному управлінні по доведених до відпрацювання наказом ДФС України від 28.07.2015 №</w:t>
      </w:r>
      <w:r w:rsidR="00E232E4" w:rsidRPr="00EA0D32">
        <w:rPr>
          <w:sz w:val="28"/>
          <w:szCs w:val="28"/>
        </w:rPr>
        <w:t xml:space="preserve"> </w:t>
      </w:r>
      <w:r w:rsidRPr="00EA0D32">
        <w:rPr>
          <w:sz w:val="28"/>
          <w:szCs w:val="28"/>
        </w:rPr>
        <w:t>543 (</w:t>
      </w:r>
      <w:r w:rsidR="00E232E4" w:rsidRPr="00EA0D32">
        <w:rPr>
          <w:sz w:val="28"/>
          <w:szCs w:val="28"/>
        </w:rPr>
        <w:t>зі</w:t>
      </w:r>
      <w:r w:rsidRPr="00EA0D32">
        <w:rPr>
          <w:sz w:val="28"/>
          <w:szCs w:val="28"/>
        </w:rPr>
        <w:t xml:space="preserve"> змінами) суб’єктах господарювання, які здійснювали ймовірні ризикові операції за період 2020-2021 роки,</w:t>
      </w:r>
      <w:r w:rsidRPr="00EA0D32">
        <w:rPr>
          <w:lang w:val="ru-RU"/>
        </w:rPr>
        <w:t xml:space="preserve"> </w:t>
      </w:r>
      <w:r w:rsidRPr="00EA0D32">
        <w:rPr>
          <w:sz w:val="28"/>
          <w:szCs w:val="28"/>
          <w:lang w:val="ru-RU"/>
        </w:rPr>
        <w:t xml:space="preserve">підрозділами адміністрування підприємств у </w:t>
      </w:r>
      <w:r w:rsidR="00EA0D32" w:rsidRPr="00EA0D32">
        <w:rPr>
          <w:sz w:val="28"/>
          <w:szCs w:val="28"/>
          <w:lang w:val="ru-RU"/>
        </w:rPr>
        <w:t>другому</w:t>
      </w:r>
      <w:r w:rsidRPr="00EA0D32">
        <w:rPr>
          <w:sz w:val="28"/>
          <w:szCs w:val="28"/>
          <w:lang w:val="ru-RU"/>
        </w:rPr>
        <w:t xml:space="preserve"> півріччі 2022 року складено податкові інформації; </w:t>
      </w:r>
    </w:p>
    <w:p w:rsidR="0062426E" w:rsidRPr="002962B7" w:rsidRDefault="00A71F99" w:rsidP="00A71F99">
      <w:pPr>
        <w:ind w:firstLine="567"/>
        <w:jc w:val="both"/>
        <w:rPr>
          <w:sz w:val="28"/>
          <w:szCs w:val="28"/>
          <w:lang w:val="ru-RU"/>
        </w:rPr>
      </w:pPr>
      <w:r w:rsidRPr="002962B7">
        <w:rPr>
          <w:sz w:val="28"/>
          <w:szCs w:val="28"/>
          <w:lang w:val="ru-RU"/>
        </w:rPr>
        <w:t>перевірка стану організації роботи відділу правового забезпечення (сектору супроводження судових справ у 2021 - 2022 ро</w:t>
      </w:r>
      <w:r w:rsidR="00EA0D32" w:rsidRPr="002962B7">
        <w:rPr>
          <w:sz w:val="28"/>
          <w:szCs w:val="28"/>
          <w:lang w:val="ru-RU"/>
        </w:rPr>
        <w:t>ках</w:t>
      </w:r>
      <w:r w:rsidRPr="002962B7">
        <w:rPr>
          <w:sz w:val="28"/>
          <w:szCs w:val="28"/>
          <w:lang w:val="ru-RU"/>
        </w:rPr>
        <w:t>) в частині супроводження судових справ за період з 01.07.2021 по 30.06.2022</w:t>
      </w:r>
      <w:r w:rsidR="005E7694" w:rsidRPr="002962B7">
        <w:rPr>
          <w:sz w:val="28"/>
          <w:szCs w:val="28"/>
          <w:lang w:val="ru-RU"/>
        </w:rPr>
        <w:t xml:space="preserve"> </w:t>
      </w:r>
      <w:r w:rsidRPr="002962B7">
        <w:rPr>
          <w:sz w:val="28"/>
          <w:szCs w:val="28"/>
          <w:lang w:val="ru-RU"/>
        </w:rPr>
        <w:t>р</w:t>
      </w:r>
      <w:r w:rsidR="005E7694" w:rsidRPr="002962B7">
        <w:rPr>
          <w:sz w:val="28"/>
          <w:szCs w:val="28"/>
          <w:lang w:val="ru-RU"/>
        </w:rPr>
        <w:t>оки</w:t>
      </w:r>
      <w:r w:rsidRPr="002962B7">
        <w:rPr>
          <w:sz w:val="28"/>
          <w:szCs w:val="28"/>
          <w:lang w:val="ru-RU"/>
        </w:rPr>
        <w:t xml:space="preserve">, підрозділом правового забезпечення у </w:t>
      </w:r>
      <w:r w:rsidR="005E7694" w:rsidRPr="002962B7">
        <w:rPr>
          <w:sz w:val="28"/>
          <w:szCs w:val="28"/>
          <w:lang w:val="ru-RU"/>
        </w:rPr>
        <w:t>другому</w:t>
      </w:r>
      <w:r w:rsidRPr="002962B7">
        <w:rPr>
          <w:sz w:val="28"/>
          <w:szCs w:val="28"/>
          <w:lang w:val="ru-RU"/>
        </w:rPr>
        <w:t xml:space="preserve"> півріччі 2022 року здійснюється реєстрація процесуальних документів та проводиться наповнення І</w:t>
      </w:r>
      <w:r w:rsidR="005E7694" w:rsidRPr="002962B7">
        <w:rPr>
          <w:sz w:val="28"/>
          <w:szCs w:val="28"/>
          <w:lang w:val="ru-RU"/>
        </w:rPr>
        <w:t>К</w:t>
      </w:r>
      <w:r w:rsidRPr="002962B7">
        <w:rPr>
          <w:sz w:val="28"/>
          <w:szCs w:val="28"/>
          <w:lang w:val="ru-RU"/>
        </w:rPr>
        <w:t xml:space="preserve">С «Податковий блок»; </w:t>
      </w:r>
    </w:p>
    <w:p w:rsidR="00B90A91" w:rsidRPr="00504436" w:rsidRDefault="00A71F99" w:rsidP="00A71F99">
      <w:pPr>
        <w:ind w:firstLine="567"/>
        <w:jc w:val="both"/>
        <w:rPr>
          <w:sz w:val="28"/>
          <w:szCs w:val="28"/>
          <w:lang w:val="ru-RU"/>
        </w:rPr>
      </w:pPr>
      <w:r w:rsidRPr="00504436">
        <w:rPr>
          <w:sz w:val="28"/>
          <w:szCs w:val="28"/>
          <w:lang w:val="ru-RU"/>
        </w:rPr>
        <w:t xml:space="preserve">перевірка стану організації роботи </w:t>
      </w:r>
      <w:r w:rsidR="00504436" w:rsidRPr="00504436">
        <w:rPr>
          <w:sz w:val="28"/>
          <w:szCs w:val="28"/>
          <w:lang w:val="ru-RU"/>
        </w:rPr>
        <w:t>підрозділів</w:t>
      </w:r>
      <w:r w:rsidRPr="00504436">
        <w:rPr>
          <w:sz w:val="28"/>
          <w:szCs w:val="28"/>
          <w:lang w:val="ru-RU"/>
        </w:rPr>
        <w:t xml:space="preserve"> адміністрування підприємств в частині адміністрування екологічного податку  з 01.10.2019 по 30.06.2022 рок</w:t>
      </w:r>
      <w:r w:rsidR="00504436" w:rsidRPr="00504436">
        <w:rPr>
          <w:sz w:val="28"/>
          <w:szCs w:val="28"/>
          <w:lang w:val="ru-RU"/>
        </w:rPr>
        <w:t>и</w:t>
      </w:r>
      <w:r w:rsidRPr="00504436">
        <w:rPr>
          <w:sz w:val="28"/>
          <w:szCs w:val="28"/>
          <w:lang w:val="ru-RU"/>
        </w:rPr>
        <w:t xml:space="preserve">, підприємствами подано уточнюючі розрахунки по виявлених порушеннях; </w:t>
      </w:r>
    </w:p>
    <w:p w:rsidR="00A71F99" w:rsidRPr="00D6576F" w:rsidRDefault="00A71F99" w:rsidP="00A71F99">
      <w:pPr>
        <w:ind w:firstLine="567"/>
        <w:jc w:val="both"/>
        <w:rPr>
          <w:sz w:val="28"/>
          <w:szCs w:val="28"/>
        </w:rPr>
      </w:pPr>
      <w:r w:rsidRPr="00D6576F">
        <w:rPr>
          <w:sz w:val="28"/>
          <w:szCs w:val="28"/>
          <w:lang w:val="ru-RU"/>
        </w:rPr>
        <w:t xml:space="preserve">позапланова перевірка на виконання листа ДПС України від 21.10.2022 </w:t>
      </w:r>
      <w:r w:rsidR="00FE1CCB" w:rsidRPr="00D6576F">
        <w:rPr>
          <w:sz w:val="28"/>
          <w:szCs w:val="28"/>
          <w:lang w:val="ru-RU"/>
        </w:rPr>
        <w:t xml:space="preserve">       </w:t>
      </w:r>
      <w:r w:rsidRPr="00D6576F">
        <w:rPr>
          <w:sz w:val="28"/>
          <w:szCs w:val="28"/>
          <w:lang w:val="ru-RU"/>
        </w:rPr>
        <w:t xml:space="preserve">№ 42/7/99-00-02-11ДСК, проведено аналіз причин скасування </w:t>
      </w:r>
      <w:r w:rsidR="00FE1CCB" w:rsidRPr="00D6576F">
        <w:rPr>
          <w:sz w:val="28"/>
          <w:szCs w:val="28"/>
          <w:lang w:val="ru-RU"/>
        </w:rPr>
        <w:t>податкових повідомлень-рішень</w:t>
      </w:r>
      <w:r w:rsidRPr="00D6576F">
        <w:rPr>
          <w:sz w:val="28"/>
          <w:szCs w:val="28"/>
          <w:lang w:val="ru-RU"/>
        </w:rPr>
        <w:t xml:space="preserve"> у судовому порядку.</w:t>
      </w:r>
    </w:p>
    <w:p w:rsidR="00E52A9A" w:rsidRDefault="00A31C37" w:rsidP="00A31C37">
      <w:pPr>
        <w:ind w:firstLine="567"/>
        <w:jc w:val="both"/>
        <w:rPr>
          <w:b/>
          <w:sz w:val="28"/>
          <w:szCs w:val="28"/>
        </w:rPr>
      </w:pPr>
      <w:r>
        <w:rPr>
          <w:b/>
          <w:sz w:val="28"/>
          <w:szCs w:val="28"/>
        </w:rPr>
        <w:t xml:space="preserve"> </w:t>
      </w:r>
    </w:p>
    <w:p w:rsidR="001E3D30" w:rsidRDefault="001E3D30" w:rsidP="00A31C37">
      <w:pPr>
        <w:ind w:firstLine="567"/>
        <w:jc w:val="both"/>
        <w:rPr>
          <w:b/>
          <w:sz w:val="28"/>
          <w:szCs w:val="28"/>
        </w:rPr>
      </w:pPr>
    </w:p>
    <w:p w:rsidR="001E3D30" w:rsidRDefault="001E3D30" w:rsidP="00A31C37">
      <w:pPr>
        <w:ind w:firstLine="567"/>
        <w:jc w:val="both"/>
        <w:rPr>
          <w:b/>
          <w:sz w:val="28"/>
          <w:szCs w:val="28"/>
        </w:rPr>
      </w:pPr>
    </w:p>
    <w:p w:rsidR="00A31C37" w:rsidRDefault="00A31C37" w:rsidP="00A31C37">
      <w:pPr>
        <w:ind w:firstLine="567"/>
        <w:jc w:val="both"/>
        <w:rPr>
          <w:bCs/>
          <w:sz w:val="28"/>
          <w:szCs w:val="28"/>
          <w:lang w:val="ru-RU" w:eastAsia="ru-RU"/>
        </w:rPr>
      </w:pPr>
    </w:p>
    <w:p w:rsidR="00A37173" w:rsidRPr="00A22985" w:rsidRDefault="00A37173" w:rsidP="00A31C37">
      <w:pPr>
        <w:ind w:firstLine="567"/>
        <w:jc w:val="both"/>
        <w:rPr>
          <w:bCs/>
          <w:sz w:val="28"/>
          <w:szCs w:val="28"/>
          <w:lang w:val="ru-RU" w:eastAsia="ru-RU"/>
        </w:rPr>
      </w:pPr>
    </w:p>
    <w:p w:rsidR="009D0CBE" w:rsidRPr="00CB403D" w:rsidRDefault="009D0CBE" w:rsidP="009D0CBE">
      <w:pPr>
        <w:ind w:firstLine="708"/>
        <w:jc w:val="center"/>
        <w:outlineLvl w:val="0"/>
        <w:rPr>
          <w:b/>
          <w:bCs/>
          <w:sz w:val="28"/>
          <w:szCs w:val="28"/>
        </w:rPr>
      </w:pPr>
      <w:r w:rsidRPr="00CB403D">
        <w:rPr>
          <w:b/>
          <w:bCs/>
          <w:sz w:val="28"/>
          <w:szCs w:val="28"/>
        </w:rPr>
        <w:lastRenderedPageBreak/>
        <w:t>Розділ 8. Організація правової роботи</w:t>
      </w:r>
    </w:p>
    <w:p w:rsidR="002F0EA1" w:rsidRDefault="002F0EA1" w:rsidP="009D0CBE">
      <w:pPr>
        <w:ind w:firstLine="708"/>
        <w:jc w:val="center"/>
        <w:outlineLvl w:val="0"/>
        <w:rPr>
          <w:b/>
          <w:bCs/>
        </w:rPr>
      </w:pPr>
    </w:p>
    <w:p w:rsidR="00FB15E1" w:rsidRDefault="00FB15E1" w:rsidP="00FB15E1">
      <w:pPr>
        <w:ind w:right="23" w:firstLine="540"/>
        <w:jc w:val="both"/>
        <w:rPr>
          <w:sz w:val="28"/>
          <w:szCs w:val="28"/>
        </w:rPr>
      </w:pPr>
      <w:r>
        <w:rPr>
          <w:sz w:val="28"/>
          <w:szCs w:val="28"/>
        </w:rPr>
        <w:t>Протягом 202</w:t>
      </w:r>
      <w:r>
        <w:rPr>
          <w:sz w:val="28"/>
          <w:szCs w:val="28"/>
          <w:lang w:val="en-US"/>
        </w:rPr>
        <w:t>2</w:t>
      </w:r>
      <w:r w:rsidRPr="001F2E51">
        <w:rPr>
          <w:sz w:val="28"/>
          <w:szCs w:val="28"/>
        </w:rPr>
        <w:t xml:space="preserve"> року забезпечено участь у заходах, спрямованих на належне супроводження судових справ М</w:t>
      </w:r>
      <w:r w:rsidRPr="001F2E51">
        <w:rPr>
          <w:color w:val="000000"/>
          <w:sz w:val="28"/>
          <w:szCs w:val="28"/>
        </w:rPr>
        <w:t>іжрегіонального управління, з</w:t>
      </w:r>
      <w:r w:rsidRPr="001F2E51">
        <w:rPr>
          <w:sz w:val="28"/>
          <w:szCs w:val="28"/>
        </w:rPr>
        <w:t>окрема представництво у Львівському окружному адміністративному суді, Восьмому апеляційному адміністративному суді</w:t>
      </w:r>
      <w:r>
        <w:rPr>
          <w:sz w:val="28"/>
          <w:szCs w:val="28"/>
        </w:rPr>
        <w:t>, Господарському суді Львівської області, Західному апеляційному господарському суді.</w:t>
      </w:r>
      <w:r w:rsidRPr="001F2E51">
        <w:rPr>
          <w:sz w:val="28"/>
          <w:szCs w:val="28"/>
        </w:rPr>
        <w:t xml:space="preserve"> </w:t>
      </w:r>
      <w:r w:rsidR="00D10782">
        <w:rPr>
          <w:sz w:val="28"/>
          <w:szCs w:val="28"/>
        </w:rPr>
        <w:t>З</w:t>
      </w:r>
      <w:r w:rsidRPr="001F2E51">
        <w:rPr>
          <w:sz w:val="28"/>
          <w:szCs w:val="28"/>
        </w:rPr>
        <w:t xml:space="preserve">дійснено участь у судових засіданнях </w:t>
      </w:r>
      <w:r w:rsidR="00D10782">
        <w:rPr>
          <w:sz w:val="28"/>
          <w:szCs w:val="28"/>
        </w:rPr>
        <w:t>у</w:t>
      </w:r>
      <w:r w:rsidRPr="001F2E51">
        <w:rPr>
          <w:sz w:val="28"/>
          <w:szCs w:val="28"/>
        </w:rPr>
        <w:t xml:space="preserve"> режимі відео-конференцій </w:t>
      </w:r>
      <w:r w:rsidRPr="001F2E51">
        <w:rPr>
          <w:sz w:val="28"/>
          <w:szCs w:val="28"/>
          <w:lang w:val="ru-RU"/>
        </w:rPr>
        <w:t xml:space="preserve">з Закарпатським окружним адміністративним судом, Івано-Франківським окружним адміністративним судом, Волинським окружним адміністративним судом, </w:t>
      </w:r>
      <w:r>
        <w:rPr>
          <w:sz w:val="28"/>
          <w:szCs w:val="28"/>
        </w:rPr>
        <w:t>Житомирським</w:t>
      </w:r>
      <w:r w:rsidRPr="001F2E51">
        <w:rPr>
          <w:sz w:val="28"/>
          <w:szCs w:val="28"/>
          <w:lang w:val="ru-RU"/>
        </w:rPr>
        <w:t xml:space="preserve"> окружним адміністративним судом, Вінницьким окружним адміністративним судом, Рівненським окружним адміністративним судом, </w:t>
      </w:r>
      <w:r>
        <w:rPr>
          <w:sz w:val="28"/>
          <w:szCs w:val="28"/>
          <w:lang w:val="ru-RU"/>
        </w:rPr>
        <w:t>Черкаським</w:t>
      </w:r>
      <w:r w:rsidRPr="001F2E51">
        <w:rPr>
          <w:sz w:val="28"/>
          <w:szCs w:val="28"/>
          <w:lang w:val="ru-RU"/>
        </w:rPr>
        <w:t xml:space="preserve"> окружним адміністративним судом</w:t>
      </w:r>
      <w:r>
        <w:rPr>
          <w:sz w:val="28"/>
          <w:szCs w:val="28"/>
          <w:lang w:val="ru-RU"/>
        </w:rPr>
        <w:t xml:space="preserve">, </w:t>
      </w:r>
      <w:r w:rsidRPr="001F2E51">
        <w:rPr>
          <w:sz w:val="28"/>
          <w:szCs w:val="28"/>
          <w:lang w:val="ru-RU"/>
        </w:rPr>
        <w:t>Окружним адміністративним судом м.Києва, Сьомим апеляційним адміністративним судом, Шостим апеляційним адміністративним судом, Верховним Судом України</w:t>
      </w:r>
      <w:r w:rsidRPr="001F2E51">
        <w:rPr>
          <w:sz w:val="28"/>
          <w:szCs w:val="28"/>
        </w:rPr>
        <w:t>.</w:t>
      </w:r>
    </w:p>
    <w:p w:rsidR="00FB15E1" w:rsidRPr="00AC76F8" w:rsidRDefault="00DA44CF" w:rsidP="001A052F">
      <w:pPr>
        <w:ind w:right="23" w:firstLine="540"/>
        <w:jc w:val="both"/>
        <w:rPr>
          <w:sz w:val="28"/>
          <w:szCs w:val="28"/>
        </w:rPr>
      </w:pPr>
      <w:r w:rsidRPr="001F2E51">
        <w:rPr>
          <w:sz w:val="28"/>
          <w:szCs w:val="28"/>
        </w:rPr>
        <w:t>Забезпечено представництво в установленому законодавством порядку інтересів М</w:t>
      </w:r>
      <w:r w:rsidRPr="001F2E51">
        <w:rPr>
          <w:color w:val="000000"/>
          <w:sz w:val="28"/>
          <w:szCs w:val="28"/>
        </w:rPr>
        <w:t xml:space="preserve">іжрегіонального управління у </w:t>
      </w:r>
      <w:r w:rsidRPr="001F2E51">
        <w:rPr>
          <w:sz w:val="28"/>
          <w:szCs w:val="28"/>
        </w:rPr>
        <w:t>судах</w:t>
      </w:r>
      <w:r w:rsidR="001A052F">
        <w:rPr>
          <w:sz w:val="28"/>
          <w:szCs w:val="28"/>
        </w:rPr>
        <w:t xml:space="preserve">, </w:t>
      </w:r>
      <w:r w:rsidR="00FB15E1" w:rsidRPr="00AC76F8">
        <w:rPr>
          <w:sz w:val="28"/>
          <w:szCs w:val="28"/>
        </w:rPr>
        <w:t xml:space="preserve">здійснено участь у заходах, спрямованих на правильне застосування податкового </w:t>
      </w:r>
      <w:r w:rsidR="001A052F" w:rsidRPr="00AC76F8">
        <w:rPr>
          <w:sz w:val="28"/>
          <w:szCs w:val="28"/>
        </w:rPr>
        <w:t xml:space="preserve">та іншого </w:t>
      </w:r>
      <w:r w:rsidR="00FB15E1" w:rsidRPr="00AC76F8">
        <w:rPr>
          <w:sz w:val="28"/>
          <w:szCs w:val="28"/>
        </w:rPr>
        <w:t>законодавства, контроль за дотриманням якого покладено на органи ДПС.</w:t>
      </w:r>
    </w:p>
    <w:p w:rsidR="00FB15E1" w:rsidRPr="00AC76F8" w:rsidRDefault="000067EE" w:rsidP="00DF2237">
      <w:pPr>
        <w:ind w:firstLine="567"/>
        <w:jc w:val="both"/>
        <w:rPr>
          <w:sz w:val="28"/>
          <w:szCs w:val="28"/>
        </w:rPr>
      </w:pPr>
      <w:r>
        <w:rPr>
          <w:sz w:val="28"/>
          <w:szCs w:val="28"/>
        </w:rPr>
        <w:t>Н</w:t>
      </w:r>
      <w:r w:rsidR="00FB15E1" w:rsidRPr="00AC76F8">
        <w:rPr>
          <w:sz w:val="28"/>
          <w:szCs w:val="28"/>
        </w:rPr>
        <w:t>а розгляді в судах різних інстанцій усіх категорій перебува</w:t>
      </w:r>
      <w:r w:rsidR="00FB15E1">
        <w:rPr>
          <w:sz w:val="28"/>
          <w:szCs w:val="28"/>
        </w:rPr>
        <w:t>ли</w:t>
      </w:r>
      <w:r w:rsidR="00FB15E1" w:rsidRPr="00AC76F8">
        <w:rPr>
          <w:sz w:val="28"/>
          <w:szCs w:val="28"/>
        </w:rPr>
        <w:t xml:space="preserve"> 225 суд</w:t>
      </w:r>
      <w:r>
        <w:rPr>
          <w:sz w:val="28"/>
          <w:szCs w:val="28"/>
        </w:rPr>
        <w:t>ових справ на суму 4 194,45 млн</w:t>
      </w:r>
      <w:r w:rsidR="00FB15E1" w:rsidRPr="00AC76F8">
        <w:rPr>
          <w:sz w:val="28"/>
          <w:szCs w:val="28"/>
        </w:rPr>
        <w:t xml:space="preserve"> гр</w:t>
      </w:r>
      <w:r>
        <w:rPr>
          <w:sz w:val="28"/>
          <w:szCs w:val="28"/>
        </w:rPr>
        <w:t>ивень</w:t>
      </w:r>
      <w:r w:rsidR="00FB15E1" w:rsidRPr="00AC76F8">
        <w:rPr>
          <w:sz w:val="28"/>
          <w:szCs w:val="28"/>
        </w:rPr>
        <w:t>.</w:t>
      </w:r>
    </w:p>
    <w:p w:rsidR="00FB15E1" w:rsidRPr="00AC76F8" w:rsidRDefault="00FB15E1" w:rsidP="00DF2237">
      <w:pPr>
        <w:ind w:firstLine="567"/>
        <w:jc w:val="both"/>
        <w:rPr>
          <w:sz w:val="28"/>
          <w:szCs w:val="28"/>
        </w:rPr>
      </w:pPr>
      <w:r w:rsidRPr="00AC76F8">
        <w:rPr>
          <w:sz w:val="28"/>
          <w:szCs w:val="28"/>
        </w:rPr>
        <w:t xml:space="preserve">Протягом 2022 року закінчено провадження по 28 судових справ на суму 44,60 млн грн, з них на користь </w:t>
      </w:r>
      <w:r w:rsidR="000F4976" w:rsidRPr="001F2E51">
        <w:rPr>
          <w:color w:val="000000"/>
          <w:sz w:val="28"/>
          <w:szCs w:val="28"/>
        </w:rPr>
        <w:t>Міжрегіональн</w:t>
      </w:r>
      <w:r w:rsidR="000F4976">
        <w:rPr>
          <w:color w:val="000000"/>
          <w:sz w:val="28"/>
          <w:szCs w:val="28"/>
        </w:rPr>
        <w:t>ого</w:t>
      </w:r>
      <w:r w:rsidRPr="00AC76F8">
        <w:rPr>
          <w:sz w:val="28"/>
          <w:szCs w:val="28"/>
        </w:rPr>
        <w:t xml:space="preserve"> управління прийнято 18 судових рі</w:t>
      </w:r>
      <w:r w:rsidR="000F4976">
        <w:rPr>
          <w:sz w:val="28"/>
          <w:szCs w:val="28"/>
        </w:rPr>
        <w:t>шень на загальну суму 34,70 млн</w:t>
      </w:r>
      <w:r w:rsidRPr="00AC76F8">
        <w:rPr>
          <w:sz w:val="28"/>
          <w:szCs w:val="28"/>
        </w:rPr>
        <w:t xml:space="preserve"> грн, що складає 64,29 </w:t>
      </w:r>
      <w:r w:rsidR="000F4976">
        <w:rPr>
          <w:sz w:val="28"/>
          <w:szCs w:val="28"/>
        </w:rPr>
        <w:t>відс.</w:t>
      </w:r>
      <w:r w:rsidRPr="00AC76F8">
        <w:rPr>
          <w:sz w:val="28"/>
          <w:szCs w:val="28"/>
        </w:rPr>
        <w:t xml:space="preserve"> по кількості та 77,80 </w:t>
      </w:r>
      <w:r w:rsidR="000F4976">
        <w:rPr>
          <w:sz w:val="28"/>
          <w:szCs w:val="28"/>
        </w:rPr>
        <w:t>відс.</w:t>
      </w:r>
      <w:r w:rsidRPr="00AC76F8">
        <w:rPr>
          <w:sz w:val="28"/>
          <w:szCs w:val="28"/>
        </w:rPr>
        <w:t xml:space="preserve"> по сумі із загаль</w:t>
      </w:r>
      <w:r>
        <w:rPr>
          <w:sz w:val="28"/>
          <w:szCs w:val="28"/>
        </w:rPr>
        <w:t>ної кількості розглянутих справ.</w:t>
      </w:r>
    </w:p>
    <w:p w:rsidR="00FB15E1" w:rsidRPr="00AC76F8" w:rsidRDefault="00FB15E1" w:rsidP="00FB15E1">
      <w:pPr>
        <w:pStyle w:val="a7"/>
        <w:spacing w:after="0"/>
        <w:ind w:firstLine="709"/>
        <w:contextualSpacing/>
        <w:jc w:val="both"/>
        <w:rPr>
          <w:color w:val="000000"/>
          <w:sz w:val="28"/>
          <w:szCs w:val="28"/>
          <w:lang w:val="uk-UA"/>
        </w:rPr>
      </w:pPr>
    </w:p>
    <w:p w:rsidR="00FB15E1" w:rsidRDefault="00FB15E1" w:rsidP="00047D5D">
      <w:pPr>
        <w:ind w:firstLine="567"/>
        <w:contextualSpacing/>
        <w:jc w:val="both"/>
        <w:rPr>
          <w:color w:val="000000"/>
          <w:sz w:val="28"/>
          <w:szCs w:val="28"/>
        </w:rPr>
      </w:pPr>
      <w:r w:rsidRPr="001F2E51">
        <w:rPr>
          <w:color w:val="000000"/>
          <w:sz w:val="28"/>
          <w:szCs w:val="28"/>
        </w:rPr>
        <w:t>Проведено аналіз судової практики за результатами розгляду податкови</w:t>
      </w:r>
      <w:r>
        <w:rPr>
          <w:color w:val="000000"/>
          <w:sz w:val="28"/>
          <w:szCs w:val="28"/>
        </w:rPr>
        <w:t>х спорів Верховним Судом, Великою палатою</w:t>
      </w:r>
      <w:r w:rsidRPr="001F2E51">
        <w:rPr>
          <w:color w:val="000000"/>
          <w:sz w:val="28"/>
          <w:szCs w:val="28"/>
        </w:rPr>
        <w:t xml:space="preserve"> Верхов</w:t>
      </w:r>
      <w:r>
        <w:rPr>
          <w:color w:val="000000"/>
          <w:sz w:val="28"/>
          <w:szCs w:val="28"/>
        </w:rPr>
        <w:t>ного Суду</w:t>
      </w:r>
      <w:r w:rsidRPr="001F2E51">
        <w:rPr>
          <w:color w:val="000000"/>
          <w:sz w:val="28"/>
          <w:szCs w:val="28"/>
        </w:rPr>
        <w:t>,</w:t>
      </w:r>
      <w:r>
        <w:rPr>
          <w:color w:val="000000"/>
          <w:sz w:val="28"/>
          <w:szCs w:val="28"/>
        </w:rPr>
        <w:t xml:space="preserve"> прийнятої</w:t>
      </w:r>
      <w:r w:rsidRPr="001F2E51">
        <w:rPr>
          <w:color w:val="000000"/>
          <w:sz w:val="28"/>
          <w:szCs w:val="28"/>
        </w:rPr>
        <w:t xml:space="preserve"> на користь податкових органів,</w:t>
      </w:r>
      <w:r>
        <w:rPr>
          <w:color w:val="000000"/>
          <w:sz w:val="28"/>
          <w:szCs w:val="28"/>
        </w:rPr>
        <w:t xml:space="preserve"> які</w:t>
      </w:r>
      <w:r w:rsidRPr="001F2E51">
        <w:rPr>
          <w:color w:val="000000"/>
          <w:sz w:val="28"/>
          <w:szCs w:val="28"/>
        </w:rPr>
        <w:t xml:space="preserve"> долучаються у подібних справах</w:t>
      </w:r>
      <w:r w:rsidR="00AE597B">
        <w:rPr>
          <w:color w:val="000000"/>
          <w:sz w:val="28"/>
          <w:szCs w:val="28"/>
        </w:rPr>
        <w:t>,</w:t>
      </w:r>
      <w:r w:rsidRPr="001F2E51">
        <w:rPr>
          <w:color w:val="000000"/>
          <w:sz w:val="28"/>
          <w:szCs w:val="28"/>
        </w:rPr>
        <w:t xml:space="preserve"> стороною </w:t>
      </w:r>
      <w:r>
        <w:rPr>
          <w:color w:val="000000"/>
          <w:sz w:val="28"/>
          <w:szCs w:val="28"/>
        </w:rPr>
        <w:t xml:space="preserve">в </w:t>
      </w:r>
      <w:r w:rsidRPr="001F2E51">
        <w:rPr>
          <w:color w:val="000000"/>
          <w:sz w:val="28"/>
          <w:szCs w:val="28"/>
        </w:rPr>
        <w:t>яких є Міжрегіональне управління.</w:t>
      </w:r>
    </w:p>
    <w:p w:rsidR="0033419D" w:rsidRDefault="0033419D" w:rsidP="00047D5D">
      <w:pPr>
        <w:ind w:firstLine="567"/>
        <w:contextualSpacing/>
        <w:jc w:val="both"/>
        <w:rPr>
          <w:color w:val="000000"/>
          <w:sz w:val="28"/>
          <w:szCs w:val="28"/>
        </w:rPr>
      </w:pPr>
    </w:p>
    <w:p w:rsidR="009D0CBE" w:rsidRPr="009D0CBE" w:rsidRDefault="009D0CBE" w:rsidP="00FB15E1">
      <w:pPr>
        <w:ind w:firstLine="567"/>
        <w:jc w:val="center"/>
        <w:outlineLvl w:val="0"/>
        <w:rPr>
          <w:b/>
          <w:bCs/>
        </w:rPr>
      </w:pPr>
    </w:p>
    <w:p w:rsidR="00CB403D" w:rsidRDefault="009D0CBE" w:rsidP="009D0CBE">
      <w:pPr>
        <w:ind w:firstLine="708"/>
        <w:jc w:val="center"/>
        <w:outlineLvl w:val="0"/>
        <w:rPr>
          <w:b/>
          <w:sz w:val="28"/>
          <w:szCs w:val="28"/>
        </w:rPr>
      </w:pPr>
      <w:r w:rsidRPr="00CB403D">
        <w:rPr>
          <w:b/>
          <w:sz w:val="28"/>
          <w:szCs w:val="28"/>
        </w:rPr>
        <w:t xml:space="preserve">Розділ 9. Організація роботи з персоналом. </w:t>
      </w:r>
    </w:p>
    <w:p w:rsidR="009D0CBE" w:rsidRDefault="009D0CBE" w:rsidP="009D0CBE">
      <w:pPr>
        <w:ind w:firstLine="708"/>
        <w:jc w:val="center"/>
        <w:outlineLvl w:val="0"/>
        <w:rPr>
          <w:b/>
          <w:sz w:val="28"/>
          <w:szCs w:val="28"/>
        </w:rPr>
      </w:pPr>
      <w:r w:rsidRPr="00CB403D">
        <w:rPr>
          <w:b/>
          <w:sz w:val="28"/>
          <w:szCs w:val="28"/>
        </w:rPr>
        <w:t>Запобігання та виявлення корупції</w:t>
      </w:r>
    </w:p>
    <w:p w:rsidR="0033419D" w:rsidRDefault="0033419D" w:rsidP="009D0CBE">
      <w:pPr>
        <w:ind w:firstLine="708"/>
        <w:jc w:val="center"/>
        <w:outlineLvl w:val="0"/>
        <w:rPr>
          <w:b/>
          <w:sz w:val="28"/>
          <w:szCs w:val="28"/>
        </w:rPr>
      </w:pPr>
    </w:p>
    <w:p w:rsidR="0098382F" w:rsidRPr="00305759" w:rsidRDefault="0098382F" w:rsidP="00047D5D">
      <w:pPr>
        <w:tabs>
          <w:tab w:val="left" w:pos="1263"/>
        </w:tabs>
        <w:ind w:firstLine="567"/>
        <w:jc w:val="both"/>
        <w:rPr>
          <w:sz w:val="28"/>
          <w:szCs w:val="28"/>
        </w:rPr>
      </w:pPr>
      <w:r w:rsidRPr="00AC76F8">
        <w:rPr>
          <w:sz w:val="28"/>
          <w:szCs w:val="28"/>
        </w:rPr>
        <w:t xml:space="preserve">Протягом 2022 року </w:t>
      </w:r>
      <w:r w:rsidRPr="00305759">
        <w:rPr>
          <w:sz w:val="28"/>
          <w:szCs w:val="28"/>
        </w:rPr>
        <w:t xml:space="preserve">забезпечено укомплектування посад структурних підрозділів </w:t>
      </w:r>
      <w:r>
        <w:rPr>
          <w:sz w:val="28"/>
          <w:szCs w:val="28"/>
        </w:rPr>
        <w:t>М</w:t>
      </w:r>
      <w:r w:rsidRPr="00305759">
        <w:rPr>
          <w:sz w:val="28"/>
          <w:szCs w:val="28"/>
        </w:rPr>
        <w:t>іжрегіонального управління на 95,7 відсотк</w:t>
      </w:r>
      <w:r w:rsidR="0027069D">
        <w:rPr>
          <w:sz w:val="28"/>
          <w:szCs w:val="28"/>
        </w:rPr>
        <w:t>и</w:t>
      </w:r>
      <w:r w:rsidR="007E053B">
        <w:rPr>
          <w:sz w:val="28"/>
          <w:szCs w:val="28"/>
        </w:rPr>
        <w:t xml:space="preserve">. При штатній чисельності </w:t>
      </w:r>
      <w:r w:rsidRPr="00305759">
        <w:rPr>
          <w:sz w:val="28"/>
          <w:szCs w:val="28"/>
        </w:rPr>
        <w:t>140 одиниць, заповнено 134 штатних одиниці.</w:t>
      </w:r>
    </w:p>
    <w:p w:rsidR="0098382F" w:rsidRDefault="0098382F" w:rsidP="00047D5D">
      <w:pPr>
        <w:tabs>
          <w:tab w:val="left" w:pos="1263"/>
        </w:tabs>
        <w:ind w:firstLine="567"/>
        <w:jc w:val="both"/>
        <w:rPr>
          <w:sz w:val="28"/>
          <w:szCs w:val="28"/>
        </w:rPr>
      </w:pPr>
      <w:r w:rsidRPr="00305759">
        <w:rPr>
          <w:sz w:val="28"/>
          <w:szCs w:val="28"/>
        </w:rPr>
        <w:t>З метою підвищення кваліфікації працівників за відповідними напрямами й формами навчання, керівникам та працівникам структурних підрозділів забезпечено надання відповідних інформативних та інструктивних матеріалів для проходження курсів підвищення кваліфікації та навчальних індивідуальних програм на відповідних навчальних онлайн – платформах.</w:t>
      </w:r>
    </w:p>
    <w:p w:rsidR="0098382F" w:rsidRPr="00305759" w:rsidRDefault="0098382F" w:rsidP="00047D5D">
      <w:pPr>
        <w:ind w:firstLine="567"/>
        <w:jc w:val="both"/>
        <w:outlineLvl w:val="0"/>
        <w:rPr>
          <w:sz w:val="28"/>
          <w:szCs w:val="28"/>
        </w:rPr>
      </w:pPr>
      <w:r w:rsidRPr="00305759">
        <w:rPr>
          <w:sz w:val="28"/>
          <w:szCs w:val="28"/>
        </w:rPr>
        <w:t>Забезпечено підвищення рівня професійної компетентності 100 відс</w:t>
      </w:r>
      <w:r w:rsidR="00FC0F19">
        <w:rPr>
          <w:sz w:val="28"/>
          <w:szCs w:val="28"/>
        </w:rPr>
        <w:t>.</w:t>
      </w:r>
      <w:r w:rsidRPr="00305759">
        <w:rPr>
          <w:sz w:val="28"/>
          <w:szCs w:val="28"/>
        </w:rPr>
        <w:t xml:space="preserve"> державних службовців </w:t>
      </w:r>
      <w:r w:rsidR="00FC0F19">
        <w:rPr>
          <w:sz w:val="28"/>
          <w:szCs w:val="28"/>
        </w:rPr>
        <w:t>М</w:t>
      </w:r>
      <w:r w:rsidR="00FC0F19" w:rsidRPr="00305759">
        <w:rPr>
          <w:sz w:val="28"/>
          <w:szCs w:val="28"/>
        </w:rPr>
        <w:t>іжрегіонального</w:t>
      </w:r>
      <w:r w:rsidR="00FC0F19">
        <w:rPr>
          <w:sz w:val="28"/>
          <w:szCs w:val="28"/>
        </w:rPr>
        <w:t xml:space="preserve"> </w:t>
      </w:r>
      <w:r w:rsidRPr="00305759">
        <w:rPr>
          <w:sz w:val="28"/>
          <w:szCs w:val="28"/>
        </w:rPr>
        <w:t xml:space="preserve">управління відповідно до </w:t>
      </w:r>
      <w:r>
        <w:rPr>
          <w:sz w:val="28"/>
          <w:szCs w:val="28"/>
        </w:rPr>
        <w:t xml:space="preserve">напрямів, зазначених </w:t>
      </w:r>
      <w:r w:rsidR="00FC0F19">
        <w:rPr>
          <w:sz w:val="28"/>
          <w:szCs w:val="28"/>
        </w:rPr>
        <w:t>в</w:t>
      </w:r>
      <w:r>
        <w:rPr>
          <w:sz w:val="28"/>
          <w:szCs w:val="28"/>
        </w:rPr>
        <w:t xml:space="preserve"> </w:t>
      </w:r>
      <w:r w:rsidRPr="00305759">
        <w:rPr>
          <w:sz w:val="28"/>
          <w:szCs w:val="28"/>
        </w:rPr>
        <w:t>індивідуальних програм</w:t>
      </w:r>
      <w:r w:rsidR="00FC0F19">
        <w:rPr>
          <w:sz w:val="28"/>
          <w:szCs w:val="28"/>
        </w:rPr>
        <w:t>ах</w:t>
      </w:r>
      <w:r>
        <w:rPr>
          <w:sz w:val="28"/>
          <w:szCs w:val="28"/>
        </w:rPr>
        <w:t xml:space="preserve"> </w:t>
      </w:r>
      <w:r w:rsidRPr="00305759">
        <w:rPr>
          <w:sz w:val="28"/>
          <w:szCs w:val="28"/>
        </w:rPr>
        <w:t>професійн</w:t>
      </w:r>
      <w:r>
        <w:rPr>
          <w:sz w:val="28"/>
          <w:szCs w:val="28"/>
        </w:rPr>
        <w:t>ого</w:t>
      </w:r>
      <w:r w:rsidRPr="00305759">
        <w:rPr>
          <w:sz w:val="28"/>
          <w:szCs w:val="28"/>
        </w:rPr>
        <w:t xml:space="preserve"> </w:t>
      </w:r>
      <w:r>
        <w:rPr>
          <w:sz w:val="28"/>
          <w:szCs w:val="28"/>
        </w:rPr>
        <w:t>розвитку.</w:t>
      </w:r>
    </w:p>
    <w:p w:rsidR="0098382F" w:rsidRPr="00305759" w:rsidRDefault="0098382F" w:rsidP="00047D5D">
      <w:pPr>
        <w:ind w:firstLine="567"/>
        <w:jc w:val="both"/>
        <w:rPr>
          <w:sz w:val="28"/>
          <w:szCs w:val="28"/>
        </w:rPr>
      </w:pPr>
      <w:r w:rsidRPr="00305759">
        <w:rPr>
          <w:sz w:val="28"/>
          <w:szCs w:val="28"/>
        </w:rPr>
        <w:lastRenderedPageBreak/>
        <w:t>Організовано проведення дистанційних навчань з Навчально-науковим інститутом державного управління Національного університету «Львівська політехніка» за двома загальними короткостроковими програмами, а саме: «Лідерство в органах публічної влади» (для державних службовців категорії «Б») та «Сприйняття змін в органах публічної влади» (для державних службовців категорії «</w:t>
      </w:r>
      <w:r>
        <w:rPr>
          <w:sz w:val="28"/>
          <w:szCs w:val="28"/>
        </w:rPr>
        <w:t>В</w:t>
      </w:r>
      <w:r w:rsidRPr="00305759">
        <w:rPr>
          <w:sz w:val="28"/>
          <w:szCs w:val="28"/>
        </w:rPr>
        <w:t>»).</w:t>
      </w:r>
    </w:p>
    <w:p w:rsidR="0098382F" w:rsidRPr="00305759" w:rsidRDefault="0098382F" w:rsidP="00047D5D">
      <w:pPr>
        <w:ind w:firstLine="567"/>
        <w:jc w:val="both"/>
        <w:outlineLvl w:val="0"/>
        <w:rPr>
          <w:sz w:val="28"/>
          <w:szCs w:val="28"/>
        </w:rPr>
      </w:pPr>
      <w:r>
        <w:rPr>
          <w:sz w:val="28"/>
          <w:szCs w:val="28"/>
        </w:rPr>
        <w:t>Протягом 2022 року проведен</w:t>
      </w:r>
      <w:r w:rsidR="00125166">
        <w:rPr>
          <w:sz w:val="28"/>
          <w:szCs w:val="28"/>
        </w:rPr>
        <w:t>о</w:t>
      </w:r>
      <w:r w:rsidRPr="00305759">
        <w:rPr>
          <w:sz w:val="28"/>
          <w:szCs w:val="28"/>
        </w:rPr>
        <w:t xml:space="preserve"> економічні (професійні) навчання, внутрішні навчання з працівниками структурних підрозділів з метою підвищення їх кваліфікації, ознайомлено та обговорено накази ДПС та накази </w:t>
      </w:r>
      <w:r>
        <w:rPr>
          <w:sz w:val="28"/>
          <w:szCs w:val="28"/>
        </w:rPr>
        <w:t>Західного</w:t>
      </w:r>
      <w:r w:rsidRPr="00305759">
        <w:rPr>
          <w:sz w:val="28"/>
          <w:szCs w:val="28"/>
        </w:rPr>
        <w:t xml:space="preserve"> управління, інструктивні і методичні матеріали.</w:t>
      </w:r>
    </w:p>
    <w:p w:rsidR="0098382F" w:rsidRPr="00305759" w:rsidRDefault="00E97E77" w:rsidP="00047D5D">
      <w:pPr>
        <w:tabs>
          <w:tab w:val="left" w:pos="1263"/>
        </w:tabs>
        <w:ind w:firstLine="567"/>
        <w:jc w:val="both"/>
        <w:rPr>
          <w:sz w:val="28"/>
          <w:szCs w:val="28"/>
        </w:rPr>
      </w:pPr>
      <w:r>
        <w:rPr>
          <w:sz w:val="28"/>
          <w:szCs w:val="28"/>
        </w:rPr>
        <w:t>В</w:t>
      </w:r>
      <w:r w:rsidR="0098382F" w:rsidRPr="00305759">
        <w:rPr>
          <w:sz w:val="28"/>
          <w:szCs w:val="28"/>
        </w:rPr>
        <w:t>ідповідно до п</w:t>
      </w:r>
      <w:r>
        <w:rPr>
          <w:sz w:val="28"/>
          <w:szCs w:val="28"/>
        </w:rPr>
        <w:t xml:space="preserve">ункту </w:t>
      </w:r>
      <w:r w:rsidR="0098382F" w:rsidRPr="00305759">
        <w:rPr>
          <w:sz w:val="28"/>
          <w:szCs w:val="28"/>
        </w:rPr>
        <w:t>8 ст</w:t>
      </w:r>
      <w:r>
        <w:rPr>
          <w:sz w:val="28"/>
          <w:szCs w:val="28"/>
        </w:rPr>
        <w:t xml:space="preserve">атті </w:t>
      </w:r>
      <w:r w:rsidR="0098382F" w:rsidRPr="00305759">
        <w:rPr>
          <w:sz w:val="28"/>
          <w:szCs w:val="28"/>
        </w:rPr>
        <w:t xml:space="preserve">10 Закону України від </w:t>
      </w:r>
      <w:r w:rsidR="0098382F" w:rsidRPr="00305759">
        <w:rPr>
          <w:sz w:val="28"/>
          <w:szCs w:val="28"/>
        </w:rPr>
        <w:br/>
        <w:t>12 травня 2022 року №</w:t>
      </w:r>
      <w:r>
        <w:rPr>
          <w:sz w:val="28"/>
          <w:szCs w:val="28"/>
        </w:rPr>
        <w:t xml:space="preserve"> </w:t>
      </w:r>
      <w:r w:rsidR="0098382F" w:rsidRPr="00305759">
        <w:rPr>
          <w:sz w:val="28"/>
          <w:szCs w:val="28"/>
        </w:rPr>
        <w:t>2259-</w:t>
      </w:r>
      <w:r w:rsidR="0098382F" w:rsidRPr="00305759">
        <w:rPr>
          <w:sz w:val="28"/>
          <w:szCs w:val="28"/>
          <w:lang w:val="en-US"/>
        </w:rPr>
        <w:t xml:space="preserve">IX </w:t>
      </w:r>
      <w:r w:rsidR="0098382F" w:rsidRPr="00305759">
        <w:rPr>
          <w:sz w:val="28"/>
          <w:szCs w:val="28"/>
        </w:rPr>
        <w:t>«Про внесення змін до деяких законів України щодо функціонування державної служби та місцевого самоврядування у період дії воєнного стану» спеціальн</w:t>
      </w:r>
      <w:r w:rsidR="00FD4739">
        <w:rPr>
          <w:sz w:val="28"/>
          <w:szCs w:val="28"/>
        </w:rPr>
        <w:t>і</w:t>
      </w:r>
      <w:r w:rsidR="0098382F" w:rsidRPr="00305759">
        <w:rPr>
          <w:sz w:val="28"/>
          <w:szCs w:val="28"/>
        </w:rPr>
        <w:t xml:space="preserve"> перевірк</w:t>
      </w:r>
      <w:r w:rsidR="00FD4739">
        <w:rPr>
          <w:sz w:val="28"/>
          <w:szCs w:val="28"/>
        </w:rPr>
        <w:t>и</w:t>
      </w:r>
      <w:r w:rsidR="0098382F" w:rsidRPr="00305759">
        <w:rPr>
          <w:sz w:val="28"/>
          <w:szCs w:val="28"/>
        </w:rPr>
        <w:t>, передбачен</w:t>
      </w:r>
      <w:r w:rsidR="00FD4739">
        <w:rPr>
          <w:sz w:val="28"/>
          <w:szCs w:val="28"/>
        </w:rPr>
        <w:t>і</w:t>
      </w:r>
      <w:r w:rsidR="0098382F" w:rsidRPr="00305759">
        <w:rPr>
          <w:sz w:val="28"/>
          <w:szCs w:val="28"/>
        </w:rPr>
        <w:t xml:space="preserve"> Законом України «Про запобігання корупції», стосовно осіб, які претендують на зайняття посад, які передбачають зайняття відповідального становища та посад з підвищеним корупційним ризиком, перелік яких затверджується Національним агентством з питань запобігання корупції, а також перевірк</w:t>
      </w:r>
      <w:r w:rsidR="00FD4739">
        <w:rPr>
          <w:sz w:val="28"/>
          <w:szCs w:val="28"/>
        </w:rPr>
        <w:t>и</w:t>
      </w:r>
      <w:r w:rsidR="0098382F" w:rsidRPr="00305759">
        <w:rPr>
          <w:sz w:val="28"/>
          <w:szCs w:val="28"/>
        </w:rPr>
        <w:t>, передбачен</w:t>
      </w:r>
      <w:r w:rsidR="00FD4739">
        <w:rPr>
          <w:sz w:val="28"/>
          <w:szCs w:val="28"/>
        </w:rPr>
        <w:t>і</w:t>
      </w:r>
      <w:r w:rsidR="0098382F" w:rsidRPr="00305759">
        <w:rPr>
          <w:sz w:val="28"/>
          <w:szCs w:val="28"/>
        </w:rPr>
        <w:t xml:space="preserve"> Законом України «Про очищення влади», стосовно осіб, які претендують на зайняття посад, щодо яких здійснюються заходи з очищення влади (люстрації), під час дії воєнного стану не провод</w:t>
      </w:r>
      <w:r w:rsidR="004358E8">
        <w:rPr>
          <w:sz w:val="28"/>
          <w:szCs w:val="28"/>
        </w:rPr>
        <w:t>илися</w:t>
      </w:r>
      <w:r w:rsidR="0098382F" w:rsidRPr="00305759">
        <w:rPr>
          <w:sz w:val="28"/>
          <w:szCs w:val="28"/>
        </w:rPr>
        <w:t>.</w:t>
      </w:r>
    </w:p>
    <w:p w:rsidR="0098382F" w:rsidRPr="00305759" w:rsidRDefault="0098382F" w:rsidP="00047D5D">
      <w:pPr>
        <w:tabs>
          <w:tab w:val="left" w:pos="1263"/>
        </w:tabs>
        <w:ind w:firstLine="567"/>
        <w:jc w:val="both"/>
        <w:rPr>
          <w:sz w:val="28"/>
          <w:szCs w:val="28"/>
        </w:rPr>
      </w:pPr>
      <w:r>
        <w:rPr>
          <w:sz w:val="28"/>
          <w:szCs w:val="28"/>
        </w:rPr>
        <w:t xml:space="preserve">Відповідно до Порядку проведення оцінювання </w:t>
      </w:r>
      <w:r w:rsidRPr="00894534">
        <w:rPr>
          <w:color w:val="000000"/>
          <w:sz w:val="28"/>
          <w:szCs w:val="28"/>
        </w:rPr>
        <w:t>результатів службової д</w:t>
      </w:r>
      <w:r>
        <w:rPr>
          <w:color w:val="000000"/>
          <w:sz w:val="28"/>
          <w:szCs w:val="28"/>
        </w:rPr>
        <w:t>іяльності державних службовців</w:t>
      </w:r>
      <w:r>
        <w:rPr>
          <w:sz w:val="28"/>
          <w:szCs w:val="28"/>
        </w:rPr>
        <w:t>, затвердженого Постановою Кабінету Міністрів України від 23 серпня 2017 року №</w:t>
      </w:r>
      <w:r w:rsidR="00B01758">
        <w:rPr>
          <w:sz w:val="28"/>
          <w:szCs w:val="28"/>
        </w:rPr>
        <w:t xml:space="preserve"> </w:t>
      </w:r>
      <w:r>
        <w:rPr>
          <w:sz w:val="28"/>
          <w:szCs w:val="28"/>
        </w:rPr>
        <w:t xml:space="preserve">640 «Про затвердження Порядку проведення оцінювання </w:t>
      </w:r>
      <w:r w:rsidRPr="00894534">
        <w:rPr>
          <w:color w:val="000000"/>
          <w:sz w:val="28"/>
          <w:szCs w:val="28"/>
        </w:rPr>
        <w:t>результатів службової д</w:t>
      </w:r>
      <w:r>
        <w:rPr>
          <w:color w:val="000000"/>
          <w:sz w:val="28"/>
          <w:szCs w:val="28"/>
        </w:rPr>
        <w:t>іяльності державних службовців» (із змінами)</w:t>
      </w:r>
      <w:r w:rsidRPr="00894534">
        <w:rPr>
          <w:color w:val="000000"/>
          <w:sz w:val="28"/>
          <w:szCs w:val="28"/>
        </w:rPr>
        <w:t xml:space="preserve"> </w:t>
      </w:r>
      <w:r>
        <w:rPr>
          <w:sz w:val="28"/>
          <w:szCs w:val="28"/>
        </w:rPr>
        <w:t>працівник</w:t>
      </w:r>
      <w:r w:rsidR="00B01758">
        <w:rPr>
          <w:sz w:val="28"/>
          <w:szCs w:val="28"/>
        </w:rPr>
        <w:t>ам</w:t>
      </w:r>
      <w:r>
        <w:rPr>
          <w:sz w:val="28"/>
          <w:szCs w:val="28"/>
        </w:rPr>
        <w:t xml:space="preserve"> </w:t>
      </w:r>
      <w:r w:rsidR="00B01758">
        <w:rPr>
          <w:sz w:val="28"/>
          <w:szCs w:val="28"/>
        </w:rPr>
        <w:t>М</w:t>
      </w:r>
      <w:r w:rsidR="00B01758" w:rsidRPr="00305759">
        <w:rPr>
          <w:sz w:val="28"/>
          <w:szCs w:val="28"/>
        </w:rPr>
        <w:t>іжрегіонального</w:t>
      </w:r>
      <w:r w:rsidR="00B01758">
        <w:rPr>
          <w:sz w:val="28"/>
          <w:szCs w:val="28"/>
        </w:rPr>
        <w:t xml:space="preserve"> </w:t>
      </w:r>
      <w:r>
        <w:rPr>
          <w:sz w:val="28"/>
          <w:szCs w:val="28"/>
        </w:rPr>
        <w:t xml:space="preserve">управління забезпечено визначенння </w:t>
      </w:r>
      <w:r w:rsidRPr="00305759">
        <w:rPr>
          <w:sz w:val="28"/>
          <w:szCs w:val="28"/>
        </w:rPr>
        <w:t>завдан</w:t>
      </w:r>
      <w:r>
        <w:rPr>
          <w:sz w:val="28"/>
          <w:szCs w:val="28"/>
        </w:rPr>
        <w:t>ь</w:t>
      </w:r>
      <w:r w:rsidRPr="00305759">
        <w:rPr>
          <w:sz w:val="28"/>
          <w:szCs w:val="28"/>
        </w:rPr>
        <w:t xml:space="preserve"> і ключов</w:t>
      </w:r>
      <w:r>
        <w:rPr>
          <w:sz w:val="28"/>
          <w:szCs w:val="28"/>
        </w:rPr>
        <w:t>их</w:t>
      </w:r>
      <w:r w:rsidRPr="00305759">
        <w:rPr>
          <w:sz w:val="28"/>
          <w:szCs w:val="28"/>
        </w:rPr>
        <w:t xml:space="preserve"> показник</w:t>
      </w:r>
      <w:r>
        <w:rPr>
          <w:sz w:val="28"/>
          <w:szCs w:val="28"/>
        </w:rPr>
        <w:t>ів</w:t>
      </w:r>
      <w:r w:rsidRPr="00305759">
        <w:rPr>
          <w:sz w:val="28"/>
          <w:szCs w:val="28"/>
        </w:rPr>
        <w:t xml:space="preserve"> результативності, ефективності та якості службової діяльності державних службовців у встановленому законодавством порядку.</w:t>
      </w:r>
    </w:p>
    <w:p w:rsidR="0098382F" w:rsidRDefault="0098382F" w:rsidP="00047D5D">
      <w:pPr>
        <w:tabs>
          <w:tab w:val="left" w:pos="1263"/>
        </w:tabs>
        <w:ind w:firstLine="567"/>
        <w:jc w:val="both"/>
        <w:rPr>
          <w:sz w:val="28"/>
          <w:szCs w:val="28"/>
        </w:rPr>
      </w:pPr>
      <w:r w:rsidRPr="00305759">
        <w:rPr>
          <w:sz w:val="28"/>
          <w:szCs w:val="28"/>
        </w:rPr>
        <w:t>Щоквартально забезпечено проведення моніторингу стану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за результатами якого над</w:t>
      </w:r>
      <w:r w:rsidR="0030085D">
        <w:rPr>
          <w:sz w:val="28"/>
          <w:szCs w:val="28"/>
        </w:rPr>
        <w:t>а</w:t>
      </w:r>
      <w:r w:rsidRPr="00305759">
        <w:rPr>
          <w:sz w:val="28"/>
          <w:szCs w:val="28"/>
        </w:rPr>
        <w:t>н</w:t>
      </w:r>
      <w:r w:rsidR="0030085D">
        <w:rPr>
          <w:sz w:val="28"/>
          <w:szCs w:val="28"/>
        </w:rPr>
        <w:t>о</w:t>
      </w:r>
      <w:r w:rsidRPr="00305759">
        <w:rPr>
          <w:sz w:val="28"/>
          <w:szCs w:val="28"/>
        </w:rPr>
        <w:t xml:space="preserve"> відповідн</w:t>
      </w:r>
      <w:r w:rsidR="0030085D">
        <w:rPr>
          <w:sz w:val="28"/>
          <w:szCs w:val="28"/>
        </w:rPr>
        <w:t>у</w:t>
      </w:r>
      <w:r w:rsidRPr="00305759">
        <w:rPr>
          <w:sz w:val="28"/>
          <w:szCs w:val="28"/>
        </w:rPr>
        <w:t xml:space="preserve"> звітність про виконання державними службовцями завдань і ключових показників</w:t>
      </w:r>
      <w:r>
        <w:rPr>
          <w:sz w:val="28"/>
          <w:szCs w:val="28"/>
        </w:rPr>
        <w:t xml:space="preserve">, </w:t>
      </w:r>
      <w:r w:rsidRPr="00305759">
        <w:rPr>
          <w:sz w:val="28"/>
          <w:szCs w:val="28"/>
        </w:rPr>
        <w:t>відповідно до вимог наказу Західного управління від 30.03.2021 №</w:t>
      </w:r>
      <w:r w:rsidR="0022797E">
        <w:rPr>
          <w:sz w:val="28"/>
          <w:szCs w:val="28"/>
        </w:rPr>
        <w:t xml:space="preserve"> </w:t>
      </w:r>
      <w:r w:rsidRPr="00305759">
        <w:rPr>
          <w:sz w:val="28"/>
          <w:szCs w:val="28"/>
        </w:rPr>
        <w:t>73 «Про впровадження системи моніторингу оцінювання результатів службової діяльності в Західному міжрегіональному управлінні ДПС по роботі з великими платниками податків».</w:t>
      </w:r>
    </w:p>
    <w:p w:rsidR="007913E0" w:rsidRDefault="007913E0" w:rsidP="00047D5D">
      <w:pPr>
        <w:spacing w:line="276" w:lineRule="auto"/>
        <w:ind w:firstLine="567"/>
        <w:jc w:val="both"/>
        <w:rPr>
          <w:sz w:val="28"/>
          <w:szCs w:val="28"/>
        </w:rPr>
      </w:pPr>
    </w:p>
    <w:p w:rsidR="005D3DF9" w:rsidRDefault="007913E0" w:rsidP="00122711">
      <w:pPr>
        <w:ind w:firstLine="567"/>
        <w:jc w:val="both"/>
        <w:rPr>
          <w:sz w:val="28"/>
          <w:szCs w:val="28"/>
        </w:rPr>
      </w:pPr>
      <w:r>
        <w:rPr>
          <w:sz w:val="28"/>
          <w:szCs w:val="28"/>
        </w:rPr>
        <w:t>Протягом 2022 року з</w:t>
      </w:r>
      <w:r w:rsidR="00BB5849">
        <w:rPr>
          <w:sz w:val="28"/>
          <w:szCs w:val="28"/>
        </w:rPr>
        <w:t xml:space="preserve">абезпечено </w:t>
      </w:r>
      <w:r w:rsidR="007620A2">
        <w:rPr>
          <w:sz w:val="28"/>
          <w:szCs w:val="28"/>
        </w:rPr>
        <w:t>о</w:t>
      </w:r>
      <w:r w:rsidR="00F878CB" w:rsidRPr="008F7FB6">
        <w:rPr>
          <w:sz w:val="28"/>
          <w:szCs w:val="28"/>
        </w:rPr>
        <w:t>рганізаці</w:t>
      </w:r>
      <w:r w:rsidR="007620A2">
        <w:rPr>
          <w:sz w:val="28"/>
          <w:szCs w:val="28"/>
        </w:rPr>
        <w:t>ю</w:t>
      </w:r>
      <w:r w:rsidR="00F878CB" w:rsidRPr="008F7FB6">
        <w:rPr>
          <w:sz w:val="28"/>
          <w:szCs w:val="28"/>
        </w:rPr>
        <w:t xml:space="preserve"> роботи відповідно до </w:t>
      </w:r>
      <w:r w:rsidR="007620A2">
        <w:rPr>
          <w:sz w:val="28"/>
          <w:szCs w:val="28"/>
        </w:rPr>
        <w:t>н</w:t>
      </w:r>
      <w:r w:rsidR="00F878CB" w:rsidRPr="008F7FB6">
        <w:rPr>
          <w:sz w:val="28"/>
          <w:szCs w:val="28"/>
        </w:rPr>
        <w:t xml:space="preserve">аказу ДПС від 08.10.2020 № 555 “Про затвердження Порядку організації роботи, спрямованої на запобігання та виявлення корупції в органах Державної податкової служби України». Вжито заходів з надання методичної та консультаційної допомоги окремим посадовим та службовим особам територіального органу (у т.ч. в заповненні декларацій особи, уповноваженої на виконання функцій держави або місцевого самоврядування) у кількості - </w:t>
      </w:r>
      <w:r w:rsidR="00F878CB">
        <w:rPr>
          <w:sz w:val="28"/>
          <w:szCs w:val="28"/>
        </w:rPr>
        <w:t>38</w:t>
      </w:r>
      <w:r w:rsidR="00F878CB" w:rsidRPr="008F7FB6">
        <w:rPr>
          <w:sz w:val="28"/>
          <w:szCs w:val="28"/>
        </w:rPr>
        <w:t xml:space="preserve"> та структурним підрозділам у кількості – </w:t>
      </w:r>
      <w:r w:rsidR="00F878CB">
        <w:rPr>
          <w:sz w:val="28"/>
          <w:szCs w:val="28"/>
        </w:rPr>
        <w:t>11</w:t>
      </w:r>
      <w:r w:rsidR="00F878CB" w:rsidRPr="008F7FB6">
        <w:rPr>
          <w:sz w:val="28"/>
          <w:szCs w:val="28"/>
        </w:rPr>
        <w:t xml:space="preserve">. </w:t>
      </w:r>
      <w:r w:rsidR="00F878CB" w:rsidRPr="002B44BC">
        <w:rPr>
          <w:sz w:val="28"/>
          <w:szCs w:val="28"/>
        </w:rPr>
        <w:t xml:space="preserve">Проведено 4 перевірки з питань стану </w:t>
      </w:r>
      <w:r w:rsidR="00F878CB" w:rsidRPr="002B44BC">
        <w:rPr>
          <w:sz w:val="28"/>
          <w:szCs w:val="28"/>
        </w:rPr>
        <w:lastRenderedPageBreak/>
        <w:t>організації роботи структурних підрозділів</w:t>
      </w:r>
      <w:r w:rsidR="00045DDE">
        <w:rPr>
          <w:sz w:val="28"/>
          <w:szCs w:val="28"/>
        </w:rPr>
        <w:t>,</w:t>
      </w:r>
      <w:r w:rsidR="00F878CB" w:rsidRPr="002B44BC">
        <w:rPr>
          <w:sz w:val="28"/>
          <w:szCs w:val="28"/>
        </w:rPr>
        <w:t xml:space="preserve"> за результатами яких винесено </w:t>
      </w:r>
      <w:r w:rsidR="00A37173">
        <w:rPr>
          <w:sz w:val="28"/>
          <w:szCs w:val="28"/>
        </w:rPr>
        <w:t xml:space="preserve">         </w:t>
      </w:r>
      <w:r w:rsidR="00F878CB" w:rsidRPr="002B44BC">
        <w:rPr>
          <w:sz w:val="28"/>
          <w:szCs w:val="28"/>
        </w:rPr>
        <w:t xml:space="preserve">29 «Офіційних попереджень про неприпустимість протиправної поведінки». </w:t>
      </w:r>
    </w:p>
    <w:p w:rsidR="003002C9" w:rsidRDefault="00F878CB" w:rsidP="00122711">
      <w:pPr>
        <w:ind w:firstLine="567"/>
        <w:jc w:val="both"/>
        <w:rPr>
          <w:sz w:val="28"/>
          <w:szCs w:val="28"/>
        </w:rPr>
      </w:pPr>
      <w:r w:rsidRPr="0044764E">
        <w:rPr>
          <w:sz w:val="28"/>
          <w:szCs w:val="28"/>
        </w:rPr>
        <w:t>Вжито організаційно - роз’яснювальних заходів</w:t>
      </w:r>
      <w:r>
        <w:rPr>
          <w:sz w:val="28"/>
          <w:szCs w:val="28"/>
        </w:rPr>
        <w:t xml:space="preserve">: 15 </w:t>
      </w:r>
      <w:r w:rsidRPr="0044764E">
        <w:rPr>
          <w:sz w:val="28"/>
          <w:szCs w:val="28"/>
        </w:rPr>
        <w:t>виступ</w:t>
      </w:r>
      <w:r>
        <w:rPr>
          <w:sz w:val="28"/>
          <w:szCs w:val="28"/>
        </w:rPr>
        <w:t>ів</w:t>
      </w:r>
      <w:r w:rsidRPr="0044764E">
        <w:rPr>
          <w:sz w:val="28"/>
          <w:szCs w:val="28"/>
        </w:rPr>
        <w:t xml:space="preserve"> на телебаченні та радіо</w:t>
      </w:r>
      <w:r>
        <w:rPr>
          <w:sz w:val="28"/>
          <w:szCs w:val="28"/>
        </w:rPr>
        <w:t xml:space="preserve">, 45 </w:t>
      </w:r>
      <w:r w:rsidRPr="0044764E">
        <w:rPr>
          <w:sz w:val="28"/>
          <w:szCs w:val="28"/>
        </w:rPr>
        <w:t>публікац</w:t>
      </w:r>
      <w:r>
        <w:rPr>
          <w:sz w:val="28"/>
          <w:szCs w:val="28"/>
        </w:rPr>
        <w:t xml:space="preserve">ій </w:t>
      </w:r>
      <w:r w:rsidRPr="0044764E">
        <w:rPr>
          <w:sz w:val="28"/>
          <w:szCs w:val="28"/>
        </w:rPr>
        <w:t xml:space="preserve">на субсайті </w:t>
      </w:r>
      <w:r w:rsidR="006F4F50">
        <w:rPr>
          <w:sz w:val="28"/>
          <w:szCs w:val="28"/>
        </w:rPr>
        <w:t>Міжрегіонального управління</w:t>
      </w:r>
      <w:r>
        <w:rPr>
          <w:sz w:val="28"/>
          <w:szCs w:val="28"/>
        </w:rPr>
        <w:t xml:space="preserve">, 37 </w:t>
      </w:r>
      <w:r w:rsidRPr="0044764E">
        <w:rPr>
          <w:sz w:val="28"/>
          <w:szCs w:val="28"/>
        </w:rPr>
        <w:t>публікаці</w:t>
      </w:r>
      <w:r w:rsidR="006F4F50">
        <w:rPr>
          <w:sz w:val="28"/>
          <w:szCs w:val="28"/>
        </w:rPr>
        <w:t>й</w:t>
      </w:r>
      <w:r w:rsidRPr="0044764E">
        <w:rPr>
          <w:sz w:val="28"/>
          <w:szCs w:val="28"/>
        </w:rPr>
        <w:t xml:space="preserve"> в мережні інтернет та соцмережах</w:t>
      </w:r>
      <w:r>
        <w:rPr>
          <w:sz w:val="28"/>
          <w:szCs w:val="28"/>
        </w:rPr>
        <w:t xml:space="preserve">. </w:t>
      </w:r>
    </w:p>
    <w:p w:rsidR="003002C9" w:rsidRDefault="00155B0F" w:rsidP="00122711">
      <w:pPr>
        <w:ind w:firstLine="567"/>
        <w:jc w:val="both"/>
        <w:rPr>
          <w:sz w:val="28"/>
          <w:szCs w:val="28"/>
        </w:rPr>
      </w:pPr>
      <w:r>
        <w:rPr>
          <w:sz w:val="28"/>
          <w:szCs w:val="28"/>
        </w:rPr>
        <w:t>З</w:t>
      </w:r>
      <w:r w:rsidR="00F878CB">
        <w:rPr>
          <w:sz w:val="28"/>
          <w:szCs w:val="28"/>
        </w:rPr>
        <w:t>дійснено</w:t>
      </w:r>
      <w:r w:rsidR="00F878CB" w:rsidRPr="000A3A8C">
        <w:rPr>
          <w:sz w:val="28"/>
          <w:szCs w:val="28"/>
        </w:rPr>
        <w:t xml:space="preserve"> заход</w:t>
      </w:r>
      <w:r w:rsidR="00F878CB">
        <w:rPr>
          <w:sz w:val="28"/>
          <w:szCs w:val="28"/>
        </w:rPr>
        <w:t>и</w:t>
      </w:r>
      <w:r w:rsidR="00F878CB" w:rsidRPr="000A3A8C">
        <w:rPr>
          <w:sz w:val="28"/>
          <w:szCs w:val="28"/>
        </w:rPr>
        <w:t xml:space="preserve"> щодо підготовки суб’єктів декларування до чергового етапу подання електронних декларацій осіб, уповноважених на виконання функцій держави або місцевого самоврядування за 202</w:t>
      </w:r>
      <w:r w:rsidR="00F878CB">
        <w:rPr>
          <w:sz w:val="28"/>
          <w:szCs w:val="28"/>
        </w:rPr>
        <w:t>1</w:t>
      </w:r>
      <w:r w:rsidR="00F878CB" w:rsidRPr="000A3A8C">
        <w:rPr>
          <w:sz w:val="28"/>
          <w:szCs w:val="28"/>
        </w:rPr>
        <w:t xml:space="preserve"> та 202</w:t>
      </w:r>
      <w:r w:rsidR="00F878CB">
        <w:rPr>
          <w:sz w:val="28"/>
          <w:szCs w:val="28"/>
        </w:rPr>
        <w:t>2</w:t>
      </w:r>
      <w:r w:rsidR="00F878CB" w:rsidRPr="000A3A8C">
        <w:rPr>
          <w:sz w:val="28"/>
          <w:szCs w:val="28"/>
        </w:rPr>
        <w:t xml:space="preserve"> роки</w:t>
      </w:r>
      <w:r w:rsidR="00F878CB">
        <w:rPr>
          <w:sz w:val="28"/>
          <w:szCs w:val="28"/>
        </w:rPr>
        <w:t xml:space="preserve">. </w:t>
      </w:r>
    </w:p>
    <w:p w:rsidR="00F878CB" w:rsidRDefault="00F878CB" w:rsidP="00122711">
      <w:pPr>
        <w:ind w:firstLine="567"/>
        <w:jc w:val="both"/>
        <w:rPr>
          <w:sz w:val="28"/>
          <w:szCs w:val="28"/>
        </w:rPr>
      </w:pPr>
      <w:r>
        <w:rPr>
          <w:sz w:val="28"/>
          <w:szCs w:val="28"/>
        </w:rPr>
        <w:t>Забезпечено кваліфікований</w:t>
      </w:r>
      <w:r w:rsidRPr="00951684">
        <w:rPr>
          <w:sz w:val="28"/>
          <w:szCs w:val="28"/>
        </w:rPr>
        <w:t xml:space="preserve"> та своєчасн</w:t>
      </w:r>
      <w:r>
        <w:rPr>
          <w:sz w:val="28"/>
          <w:szCs w:val="28"/>
        </w:rPr>
        <w:t>ий</w:t>
      </w:r>
      <w:r w:rsidRPr="00951684">
        <w:rPr>
          <w:sz w:val="28"/>
          <w:szCs w:val="28"/>
        </w:rPr>
        <w:t xml:space="preserve"> розгляд повідомлень про порушення вимог Закону України від 14 жовтня 2014 року №</w:t>
      </w:r>
      <w:r w:rsidR="00047D5D">
        <w:rPr>
          <w:sz w:val="28"/>
          <w:szCs w:val="28"/>
        </w:rPr>
        <w:t xml:space="preserve"> </w:t>
      </w:r>
      <w:r w:rsidRPr="00951684">
        <w:rPr>
          <w:sz w:val="28"/>
          <w:szCs w:val="28"/>
        </w:rPr>
        <w:t>1700-VІІ «Про запобігання корупції», внесеними викривачами</w:t>
      </w:r>
      <w:r>
        <w:rPr>
          <w:sz w:val="28"/>
          <w:szCs w:val="28"/>
        </w:rPr>
        <w:t xml:space="preserve">. </w:t>
      </w:r>
      <w:r w:rsidRPr="002B44BC">
        <w:rPr>
          <w:sz w:val="28"/>
          <w:szCs w:val="28"/>
        </w:rPr>
        <w:t>Вжито заходів щодо аналізу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F878CB" w:rsidRPr="002B44BC" w:rsidRDefault="00F878CB" w:rsidP="00122711">
      <w:pPr>
        <w:ind w:firstLine="567"/>
        <w:jc w:val="both"/>
        <w:rPr>
          <w:sz w:val="28"/>
          <w:szCs w:val="28"/>
          <w:lang w:val="en-US"/>
        </w:rPr>
      </w:pPr>
      <w:r>
        <w:rPr>
          <w:sz w:val="28"/>
          <w:szCs w:val="28"/>
        </w:rPr>
        <w:t xml:space="preserve">Протягом </w:t>
      </w:r>
      <w:r w:rsidR="001923F5">
        <w:rPr>
          <w:sz w:val="28"/>
          <w:szCs w:val="28"/>
        </w:rPr>
        <w:t xml:space="preserve">2022 </w:t>
      </w:r>
      <w:r>
        <w:rPr>
          <w:sz w:val="28"/>
          <w:szCs w:val="28"/>
        </w:rPr>
        <w:t xml:space="preserve">року </w:t>
      </w:r>
      <w:r w:rsidR="001923F5">
        <w:rPr>
          <w:sz w:val="28"/>
          <w:szCs w:val="28"/>
        </w:rPr>
        <w:t xml:space="preserve">забезпечено </w:t>
      </w:r>
      <w:r>
        <w:rPr>
          <w:sz w:val="28"/>
          <w:szCs w:val="28"/>
        </w:rPr>
        <w:t>викон</w:t>
      </w:r>
      <w:r w:rsidR="001923F5">
        <w:rPr>
          <w:sz w:val="28"/>
          <w:szCs w:val="28"/>
        </w:rPr>
        <w:t>ання</w:t>
      </w:r>
      <w:r w:rsidRPr="00951684">
        <w:rPr>
          <w:sz w:val="28"/>
          <w:szCs w:val="28"/>
        </w:rPr>
        <w:t xml:space="preserve"> заход</w:t>
      </w:r>
      <w:r w:rsidR="001923F5">
        <w:rPr>
          <w:sz w:val="28"/>
          <w:szCs w:val="28"/>
        </w:rPr>
        <w:t>ів</w:t>
      </w:r>
      <w:r w:rsidRPr="00951684">
        <w:rPr>
          <w:sz w:val="28"/>
          <w:szCs w:val="28"/>
        </w:rPr>
        <w:t xml:space="preserve"> Антикорупційної програми ДПС України на 2020-2022 роки</w:t>
      </w:r>
      <w:r>
        <w:rPr>
          <w:sz w:val="28"/>
          <w:szCs w:val="28"/>
        </w:rPr>
        <w:t xml:space="preserve">. </w:t>
      </w:r>
    </w:p>
    <w:p w:rsidR="00C10010" w:rsidRPr="00305759" w:rsidRDefault="00C10010" w:rsidP="00047D5D">
      <w:pPr>
        <w:tabs>
          <w:tab w:val="left" w:pos="1263"/>
        </w:tabs>
        <w:ind w:firstLine="567"/>
        <w:jc w:val="both"/>
        <w:rPr>
          <w:sz w:val="28"/>
          <w:szCs w:val="28"/>
        </w:rPr>
      </w:pPr>
    </w:p>
    <w:p w:rsidR="0098382F" w:rsidRDefault="00C54CD5" w:rsidP="00122711">
      <w:pPr>
        <w:ind w:firstLine="567"/>
        <w:jc w:val="both"/>
        <w:outlineLvl w:val="0"/>
        <w:rPr>
          <w:sz w:val="28"/>
          <w:szCs w:val="28"/>
        </w:rPr>
      </w:pPr>
      <w:r>
        <w:rPr>
          <w:sz w:val="28"/>
          <w:szCs w:val="28"/>
        </w:rPr>
        <w:t>Де</w:t>
      </w:r>
      <w:r w:rsidR="0098382F" w:rsidRPr="003E511C">
        <w:rPr>
          <w:sz w:val="28"/>
          <w:szCs w:val="28"/>
        </w:rPr>
        <w:t>ржавн</w:t>
      </w:r>
      <w:r>
        <w:rPr>
          <w:sz w:val="28"/>
          <w:szCs w:val="28"/>
        </w:rPr>
        <w:t>і</w:t>
      </w:r>
      <w:r w:rsidR="0098382F" w:rsidRPr="003E511C">
        <w:rPr>
          <w:sz w:val="28"/>
          <w:szCs w:val="28"/>
        </w:rPr>
        <w:t xml:space="preserve"> службов</w:t>
      </w:r>
      <w:r>
        <w:rPr>
          <w:sz w:val="28"/>
          <w:szCs w:val="28"/>
        </w:rPr>
        <w:t>ці</w:t>
      </w:r>
      <w:r w:rsidR="0098382F" w:rsidRPr="003E511C">
        <w:rPr>
          <w:sz w:val="28"/>
          <w:szCs w:val="28"/>
        </w:rPr>
        <w:t xml:space="preserve"> ознайомлен</w:t>
      </w:r>
      <w:r>
        <w:rPr>
          <w:sz w:val="28"/>
          <w:szCs w:val="28"/>
        </w:rPr>
        <w:t>і</w:t>
      </w:r>
      <w:r w:rsidR="0098382F" w:rsidRPr="003E511C">
        <w:rPr>
          <w:sz w:val="28"/>
          <w:szCs w:val="28"/>
        </w:rPr>
        <w:t xml:space="preserve"> під підпис та попереджен</w:t>
      </w:r>
      <w:r>
        <w:rPr>
          <w:sz w:val="28"/>
          <w:szCs w:val="28"/>
        </w:rPr>
        <w:t>і</w:t>
      </w:r>
      <w:r w:rsidR="0098382F" w:rsidRPr="003E511C">
        <w:rPr>
          <w:sz w:val="28"/>
          <w:szCs w:val="28"/>
        </w:rPr>
        <w:t xml:space="preserve"> про обмеження, спрямовані на запобігання корупційним та пов'язаним з корупцією правопорушенням, запобігання та врегулювання конфлікту інтересів</w:t>
      </w:r>
      <w:r w:rsidR="0098382F">
        <w:rPr>
          <w:sz w:val="28"/>
          <w:szCs w:val="28"/>
        </w:rPr>
        <w:t xml:space="preserve">, </w:t>
      </w:r>
      <w:r w:rsidR="0098382F" w:rsidRPr="003E511C">
        <w:rPr>
          <w:sz w:val="28"/>
          <w:szCs w:val="28"/>
        </w:rPr>
        <w:t>одержанн</w:t>
      </w:r>
      <w:r w:rsidR="0098382F">
        <w:rPr>
          <w:sz w:val="28"/>
          <w:szCs w:val="28"/>
        </w:rPr>
        <w:t>я</w:t>
      </w:r>
      <w:r w:rsidR="0098382F" w:rsidRPr="003E511C">
        <w:rPr>
          <w:sz w:val="28"/>
          <w:szCs w:val="28"/>
        </w:rPr>
        <w:t xml:space="preserve"> неправомірної вигоди або подарунк</w:t>
      </w:r>
      <w:r w:rsidR="0098382F">
        <w:rPr>
          <w:sz w:val="28"/>
          <w:szCs w:val="28"/>
        </w:rPr>
        <w:t>ів</w:t>
      </w:r>
      <w:r w:rsidR="0098382F" w:rsidRPr="003E511C">
        <w:rPr>
          <w:sz w:val="28"/>
          <w:szCs w:val="28"/>
        </w:rPr>
        <w:t xml:space="preserve"> та поводження з ними, щодо сумісництва та суміщення з іншими видами діяльності, дотримання вимог фінансового контролю</w:t>
      </w:r>
      <w:r w:rsidR="0098382F">
        <w:rPr>
          <w:sz w:val="28"/>
          <w:szCs w:val="28"/>
        </w:rPr>
        <w:t>.</w:t>
      </w:r>
    </w:p>
    <w:p w:rsidR="0098382F" w:rsidRPr="00CB403D" w:rsidRDefault="0098382F" w:rsidP="009D0CBE">
      <w:pPr>
        <w:ind w:firstLine="708"/>
        <w:jc w:val="center"/>
        <w:outlineLvl w:val="0"/>
        <w:rPr>
          <w:b/>
          <w:sz w:val="28"/>
          <w:szCs w:val="28"/>
        </w:rPr>
      </w:pPr>
    </w:p>
    <w:p w:rsidR="001F2E51" w:rsidRDefault="001F2E51" w:rsidP="009D0CBE">
      <w:pPr>
        <w:ind w:firstLine="708"/>
        <w:jc w:val="center"/>
        <w:outlineLvl w:val="0"/>
        <w:rPr>
          <w:b/>
        </w:rPr>
      </w:pPr>
    </w:p>
    <w:p w:rsidR="00CB403D" w:rsidRDefault="009D0CBE" w:rsidP="009D0CBE">
      <w:pPr>
        <w:ind w:left="-108" w:right="34"/>
        <w:jc w:val="center"/>
        <w:rPr>
          <w:b/>
          <w:sz w:val="28"/>
          <w:szCs w:val="28"/>
        </w:rPr>
      </w:pPr>
      <w:r w:rsidRPr="00CB403D">
        <w:rPr>
          <w:b/>
          <w:sz w:val="28"/>
          <w:szCs w:val="28"/>
        </w:rPr>
        <w:t xml:space="preserve">Розділ 10. Організація фінансової діяльності. </w:t>
      </w:r>
    </w:p>
    <w:p w:rsidR="009D0CBE" w:rsidRDefault="009D0CBE" w:rsidP="009D0CBE">
      <w:pPr>
        <w:ind w:left="-108" w:right="34"/>
        <w:jc w:val="center"/>
        <w:rPr>
          <w:b/>
          <w:sz w:val="28"/>
          <w:szCs w:val="28"/>
        </w:rPr>
      </w:pPr>
      <w:r w:rsidRPr="00CB403D">
        <w:rPr>
          <w:b/>
          <w:sz w:val="28"/>
          <w:szCs w:val="28"/>
        </w:rPr>
        <w:t>Матеріально-технічний розвиток</w:t>
      </w:r>
    </w:p>
    <w:p w:rsidR="0021447A" w:rsidRDefault="0021447A" w:rsidP="009D0CBE">
      <w:pPr>
        <w:ind w:left="-108" w:right="34"/>
        <w:jc w:val="center"/>
        <w:rPr>
          <w:b/>
          <w:sz w:val="28"/>
          <w:szCs w:val="28"/>
        </w:rPr>
      </w:pPr>
    </w:p>
    <w:p w:rsidR="00347BC7" w:rsidRDefault="00347BC7" w:rsidP="009D0CBE">
      <w:pPr>
        <w:ind w:left="-108" w:right="34"/>
        <w:jc w:val="center"/>
        <w:rPr>
          <w:b/>
          <w:sz w:val="28"/>
          <w:szCs w:val="28"/>
        </w:rPr>
      </w:pPr>
    </w:p>
    <w:p w:rsidR="0043745F" w:rsidRDefault="000B30FD" w:rsidP="00347BC7">
      <w:pPr>
        <w:ind w:firstLine="567"/>
        <w:jc w:val="both"/>
        <w:rPr>
          <w:sz w:val="28"/>
          <w:szCs w:val="28"/>
        </w:rPr>
      </w:pPr>
      <w:r>
        <w:rPr>
          <w:color w:val="000000"/>
          <w:sz w:val="28"/>
          <w:szCs w:val="28"/>
        </w:rPr>
        <w:t>М</w:t>
      </w:r>
      <w:r w:rsidRPr="00DC7538">
        <w:rPr>
          <w:sz w:val="28"/>
          <w:szCs w:val="28"/>
        </w:rPr>
        <w:t>іжрегіональн</w:t>
      </w:r>
      <w:r>
        <w:rPr>
          <w:sz w:val="28"/>
          <w:szCs w:val="28"/>
        </w:rPr>
        <w:t>им</w:t>
      </w:r>
      <w:r w:rsidRPr="00DC7538">
        <w:rPr>
          <w:sz w:val="28"/>
          <w:szCs w:val="28"/>
        </w:rPr>
        <w:t xml:space="preserve"> управління</w:t>
      </w:r>
      <w:r>
        <w:rPr>
          <w:sz w:val="28"/>
          <w:szCs w:val="28"/>
        </w:rPr>
        <w:t>м</w:t>
      </w:r>
      <w:r w:rsidRPr="00DC7538">
        <w:rPr>
          <w:sz w:val="28"/>
          <w:szCs w:val="28"/>
        </w:rPr>
        <w:t xml:space="preserve"> </w:t>
      </w:r>
      <w:r w:rsidR="00347BC7" w:rsidRPr="003A7D42">
        <w:rPr>
          <w:sz w:val="28"/>
          <w:szCs w:val="28"/>
        </w:rPr>
        <w:t xml:space="preserve">надано до ДПС бюджетні пропозиції на </w:t>
      </w:r>
      <w:r w:rsidR="008164E4">
        <w:rPr>
          <w:sz w:val="28"/>
          <w:szCs w:val="28"/>
        </w:rPr>
        <w:t xml:space="preserve">   </w:t>
      </w:r>
      <w:r w:rsidR="00347BC7" w:rsidRPr="003A7D42">
        <w:rPr>
          <w:sz w:val="28"/>
          <w:szCs w:val="28"/>
        </w:rPr>
        <w:t>202</w:t>
      </w:r>
      <w:r w:rsidR="00347BC7">
        <w:rPr>
          <w:sz w:val="28"/>
          <w:szCs w:val="28"/>
        </w:rPr>
        <w:t>3</w:t>
      </w:r>
      <w:r w:rsidR="00347BC7" w:rsidRPr="003A7D42">
        <w:rPr>
          <w:sz w:val="28"/>
          <w:szCs w:val="28"/>
        </w:rPr>
        <w:t xml:space="preserve"> рік за бюджетними програмами. </w:t>
      </w:r>
    </w:p>
    <w:p w:rsidR="00347BC7" w:rsidRDefault="000C0822" w:rsidP="00347BC7">
      <w:pPr>
        <w:ind w:firstLine="567"/>
        <w:jc w:val="both"/>
        <w:rPr>
          <w:sz w:val="28"/>
          <w:szCs w:val="28"/>
        </w:rPr>
      </w:pPr>
      <w:r>
        <w:rPr>
          <w:sz w:val="28"/>
          <w:szCs w:val="28"/>
        </w:rPr>
        <w:t>В</w:t>
      </w:r>
      <w:r w:rsidR="00347BC7" w:rsidRPr="003A7D42">
        <w:rPr>
          <w:sz w:val="28"/>
          <w:szCs w:val="28"/>
        </w:rPr>
        <w:t>иконання бюджетних програм за 202</w:t>
      </w:r>
      <w:r w:rsidR="00347BC7">
        <w:rPr>
          <w:sz w:val="28"/>
          <w:szCs w:val="28"/>
          <w:lang w:val="en-US"/>
        </w:rPr>
        <w:t>2</w:t>
      </w:r>
      <w:r w:rsidR="00347BC7" w:rsidRPr="003A7D42">
        <w:rPr>
          <w:sz w:val="28"/>
          <w:szCs w:val="28"/>
        </w:rPr>
        <w:t xml:space="preserve"> рік, відповідальним виконавцем яких є ДПС, описа</w:t>
      </w:r>
      <w:r w:rsidR="000913B2">
        <w:rPr>
          <w:sz w:val="28"/>
          <w:szCs w:val="28"/>
        </w:rPr>
        <w:t>но</w:t>
      </w:r>
      <w:r w:rsidR="00347BC7" w:rsidRPr="003A7D42">
        <w:rPr>
          <w:sz w:val="28"/>
          <w:szCs w:val="28"/>
        </w:rPr>
        <w:t xml:space="preserve"> за допомогою діаграми </w:t>
      </w:r>
      <w:r w:rsidR="003341E3">
        <w:rPr>
          <w:sz w:val="28"/>
          <w:szCs w:val="28"/>
        </w:rPr>
        <w:t>№ 3.</w:t>
      </w:r>
      <w:r w:rsidR="00347BC7" w:rsidRPr="003A7D42">
        <w:rPr>
          <w:sz w:val="28"/>
          <w:szCs w:val="28"/>
        </w:rPr>
        <w:t xml:space="preserve">  </w:t>
      </w:r>
      <w:r w:rsidR="003341E3">
        <w:rPr>
          <w:sz w:val="28"/>
          <w:szCs w:val="28"/>
        </w:rPr>
        <w:t>В</w:t>
      </w:r>
      <w:r w:rsidR="00347BC7" w:rsidRPr="003A7D42">
        <w:rPr>
          <w:sz w:val="28"/>
          <w:szCs w:val="28"/>
        </w:rPr>
        <w:t xml:space="preserve">икористано коштів в </w:t>
      </w:r>
      <w:r w:rsidR="00347BC7" w:rsidRPr="00D32E55">
        <w:rPr>
          <w:sz w:val="28"/>
          <w:szCs w:val="28"/>
        </w:rPr>
        <w:t>сумі 48153488,12 гр</w:t>
      </w:r>
      <w:r w:rsidR="003341E3">
        <w:rPr>
          <w:sz w:val="28"/>
          <w:szCs w:val="28"/>
        </w:rPr>
        <w:t>ивень</w:t>
      </w:r>
      <w:r w:rsidR="00347BC7" w:rsidRPr="003A7D42">
        <w:rPr>
          <w:sz w:val="28"/>
          <w:szCs w:val="28"/>
        </w:rPr>
        <w:t>.</w:t>
      </w:r>
    </w:p>
    <w:p w:rsidR="00DF0224" w:rsidRDefault="00DF0224" w:rsidP="00347BC7">
      <w:pPr>
        <w:ind w:firstLine="567"/>
        <w:jc w:val="both"/>
        <w:rPr>
          <w:sz w:val="28"/>
          <w:szCs w:val="28"/>
        </w:rPr>
      </w:pPr>
    </w:p>
    <w:p w:rsidR="000913B2" w:rsidRPr="003A7D42" w:rsidRDefault="000913B2" w:rsidP="00347BC7">
      <w:pPr>
        <w:ind w:firstLine="567"/>
        <w:jc w:val="both"/>
        <w:rPr>
          <w:sz w:val="28"/>
          <w:szCs w:val="28"/>
        </w:rPr>
      </w:pPr>
    </w:p>
    <w:p w:rsidR="001E3D30" w:rsidRDefault="00DF0224" w:rsidP="00DF0224">
      <w:pPr>
        <w:tabs>
          <w:tab w:val="left" w:pos="8684"/>
        </w:tabs>
        <w:ind w:firstLine="567"/>
        <w:jc w:val="both"/>
        <w:rPr>
          <w:sz w:val="36"/>
        </w:rPr>
      </w:pPr>
      <w:r>
        <w:rPr>
          <w:sz w:val="36"/>
        </w:rPr>
        <w:t xml:space="preserve">                                                                                 </w:t>
      </w:r>
    </w:p>
    <w:p w:rsidR="001E3D30" w:rsidRDefault="001E3D30" w:rsidP="00DF0224">
      <w:pPr>
        <w:tabs>
          <w:tab w:val="left" w:pos="8684"/>
        </w:tabs>
        <w:ind w:firstLine="567"/>
        <w:jc w:val="both"/>
        <w:rPr>
          <w:sz w:val="36"/>
        </w:rPr>
      </w:pPr>
    </w:p>
    <w:p w:rsidR="001E3D30" w:rsidRDefault="001E3D30" w:rsidP="00DF0224">
      <w:pPr>
        <w:tabs>
          <w:tab w:val="left" w:pos="8684"/>
        </w:tabs>
        <w:ind w:firstLine="567"/>
        <w:jc w:val="both"/>
        <w:rPr>
          <w:sz w:val="36"/>
        </w:rPr>
      </w:pPr>
    </w:p>
    <w:p w:rsidR="001E3D30" w:rsidRDefault="001E3D30" w:rsidP="00DF0224">
      <w:pPr>
        <w:tabs>
          <w:tab w:val="left" w:pos="8684"/>
        </w:tabs>
        <w:ind w:firstLine="567"/>
        <w:jc w:val="both"/>
        <w:rPr>
          <w:sz w:val="36"/>
        </w:rPr>
      </w:pPr>
    </w:p>
    <w:p w:rsidR="001E3D30" w:rsidRDefault="001E3D30" w:rsidP="00DF0224">
      <w:pPr>
        <w:tabs>
          <w:tab w:val="left" w:pos="8684"/>
        </w:tabs>
        <w:ind w:firstLine="567"/>
        <w:jc w:val="both"/>
        <w:rPr>
          <w:sz w:val="36"/>
        </w:rPr>
      </w:pPr>
    </w:p>
    <w:p w:rsidR="001E3D30" w:rsidRDefault="001E3D30" w:rsidP="00DF0224">
      <w:pPr>
        <w:tabs>
          <w:tab w:val="left" w:pos="8684"/>
        </w:tabs>
        <w:ind w:firstLine="567"/>
        <w:jc w:val="both"/>
        <w:rPr>
          <w:sz w:val="36"/>
        </w:rPr>
      </w:pPr>
    </w:p>
    <w:p w:rsidR="001E3D30" w:rsidRDefault="001E3D30" w:rsidP="00DF0224">
      <w:pPr>
        <w:tabs>
          <w:tab w:val="left" w:pos="8684"/>
        </w:tabs>
        <w:ind w:firstLine="567"/>
        <w:jc w:val="both"/>
        <w:rPr>
          <w:sz w:val="36"/>
        </w:rPr>
      </w:pPr>
    </w:p>
    <w:p w:rsidR="001E3D30" w:rsidRDefault="001E3D30" w:rsidP="00DF0224">
      <w:pPr>
        <w:tabs>
          <w:tab w:val="left" w:pos="8684"/>
        </w:tabs>
        <w:ind w:firstLine="567"/>
        <w:jc w:val="both"/>
        <w:rPr>
          <w:sz w:val="36"/>
        </w:rPr>
      </w:pPr>
    </w:p>
    <w:p w:rsidR="001E3D30" w:rsidRDefault="001E3D30" w:rsidP="00DF0224">
      <w:pPr>
        <w:tabs>
          <w:tab w:val="left" w:pos="8684"/>
        </w:tabs>
        <w:ind w:firstLine="567"/>
        <w:jc w:val="both"/>
        <w:rPr>
          <w:sz w:val="36"/>
        </w:rPr>
      </w:pPr>
    </w:p>
    <w:p w:rsidR="008164E4" w:rsidRDefault="001E3D30" w:rsidP="00DF0224">
      <w:pPr>
        <w:tabs>
          <w:tab w:val="left" w:pos="8684"/>
        </w:tabs>
        <w:ind w:firstLine="567"/>
        <w:jc w:val="both"/>
        <w:rPr>
          <w:sz w:val="36"/>
        </w:rPr>
      </w:pPr>
      <w:r>
        <w:rPr>
          <w:sz w:val="36"/>
        </w:rPr>
        <w:lastRenderedPageBreak/>
        <w:t xml:space="preserve">                                                                               </w:t>
      </w:r>
      <w:r w:rsidR="00DF0224">
        <w:rPr>
          <w:sz w:val="36"/>
        </w:rPr>
        <w:t xml:space="preserve">  </w:t>
      </w:r>
    </w:p>
    <w:p w:rsidR="00347BC7" w:rsidRPr="00444016" w:rsidRDefault="008164E4" w:rsidP="00DF0224">
      <w:pPr>
        <w:tabs>
          <w:tab w:val="left" w:pos="8684"/>
        </w:tabs>
        <w:ind w:firstLine="567"/>
        <w:jc w:val="both"/>
        <w:rPr>
          <w:sz w:val="36"/>
        </w:rPr>
      </w:pPr>
      <w:r>
        <w:rPr>
          <w:sz w:val="36"/>
        </w:rPr>
        <w:t xml:space="preserve">                                                                                    </w:t>
      </w:r>
      <w:r w:rsidR="00DF0224">
        <w:rPr>
          <w:sz w:val="28"/>
          <w:szCs w:val="28"/>
        </w:rPr>
        <w:t>Діаграма № 3</w:t>
      </w:r>
    </w:p>
    <w:p w:rsidR="00347BC7" w:rsidRDefault="00AA5AF7" w:rsidP="00347BC7">
      <w:pPr>
        <w:ind w:firstLine="567"/>
        <w:jc w:val="both"/>
        <w:rPr>
          <w:sz w:val="28"/>
          <w:szCs w:val="28"/>
        </w:rPr>
      </w:pPr>
      <w:r>
        <w:rPr>
          <w:noProof/>
          <w:sz w:val="28"/>
          <w:szCs w:val="28"/>
          <w:u w:val="single"/>
        </w:rPr>
        <w:drawing>
          <wp:inline distT="0" distB="0" distL="0" distR="0">
            <wp:extent cx="5765292" cy="3130804"/>
            <wp:effectExtent l="12192" t="6096" r="4191" b="0"/>
            <wp:docPr id="4"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7BC7" w:rsidRDefault="00347BC7" w:rsidP="00347BC7">
      <w:pPr>
        <w:ind w:firstLine="567"/>
        <w:jc w:val="both"/>
        <w:rPr>
          <w:sz w:val="28"/>
          <w:szCs w:val="28"/>
        </w:rPr>
      </w:pPr>
    </w:p>
    <w:p w:rsidR="00347BC7" w:rsidRDefault="00347BC7" w:rsidP="00347BC7">
      <w:pPr>
        <w:ind w:firstLine="567"/>
        <w:jc w:val="center"/>
      </w:pPr>
    </w:p>
    <w:p w:rsidR="001349E5" w:rsidRPr="003A7D42" w:rsidRDefault="001349E5" w:rsidP="001349E5">
      <w:pPr>
        <w:ind w:firstLine="567"/>
        <w:jc w:val="both"/>
        <w:rPr>
          <w:sz w:val="28"/>
          <w:szCs w:val="28"/>
        </w:rPr>
      </w:pPr>
      <w:r>
        <w:rPr>
          <w:sz w:val="28"/>
          <w:szCs w:val="28"/>
        </w:rPr>
        <w:t>Ф</w:t>
      </w:r>
      <w:r w:rsidRPr="003A7D42">
        <w:rPr>
          <w:sz w:val="28"/>
          <w:szCs w:val="28"/>
        </w:rPr>
        <w:t>інансову та бюджетну звітність Міжрегіонального управління</w:t>
      </w:r>
      <w:r w:rsidRPr="003A7D42">
        <w:rPr>
          <w:sz w:val="28"/>
          <w:szCs w:val="28"/>
          <w:lang w:eastAsia="en-US"/>
        </w:rPr>
        <w:t xml:space="preserve"> </w:t>
      </w:r>
      <w:r w:rsidRPr="003A7D42">
        <w:rPr>
          <w:sz w:val="28"/>
          <w:szCs w:val="28"/>
        </w:rPr>
        <w:t>про виконання кошторису за бюджетними програмами за 202</w:t>
      </w:r>
      <w:r>
        <w:rPr>
          <w:sz w:val="28"/>
          <w:szCs w:val="28"/>
        </w:rPr>
        <w:t>2</w:t>
      </w:r>
      <w:r w:rsidRPr="003A7D42">
        <w:rPr>
          <w:sz w:val="28"/>
          <w:szCs w:val="28"/>
        </w:rPr>
        <w:t xml:space="preserve"> подано до органів ДКСУ та ДПС</w:t>
      </w:r>
      <w:r>
        <w:rPr>
          <w:sz w:val="28"/>
          <w:szCs w:val="28"/>
        </w:rPr>
        <w:t xml:space="preserve"> </w:t>
      </w:r>
      <w:r w:rsidRPr="003A7D42">
        <w:rPr>
          <w:sz w:val="28"/>
          <w:szCs w:val="28"/>
        </w:rPr>
        <w:t>У</w:t>
      </w:r>
      <w:r>
        <w:rPr>
          <w:sz w:val="28"/>
          <w:szCs w:val="28"/>
        </w:rPr>
        <w:t>країни</w:t>
      </w:r>
      <w:r w:rsidRPr="003A7D42">
        <w:rPr>
          <w:sz w:val="28"/>
          <w:szCs w:val="28"/>
        </w:rPr>
        <w:t>.</w:t>
      </w:r>
    </w:p>
    <w:p w:rsidR="00A72DE3" w:rsidRPr="009B1F4E" w:rsidRDefault="007213DB" w:rsidP="00A72DE3">
      <w:pPr>
        <w:ind w:firstLine="567"/>
        <w:jc w:val="both"/>
        <w:rPr>
          <w:sz w:val="28"/>
          <w:szCs w:val="28"/>
        </w:rPr>
      </w:pPr>
      <w:r>
        <w:rPr>
          <w:sz w:val="28"/>
          <w:szCs w:val="28"/>
        </w:rPr>
        <w:t>Про</w:t>
      </w:r>
      <w:r w:rsidR="00A72DE3">
        <w:rPr>
          <w:sz w:val="28"/>
          <w:szCs w:val="28"/>
        </w:rPr>
        <w:t>т</w:t>
      </w:r>
      <w:r>
        <w:rPr>
          <w:sz w:val="28"/>
          <w:szCs w:val="28"/>
        </w:rPr>
        <w:t>я</w:t>
      </w:r>
      <w:r w:rsidR="00A72DE3">
        <w:rPr>
          <w:sz w:val="28"/>
          <w:szCs w:val="28"/>
        </w:rPr>
        <w:t xml:space="preserve">гом </w:t>
      </w:r>
      <w:r w:rsidR="00A72DE3" w:rsidRPr="009B1F4E">
        <w:rPr>
          <w:sz w:val="28"/>
          <w:szCs w:val="28"/>
        </w:rPr>
        <w:t>2022 р</w:t>
      </w:r>
      <w:r w:rsidR="00A72DE3">
        <w:rPr>
          <w:sz w:val="28"/>
          <w:szCs w:val="28"/>
        </w:rPr>
        <w:t>о</w:t>
      </w:r>
      <w:r w:rsidR="00A72DE3" w:rsidRPr="009B1F4E">
        <w:rPr>
          <w:sz w:val="28"/>
          <w:szCs w:val="28"/>
        </w:rPr>
        <w:t>к</w:t>
      </w:r>
      <w:r w:rsidR="00A72DE3">
        <w:rPr>
          <w:sz w:val="28"/>
          <w:szCs w:val="28"/>
        </w:rPr>
        <w:t>у</w:t>
      </w:r>
      <w:r w:rsidR="00A72DE3" w:rsidRPr="009B1F4E">
        <w:rPr>
          <w:sz w:val="28"/>
          <w:szCs w:val="28"/>
        </w:rPr>
        <w:t xml:space="preserve"> укладено 11 договорів про закупівлю товарів та послуг.</w:t>
      </w:r>
    </w:p>
    <w:p w:rsidR="00A72DE3" w:rsidRPr="009B1F4E" w:rsidRDefault="00A72DE3" w:rsidP="00A72DE3">
      <w:pPr>
        <w:ind w:firstLine="567"/>
        <w:jc w:val="both"/>
        <w:rPr>
          <w:sz w:val="28"/>
          <w:szCs w:val="28"/>
        </w:rPr>
      </w:pPr>
      <w:r w:rsidRPr="009B1F4E">
        <w:rPr>
          <w:sz w:val="28"/>
          <w:szCs w:val="28"/>
        </w:rPr>
        <w:t xml:space="preserve">Відповідно до наказу </w:t>
      </w:r>
      <w:r w:rsidR="00D162EF">
        <w:rPr>
          <w:sz w:val="28"/>
          <w:szCs w:val="28"/>
        </w:rPr>
        <w:t>М</w:t>
      </w:r>
      <w:r w:rsidRPr="009B1F4E">
        <w:rPr>
          <w:sz w:val="28"/>
          <w:szCs w:val="28"/>
        </w:rPr>
        <w:t xml:space="preserve">іжрегіонального управління від 25.10.2022 № 193 </w:t>
      </w:r>
      <w:r w:rsidRPr="009B1F4E">
        <w:rPr>
          <w:sz w:val="28"/>
          <w:szCs w:val="28"/>
          <w:lang w:val="en-US"/>
        </w:rPr>
        <w:t>“</w:t>
      </w:r>
      <w:r w:rsidRPr="009B1F4E">
        <w:rPr>
          <w:sz w:val="28"/>
          <w:szCs w:val="28"/>
        </w:rPr>
        <w:t>Про проведення інвентаризації</w:t>
      </w:r>
      <w:r w:rsidRPr="009B1F4E">
        <w:rPr>
          <w:sz w:val="28"/>
          <w:szCs w:val="28"/>
          <w:lang w:val="en-US"/>
        </w:rPr>
        <w:t>”</w:t>
      </w:r>
      <w:r w:rsidRPr="009B1F4E">
        <w:rPr>
          <w:sz w:val="28"/>
          <w:szCs w:val="28"/>
        </w:rPr>
        <w:t xml:space="preserve"> проведено річну інвентаризацію товарно-матеріальних цінностей, основних засобів, необоротніх активів.</w:t>
      </w:r>
    </w:p>
    <w:p w:rsidR="00A72DE3" w:rsidRDefault="00A72DE3" w:rsidP="00A72DE3">
      <w:pPr>
        <w:ind w:firstLine="567"/>
        <w:jc w:val="both"/>
        <w:rPr>
          <w:sz w:val="28"/>
          <w:szCs w:val="28"/>
        </w:rPr>
      </w:pPr>
      <w:r w:rsidRPr="009B1F4E">
        <w:rPr>
          <w:sz w:val="28"/>
          <w:szCs w:val="28"/>
        </w:rPr>
        <w:t>Надано</w:t>
      </w:r>
      <w:r w:rsidRPr="009B1F4E">
        <w:rPr>
          <w:sz w:val="28"/>
          <w:szCs w:val="28"/>
          <w:lang w:val="en-US"/>
        </w:rPr>
        <w:t xml:space="preserve"> </w:t>
      </w:r>
      <w:r w:rsidRPr="009B1F4E">
        <w:rPr>
          <w:sz w:val="28"/>
          <w:szCs w:val="28"/>
        </w:rPr>
        <w:t>пропозиції до ДПС щодо бронювання військовозобов</w:t>
      </w:r>
      <w:r w:rsidRPr="009B1F4E">
        <w:rPr>
          <w:sz w:val="28"/>
          <w:szCs w:val="28"/>
          <w:lang w:val="en-US"/>
        </w:rPr>
        <w:t>’</w:t>
      </w:r>
      <w:r w:rsidRPr="009B1F4E">
        <w:rPr>
          <w:sz w:val="28"/>
          <w:szCs w:val="28"/>
        </w:rPr>
        <w:t>язаних</w:t>
      </w:r>
      <w:r w:rsidR="00D162EF">
        <w:rPr>
          <w:sz w:val="28"/>
          <w:szCs w:val="28"/>
        </w:rPr>
        <w:t>,</w:t>
      </w:r>
      <w:r w:rsidRPr="009B1F4E">
        <w:rPr>
          <w:sz w:val="28"/>
          <w:szCs w:val="28"/>
        </w:rPr>
        <w:t xml:space="preserve"> яким надається відстрочка від призову на військову службу під час мобілізації та на воєнний час.</w:t>
      </w:r>
    </w:p>
    <w:p w:rsidR="00A72DE3" w:rsidRDefault="00A72DE3" w:rsidP="00A72DE3">
      <w:pPr>
        <w:ind w:firstLine="567"/>
        <w:jc w:val="both"/>
        <w:rPr>
          <w:sz w:val="28"/>
          <w:szCs w:val="28"/>
        </w:rPr>
      </w:pPr>
    </w:p>
    <w:p w:rsidR="00CB403D" w:rsidRDefault="00CB403D" w:rsidP="009D0CBE">
      <w:pPr>
        <w:ind w:left="-108" w:right="34"/>
        <w:jc w:val="center"/>
        <w:rPr>
          <w:b/>
        </w:rPr>
      </w:pPr>
    </w:p>
    <w:p w:rsidR="009D0CBE" w:rsidRPr="00CB403D" w:rsidRDefault="009D0CBE" w:rsidP="009D0CBE">
      <w:pPr>
        <w:ind w:left="-108" w:right="34"/>
        <w:jc w:val="center"/>
        <w:rPr>
          <w:b/>
          <w:sz w:val="28"/>
          <w:szCs w:val="28"/>
        </w:rPr>
      </w:pPr>
      <w:r w:rsidRPr="00CB403D">
        <w:rPr>
          <w:b/>
          <w:sz w:val="28"/>
          <w:szCs w:val="28"/>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p w:rsidR="00AD6789" w:rsidRDefault="00AD6789" w:rsidP="009D0CBE">
      <w:pPr>
        <w:ind w:left="-108" w:right="34"/>
        <w:jc w:val="center"/>
        <w:rPr>
          <w:b/>
        </w:rPr>
      </w:pPr>
    </w:p>
    <w:p w:rsidR="00CB403D" w:rsidRDefault="00CB403D" w:rsidP="009D0CBE">
      <w:pPr>
        <w:ind w:left="-108" w:right="34"/>
        <w:jc w:val="center"/>
        <w:rPr>
          <w:b/>
        </w:rPr>
      </w:pPr>
    </w:p>
    <w:p w:rsidR="007213DB" w:rsidRPr="007213DB" w:rsidRDefault="007213DB" w:rsidP="00D27FA5">
      <w:pPr>
        <w:spacing w:after="120"/>
        <w:ind w:left="-28" w:right="34" w:firstLine="595"/>
        <w:jc w:val="both"/>
        <w:rPr>
          <w:sz w:val="28"/>
          <w:szCs w:val="28"/>
        </w:rPr>
      </w:pPr>
      <w:r>
        <w:rPr>
          <w:sz w:val="28"/>
          <w:szCs w:val="28"/>
        </w:rPr>
        <w:t xml:space="preserve">Протягом </w:t>
      </w:r>
      <w:r w:rsidRPr="009B1F4E">
        <w:rPr>
          <w:sz w:val="28"/>
          <w:szCs w:val="28"/>
        </w:rPr>
        <w:t>2022 р</w:t>
      </w:r>
      <w:r>
        <w:rPr>
          <w:sz w:val="28"/>
          <w:szCs w:val="28"/>
        </w:rPr>
        <w:t>о</w:t>
      </w:r>
      <w:r w:rsidRPr="009B1F4E">
        <w:rPr>
          <w:sz w:val="28"/>
          <w:szCs w:val="28"/>
        </w:rPr>
        <w:t>к</w:t>
      </w:r>
      <w:r>
        <w:rPr>
          <w:sz w:val="28"/>
          <w:szCs w:val="28"/>
        </w:rPr>
        <w:t>у</w:t>
      </w:r>
      <w:r w:rsidRPr="009B1F4E">
        <w:rPr>
          <w:sz w:val="28"/>
          <w:szCs w:val="28"/>
        </w:rPr>
        <w:t xml:space="preserve"> </w:t>
      </w:r>
      <w:r>
        <w:rPr>
          <w:sz w:val="28"/>
          <w:szCs w:val="28"/>
        </w:rPr>
        <w:t>п</w:t>
      </w:r>
      <w:r w:rsidRPr="007213DB">
        <w:rPr>
          <w:sz w:val="28"/>
          <w:szCs w:val="28"/>
        </w:rPr>
        <w:t xml:space="preserve">ереінстальовано та </w:t>
      </w:r>
      <w:r w:rsidRPr="007213DB">
        <w:rPr>
          <w:sz w:val="28"/>
          <w:szCs w:val="28"/>
          <w:lang w:val="ru-RU"/>
        </w:rPr>
        <w:t>перепідключено</w:t>
      </w:r>
      <w:r w:rsidRPr="007213DB">
        <w:rPr>
          <w:sz w:val="28"/>
          <w:szCs w:val="28"/>
        </w:rPr>
        <w:t xml:space="preserve"> до ЛОМ </w:t>
      </w:r>
      <w:r w:rsidRPr="007213DB">
        <w:rPr>
          <w:sz w:val="28"/>
          <w:szCs w:val="28"/>
          <w:lang w:val="ru-RU"/>
        </w:rPr>
        <w:t>39</w:t>
      </w:r>
      <w:r w:rsidRPr="007213DB">
        <w:rPr>
          <w:sz w:val="28"/>
          <w:szCs w:val="28"/>
        </w:rPr>
        <w:t xml:space="preserve"> комп’ютерів. Забезпечено функціонування комунікаційних та мережевих сервісів </w:t>
      </w:r>
      <w:r w:rsidR="002A07C2">
        <w:rPr>
          <w:sz w:val="28"/>
          <w:szCs w:val="28"/>
        </w:rPr>
        <w:t>Міжрегіонального управління</w:t>
      </w:r>
      <w:r w:rsidRPr="007213DB">
        <w:rPr>
          <w:sz w:val="28"/>
          <w:szCs w:val="28"/>
        </w:rPr>
        <w:t>.</w:t>
      </w:r>
    </w:p>
    <w:p w:rsidR="009D0CBE" w:rsidRPr="007213DB" w:rsidRDefault="007213DB" w:rsidP="00D27FA5">
      <w:pPr>
        <w:spacing w:after="120"/>
        <w:ind w:firstLine="595"/>
        <w:jc w:val="both"/>
        <w:outlineLvl w:val="0"/>
        <w:rPr>
          <w:b/>
          <w:bCs/>
          <w:color w:val="000000"/>
          <w:sz w:val="28"/>
          <w:szCs w:val="28"/>
        </w:rPr>
      </w:pPr>
      <w:r w:rsidRPr="007213DB">
        <w:rPr>
          <w:sz w:val="28"/>
          <w:szCs w:val="28"/>
        </w:rPr>
        <w:t xml:space="preserve">Підтримувались в актуальному стані бази даних </w:t>
      </w:r>
      <w:r w:rsidR="00515F53">
        <w:rPr>
          <w:sz w:val="28"/>
          <w:szCs w:val="28"/>
        </w:rPr>
        <w:t>М</w:t>
      </w:r>
      <w:r w:rsidR="00515F53" w:rsidRPr="009B1F4E">
        <w:rPr>
          <w:sz w:val="28"/>
          <w:szCs w:val="28"/>
        </w:rPr>
        <w:t xml:space="preserve">іжрегіонального управління </w:t>
      </w:r>
      <w:r w:rsidRPr="007213DB">
        <w:rPr>
          <w:sz w:val="28"/>
          <w:szCs w:val="28"/>
        </w:rPr>
        <w:t>(звітність, єдиний реєстр податкових накладних, дані митниці, тощо).</w:t>
      </w:r>
    </w:p>
    <w:p w:rsidR="009D0CBE" w:rsidRPr="007213DB" w:rsidRDefault="007213DB" w:rsidP="007213DB">
      <w:pPr>
        <w:ind w:firstLine="595"/>
        <w:jc w:val="both"/>
        <w:outlineLvl w:val="0"/>
        <w:rPr>
          <w:sz w:val="28"/>
          <w:szCs w:val="28"/>
        </w:rPr>
      </w:pPr>
      <w:r w:rsidRPr="007213DB">
        <w:rPr>
          <w:sz w:val="28"/>
          <w:szCs w:val="28"/>
        </w:rPr>
        <w:t xml:space="preserve">Надані відповідні ролі для роботи з ІТС «Податковий блок» </w:t>
      </w:r>
      <w:r w:rsidRPr="007213DB">
        <w:rPr>
          <w:sz w:val="28"/>
          <w:szCs w:val="28"/>
          <w:lang w:val="ru-RU"/>
        </w:rPr>
        <w:t>206</w:t>
      </w:r>
      <w:r w:rsidRPr="007213DB">
        <w:rPr>
          <w:sz w:val="28"/>
          <w:szCs w:val="28"/>
        </w:rPr>
        <w:t xml:space="preserve"> користувачам. Забезпечено функціонування АС «Адміністратор системи».</w:t>
      </w:r>
    </w:p>
    <w:p w:rsidR="007213DB" w:rsidRPr="007213DB" w:rsidRDefault="007213DB" w:rsidP="007213DB">
      <w:pPr>
        <w:ind w:left="-28" w:right="34" w:firstLine="595"/>
        <w:jc w:val="both"/>
        <w:rPr>
          <w:sz w:val="28"/>
          <w:szCs w:val="28"/>
        </w:rPr>
      </w:pPr>
      <w:r w:rsidRPr="007213DB">
        <w:rPr>
          <w:sz w:val="28"/>
          <w:szCs w:val="28"/>
        </w:rPr>
        <w:lastRenderedPageBreak/>
        <w:t>Щотижнево проводилась вибірка непрокамераленої звітності. Щоміся</w:t>
      </w:r>
      <w:r w:rsidR="00515F53">
        <w:rPr>
          <w:sz w:val="28"/>
          <w:szCs w:val="28"/>
        </w:rPr>
        <w:t>ця</w:t>
      </w:r>
      <w:r w:rsidRPr="007213DB">
        <w:rPr>
          <w:sz w:val="28"/>
          <w:szCs w:val="28"/>
        </w:rPr>
        <w:t xml:space="preserve"> проводилась вибірка ПЗ,ПК, </w:t>
      </w:r>
      <w:r w:rsidRPr="007213DB">
        <w:rPr>
          <w:sz w:val="28"/>
          <w:szCs w:val="28"/>
          <w:lang w:val="en-US"/>
        </w:rPr>
        <w:t>c</w:t>
      </w:r>
      <w:r w:rsidRPr="007213DB">
        <w:rPr>
          <w:sz w:val="28"/>
          <w:szCs w:val="28"/>
        </w:rPr>
        <w:t>плата митним органам та інші вибірки на запити структурних підрозділів</w:t>
      </w:r>
      <w:r w:rsidR="00515F53">
        <w:rPr>
          <w:sz w:val="28"/>
          <w:szCs w:val="28"/>
        </w:rPr>
        <w:t xml:space="preserve"> М</w:t>
      </w:r>
      <w:r w:rsidR="00515F53" w:rsidRPr="009B1F4E">
        <w:rPr>
          <w:sz w:val="28"/>
          <w:szCs w:val="28"/>
        </w:rPr>
        <w:t>іжрегіонального управління</w:t>
      </w:r>
      <w:r w:rsidRPr="007213DB">
        <w:rPr>
          <w:sz w:val="28"/>
          <w:szCs w:val="28"/>
        </w:rPr>
        <w:t>.</w:t>
      </w:r>
    </w:p>
    <w:p w:rsidR="007213DB" w:rsidRDefault="007213DB" w:rsidP="007213DB">
      <w:pPr>
        <w:ind w:firstLine="595"/>
        <w:jc w:val="both"/>
        <w:outlineLvl w:val="0"/>
        <w:rPr>
          <w:bCs/>
          <w:color w:val="000000"/>
          <w:sz w:val="28"/>
          <w:szCs w:val="28"/>
        </w:rPr>
      </w:pPr>
    </w:p>
    <w:p w:rsidR="006E47DA" w:rsidRDefault="006E47DA" w:rsidP="006E47DA">
      <w:pPr>
        <w:ind w:firstLine="567"/>
        <w:jc w:val="both"/>
        <w:rPr>
          <w:sz w:val="28"/>
          <w:szCs w:val="28"/>
        </w:rPr>
      </w:pPr>
      <w:r>
        <w:rPr>
          <w:sz w:val="28"/>
          <w:szCs w:val="28"/>
        </w:rPr>
        <w:t>Забезпечено п</w:t>
      </w:r>
      <w:r w:rsidRPr="00604DBA">
        <w:rPr>
          <w:sz w:val="28"/>
          <w:szCs w:val="28"/>
        </w:rPr>
        <w:t>роведення заходів, направлених на забезпечення охорони державної таємниці, дотримання порядку допуску та доступу до матеріальних носіїв секретної інформації під час проведення усіх видів робіт</w:t>
      </w:r>
      <w:r>
        <w:rPr>
          <w:sz w:val="28"/>
          <w:szCs w:val="28"/>
        </w:rPr>
        <w:t>:</w:t>
      </w:r>
    </w:p>
    <w:p w:rsidR="006E47DA" w:rsidRPr="00042637" w:rsidRDefault="00DC65A5" w:rsidP="00DC65A5">
      <w:pPr>
        <w:ind w:right="34"/>
        <w:jc w:val="both"/>
        <w:rPr>
          <w:sz w:val="28"/>
          <w:szCs w:val="28"/>
        </w:rPr>
      </w:pPr>
      <w:r>
        <w:rPr>
          <w:sz w:val="28"/>
          <w:szCs w:val="28"/>
        </w:rPr>
        <w:t xml:space="preserve">        </w:t>
      </w:r>
      <w:r w:rsidR="006E47DA" w:rsidRPr="00042637">
        <w:rPr>
          <w:sz w:val="28"/>
          <w:szCs w:val="28"/>
        </w:rPr>
        <w:t>перевірк</w:t>
      </w:r>
      <w:r w:rsidR="00952416">
        <w:rPr>
          <w:sz w:val="28"/>
          <w:szCs w:val="28"/>
        </w:rPr>
        <w:t>а</w:t>
      </w:r>
      <w:r w:rsidR="006E47DA" w:rsidRPr="00042637">
        <w:rPr>
          <w:sz w:val="28"/>
          <w:szCs w:val="28"/>
        </w:rPr>
        <w:t xml:space="preserve"> стану режиму секретності; </w:t>
      </w:r>
    </w:p>
    <w:p w:rsidR="006E47DA" w:rsidRPr="00042637" w:rsidRDefault="00DC65A5" w:rsidP="00DC65A5">
      <w:pPr>
        <w:ind w:right="34"/>
        <w:jc w:val="both"/>
        <w:rPr>
          <w:sz w:val="28"/>
          <w:szCs w:val="28"/>
        </w:rPr>
      </w:pPr>
      <w:r>
        <w:rPr>
          <w:sz w:val="28"/>
          <w:szCs w:val="28"/>
        </w:rPr>
        <w:t xml:space="preserve">        </w:t>
      </w:r>
      <w:r w:rsidR="006E47DA" w:rsidRPr="00042637">
        <w:rPr>
          <w:sz w:val="28"/>
          <w:szCs w:val="28"/>
        </w:rPr>
        <w:t>загальн</w:t>
      </w:r>
      <w:r w:rsidR="00997E67">
        <w:rPr>
          <w:sz w:val="28"/>
          <w:szCs w:val="28"/>
        </w:rPr>
        <w:t>а</w:t>
      </w:r>
      <w:r w:rsidR="006E47DA" w:rsidRPr="00042637">
        <w:rPr>
          <w:sz w:val="28"/>
          <w:szCs w:val="28"/>
        </w:rPr>
        <w:t xml:space="preserve"> перевірк</w:t>
      </w:r>
      <w:r w:rsidR="00997E67">
        <w:rPr>
          <w:sz w:val="28"/>
          <w:szCs w:val="28"/>
        </w:rPr>
        <w:t>а</w:t>
      </w:r>
      <w:r w:rsidR="006E47DA" w:rsidRPr="00042637">
        <w:rPr>
          <w:sz w:val="28"/>
          <w:szCs w:val="28"/>
        </w:rPr>
        <w:t xml:space="preserve"> наявності матеріальних носіїв секретної інформації;</w:t>
      </w:r>
    </w:p>
    <w:p w:rsidR="00DC65A5" w:rsidRDefault="00DC65A5" w:rsidP="00DC65A5">
      <w:pPr>
        <w:ind w:firstLine="567"/>
        <w:jc w:val="both"/>
        <w:rPr>
          <w:sz w:val="28"/>
          <w:szCs w:val="28"/>
        </w:rPr>
      </w:pPr>
      <w:r>
        <w:rPr>
          <w:sz w:val="28"/>
          <w:szCs w:val="28"/>
        </w:rPr>
        <w:t>в</w:t>
      </w:r>
      <w:r w:rsidR="006E47DA" w:rsidRPr="00042637">
        <w:rPr>
          <w:sz w:val="28"/>
          <w:szCs w:val="28"/>
        </w:rPr>
        <w:t>ідпрац</w:t>
      </w:r>
      <w:r>
        <w:rPr>
          <w:sz w:val="28"/>
          <w:szCs w:val="28"/>
        </w:rPr>
        <w:t>ювання</w:t>
      </w:r>
      <w:r w:rsidR="006E47DA" w:rsidRPr="00042637">
        <w:rPr>
          <w:sz w:val="28"/>
          <w:szCs w:val="28"/>
        </w:rPr>
        <w:t xml:space="preserve"> План</w:t>
      </w:r>
      <w:r>
        <w:rPr>
          <w:sz w:val="28"/>
          <w:szCs w:val="28"/>
        </w:rPr>
        <w:t>у</w:t>
      </w:r>
      <w:r w:rsidR="006E47DA" w:rsidRPr="00042637">
        <w:rPr>
          <w:sz w:val="28"/>
          <w:szCs w:val="28"/>
        </w:rPr>
        <w:t xml:space="preserve"> основних заходів та першочергових робіт з охорони державної таємниці</w:t>
      </w:r>
      <w:r>
        <w:rPr>
          <w:sz w:val="28"/>
          <w:szCs w:val="28"/>
        </w:rPr>
        <w:t>;</w:t>
      </w:r>
      <w:r w:rsidR="006E47DA" w:rsidRPr="00042637">
        <w:rPr>
          <w:sz w:val="28"/>
          <w:szCs w:val="28"/>
        </w:rPr>
        <w:t xml:space="preserve"> </w:t>
      </w:r>
    </w:p>
    <w:p w:rsidR="00445E1E" w:rsidRDefault="00445E1E" w:rsidP="00445E1E">
      <w:pPr>
        <w:ind w:firstLine="567"/>
        <w:jc w:val="both"/>
        <w:rPr>
          <w:sz w:val="28"/>
          <w:szCs w:val="28"/>
        </w:rPr>
      </w:pPr>
      <w:r>
        <w:rPr>
          <w:sz w:val="28"/>
          <w:szCs w:val="28"/>
        </w:rPr>
        <w:t>розроблення</w:t>
      </w:r>
      <w:r w:rsidR="006E47DA" w:rsidRPr="00042637">
        <w:rPr>
          <w:sz w:val="28"/>
          <w:szCs w:val="28"/>
        </w:rPr>
        <w:t xml:space="preserve"> акт</w:t>
      </w:r>
      <w:r>
        <w:rPr>
          <w:sz w:val="28"/>
          <w:szCs w:val="28"/>
        </w:rPr>
        <w:t>у</w:t>
      </w:r>
      <w:r w:rsidR="006E47DA" w:rsidRPr="00042637">
        <w:rPr>
          <w:sz w:val="28"/>
          <w:szCs w:val="28"/>
        </w:rPr>
        <w:t xml:space="preserve"> придатності приміщення для проведення в ньому конкретних видів секретних робіт</w:t>
      </w:r>
      <w:r>
        <w:rPr>
          <w:sz w:val="28"/>
          <w:szCs w:val="28"/>
        </w:rPr>
        <w:t>;</w:t>
      </w:r>
      <w:r w:rsidR="006E47DA" w:rsidRPr="00042637">
        <w:rPr>
          <w:sz w:val="28"/>
          <w:szCs w:val="28"/>
        </w:rPr>
        <w:t xml:space="preserve"> </w:t>
      </w:r>
    </w:p>
    <w:p w:rsidR="00F93DE7" w:rsidRDefault="00445E1E" w:rsidP="00445E1E">
      <w:pPr>
        <w:ind w:firstLine="567"/>
        <w:jc w:val="both"/>
        <w:rPr>
          <w:sz w:val="28"/>
          <w:szCs w:val="28"/>
        </w:rPr>
      </w:pPr>
      <w:r>
        <w:rPr>
          <w:sz w:val="28"/>
          <w:szCs w:val="28"/>
        </w:rPr>
        <w:t>з</w:t>
      </w:r>
      <w:r w:rsidR="006E47DA" w:rsidRPr="00042637">
        <w:rPr>
          <w:sz w:val="28"/>
          <w:szCs w:val="28"/>
        </w:rPr>
        <w:t>аключен</w:t>
      </w:r>
      <w:r>
        <w:rPr>
          <w:sz w:val="28"/>
          <w:szCs w:val="28"/>
        </w:rPr>
        <w:t>ня</w:t>
      </w:r>
      <w:r w:rsidR="006E47DA" w:rsidRPr="00042637">
        <w:rPr>
          <w:sz w:val="28"/>
          <w:szCs w:val="28"/>
        </w:rPr>
        <w:t xml:space="preserve"> договор</w:t>
      </w:r>
      <w:r>
        <w:rPr>
          <w:sz w:val="28"/>
          <w:szCs w:val="28"/>
        </w:rPr>
        <w:t>ів</w:t>
      </w:r>
      <w:r w:rsidR="006E47DA" w:rsidRPr="00042637">
        <w:rPr>
          <w:sz w:val="28"/>
          <w:szCs w:val="28"/>
        </w:rPr>
        <w:t xml:space="preserve"> на доставку секретної та несекретної кореспонденції</w:t>
      </w:r>
      <w:r w:rsidR="00F93DE7">
        <w:rPr>
          <w:sz w:val="28"/>
          <w:szCs w:val="28"/>
        </w:rPr>
        <w:t>;</w:t>
      </w:r>
      <w:r w:rsidR="006E47DA" w:rsidRPr="00042637">
        <w:rPr>
          <w:sz w:val="28"/>
          <w:szCs w:val="28"/>
        </w:rPr>
        <w:t xml:space="preserve"> </w:t>
      </w:r>
      <w:r w:rsidR="00F93DE7">
        <w:rPr>
          <w:sz w:val="28"/>
          <w:szCs w:val="28"/>
        </w:rPr>
        <w:t xml:space="preserve">    </w:t>
      </w:r>
    </w:p>
    <w:p w:rsidR="00F93DE7" w:rsidRDefault="00F93DE7" w:rsidP="00F93DE7">
      <w:pPr>
        <w:ind w:firstLine="567"/>
        <w:jc w:val="both"/>
        <w:rPr>
          <w:sz w:val="28"/>
          <w:szCs w:val="28"/>
        </w:rPr>
      </w:pPr>
      <w:r>
        <w:rPr>
          <w:sz w:val="28"/>
          <w:szCs w:val="28"/>
        </w:rPr>
        <w:t>р</w:t>
      </w:r>
      <w:r w:rsidR="006E47DA" w:rsidRPr="00042637">
        <w:rPr>
          <w:sz w:val="28"/>
          <w:szCs w:val="28"/>
        </w:rPr>
        <w:t>озроблен</w:t>
      </w:r>
      <w:r>
        <w:rPr>
          <w:sz w:val="28"/>
          <w:szCs w:val="28"/>
        </w:rPr>
        <w:t>ня</w:t>
      </w:r>
      <w:r w:rsidR="006E47DA" w:rsidRPr="00042637">
        <w:rPr>
          <w:sz w:val="28"/>
          <w:szCs w:val="28"/>
        </w:rPr>
        <w:t xml:space="preserve"> змін до Номенклатури посад працівників </w:t>
      </w:r>
      <w:r w:rsidR="003000E0">
        <w:rPr>
          <w:sz w:val="28"/>
          <w:szCs w:val="28"/>
        </w:rPr>
        <w:t>М</w:t>
      </w:r>
      <w:r w:rsidR="006E47DA" w:rsidRPr="00042637">
        <w:rPr>
          <w:sz w:val="28"/>
          <w:szCs w:val="28"/>
        </w:rPr>
        <w:t>іжрегіонального управління, перебування на яких потребує оформлення допуску та надання доступу до державної таємниці</w:t>
      </w:r>
      <w:r>
        <w:rPr>
          <w:sz w:val="28"/>
          <w:szCs w:val="28"/>
        </w:rPr>
        <w:t>;</w:t>
      </w:r>
      <w:r w:rsidR="006E47DA" w:rsidRPr="00042637">
        <w:rPr>
          <w:sz w:val="28"/>
          <w:szCs w:val="28"/>
        </w:rPr>
        <w:t xml:space="preserve"> </w:t>
      </w:r>
    </w:p>
    <w:p w:rsidR="003000E0" w:rsidRDefault="003000E0" w:rsidP="003000E0">
      <w:pPr>
        <w:ind w:firstLine="567"/>
        <w:jc w:val="both"/>
        <w:rPr>
          <w:sz w:val="28"/>
          <w:szCs w:val="28"/>
        </w:rPr>
      </w:pPr>
      <w:r>
        <w:rPr>
          <w:sz w:val="28"/>
          <w:szCs w:val="28"/>
        </w:rPr>
        <w:t>р</w:t>
      </w:r>
      <w:r w:rsidR="006E47DA" w:rsidRPr="00042637">
        <w:rPr>
          <w:sz w:val="28"/>
          <w:szCs w:val="28"/>
        </w:rPr>
        <w:t>озроблен</w:t>
      </w:r>
      <w:r>
        <w:rPr>
          <w:sz w:val="28"/>
          <w:szCs w:val="28"/>
        </w:rPr>
        <w:t>ня</w:t>
      </w:r>
      <w:r w:rsidR="006E47DA" w:rsidRPr="00042637">
        <w:rPr>
          <w:sz w:val="28"/>
          <w:szCs w:val="28"/>
        </w:rPr>
        <w:t xml:space="preserve"> Номенклатур</w:t>
      </w:r>
      <w:r>
        <w:rPr>
          <w:sz w:val="28"/>
          <w:szCs w:val="28"/>
        </w:rPr>
        <w:t>и</w:t>
      </w:r>
      <w:r w:rsidR="006E47DA" w:rsidRPr="00042637">
        <w:rPr>
          <w:sz w:val="28"/>
          <w:szCs w:val="28"/>
        </w:rPr>
        <w:t xml:space="preserve"> секретних справ </w:t>
      </w:r>
      <w:r>
        <w:rPr>
          <w:sz w:val="28"/>
          <w:szCs w:val="28"/>
        </w:rPr>
        <w:t>М</w:t>
      </w:r>
      <w:r w:rsidR="006E47DA" w:rsidRPr="00042637">
        <w:rPr>
          <w:sz w:val="28"/>
          <w:szCs w:val="28"/>
        </w:rPr>
        <w:t>іжрегіонального управління на 2022 рік</w:t>
      </w:r>
      <w:r w:rsidR="00B373D0">
        <w:rPr>
          <w:sz w:val="28"/>
          <w:szCs w:val="28"/>
        </w:rPr>
        <w:t>.</w:t>
      </w:r>
    </w:p>
    <w:p w:rsidR="00603B30" w:rsidRDefault="006E47DA" w:rsidP="00AC1048">
      <w:pPr>
        <w:ind w:firstLine="567"/>
        <w:jc w:val="both"/>
        <w:rPr>
          <w:sz w:val="28"/>
          <w:szCs w:val="28"/>
        </w:rPr>
      </w:pPr>
      <w:r w:rsidRPr="00042637">
        <w:rPr>
          <w:sz w:val="28"/>
          <w:szCs w:val="28"/>
        </w:rPr>
        <w:t xml:space="preserve">Проведено </w:t>
      </w:r>
      <w:r w:rsidR="001345CC" w:rsidRPr="00042637">
        <w:rPr>
          <w:sz w:val="28"/>
          <w:szCs w:val="28"/>
        </w:rPr>
        <w:t xml:space="preserve">заняття </w:t>
      </w:r>
      <w:r w:rsidRPr="00042637">
        <w:rPr>
          <w:sz w:val="28"/>
          <w:szCs w:val="28"/>
        </w:rPr>
        <w:t xml:space="preserve">з працівниками </w:t>
      </w:r>
      <w:r w:rsidR="001345CC">
        <w:rPr>
          <w:sz w:val="28"/>
          <w:szCs w:val="28"/>
        </w:rPr>
        <w:t>структурних підрозділів М</w:t>
      </w:r>
      <w:r w:rsidRPr="00042637">
        <w:rPr>
          <w:sz w:val="28"/>
          <w:szCs w:val="28"/>
        </w:rPr>
        <w:t>іжрегіонального управління</w:t>
      </w:r>
      <w:r w:rsidR="001345CC">
        <w:rPr>
          <w:sz w:val="28"/>
          <w:szCs w:val="28"/>
        </w:rPr>
        <w:t>,</w:t>
      </w:r>
      <w:r w:rsidRPr="00042637">
        <w:rPr>
          <w:sz w:val="28"/>
          <w:szCs w:val="28"/>
        </w:rPr>
        <w:t xml:space="preserve"> які мають допуск </w:t>
      </w:r>
      <w:r w:rsidR="003A1EC2">
        <w:rPr>
          <w:sz w:val="28"/>
          <w:szCs w:val="28"/>
        </w:rPr>
        <w:t>та доступ до державної таємниці.</w:t>
      </w:r>
    </w:p>
    <w:p w:rsidR="00603B30" w:rsidRPr="00603B30" w:rsidRDefault="00603B30" w:rsidP="00603B30">
      <w:pPr>
        <w:rPr>
          <w:sz w:val="28"/>
          <w:szCs w:val="28"/>
        </w:rPr>
      </w:pPr>
    </w:p>
    <w:p w:rsidR="00603B30" w:rsidRPr="00603B30" w:rsidRDefault="00603B30" w:rsidP="00603B30">
      <w:pPr>
        <w:rPr>
          <w:sz w:val="28"/>
          <w:szCs w:val="28"/>
        </w:rPr>
      </w:pPr>
    </w:p>
    <w:p w:rsidR="00603B30" w:rsidRPr="00603B30" w:rsidRDefault="00603B30" w:rsidP="00603B30">
      <w:pPr>
        <w:rPr>
          <w:sz w:val="28"/>
          <w:szCs w:val="28"/>
        </w:rPr>
      </w:pPr>
    </w:p>
    <w:p w:rsidR="00603B30" w:rsidRPr="00603B30" w:rsidRDefault="00603B30" w:rsidP="00603B30">
      <w:pPr>
        <w:rPr>
          <w:sz w:val="28"/>
          <w:szCs w:val="28"/>
        </w:rPr>
      </w:pPr>
    </w:p>
    <w:p w:rsidR="00833021" w:rsidRPr="00471F5C" w:rsidRDefault="00833021" w:rsidP="00212400">
      <w:pPr>
        <w:rPr>
          <w:sz w:val="28"/>
          <w:szCs w:val="28"/>
        </w:rPr>
      </w:pPr>
      <w:r>
        <w:rPr>
          <w:sz w:val="28"/>
          <w:szCs w:val="28"/>
        </w:rPr>
        <w:t>Н</w:t>
      </w:r>
      <w:r w:rsidRPr="00471F5C">
        <w:rPr>
          <w:sz w:val="28"/>
          <w:szCs w:val="28"/>
        </w:rPr>
        <w:t>ачальник Західного</w:t>
      </w:r>
    </w:p>
    <w:p w:rsidR="00833021" w:rsidRPr="00471F5C" w:rsidRDefault="00833021" w:rsidP="00212400">
      <w:pPr>
        <w:rPr>
          <w:sz w:val="28"/>
          <w:szCs w:val="28"/>
        </w:rPr>
      </w:pPr>
      <w:r w:rsidRPr="00471F5C">
        <w:rPr>
          <w:sz w:val="28"/>
          <w:szCs w:val="28"/>
        </w:rPr>
        <w:t>міжрегіонального управління ДПС</w:t>
      </w:r>
    </w:p>
    <w:p w:rsidR="00833021" w:rsidRPr="00471F5C" w:rsidRDefault="00833021" w:rsidP="00212400">
      <w:pPr>
        <w:rPr>
          <w:sz w:val="28"/>
          <w:szCs w:val="28"/>
        </w:rPr>
      </w:pPr>
      <w:r w:rsidRPr="00471F5C">
        <w:rPr>
          <w:sz w:val="28"/>
          <w:szCs w:val="28"/>
        </w:rPr>
        <w:t>по роботі з великими платниками подат</w:t>
      </w:r>
      <w:r>
        <w:rPr>
          <w:sz w:val="28"/>
          <w:szCs w:val="28"/>
        </w:rPr>
        <w:t xml:space="preserve">ків </w:t>
      </w:r>
      <w:r w:rsidR="00212400">
        <w:rPr>
          <w:sz w:val="28"/>
          <w:szCs w:val="28"/>
        </w:rPr>
        <w:t xml:space="preserve">  </w:t>
      </w:r>
      <w:r>
        <w:rPr>
          <w:sz w:val="28"/>
          <w:szCs w:val="28"/>
        </w:rPr>
        <w:t xml:space="preserve">                            </w:t>
      </w:r>
      <w:r w:rsidRPr="00471F5C">
        <w:rPr>
          <w:sz w:val="28"/>
          <w:szCs w:val="28"/>
        </w:rPr>
        <w:t>Ірина КОРОТКОВА</w:t>
      </w:r>
    </w:p>
    <w:p w:rsidR="00603B30" w:rsidRPr="00603B30" w:rsidRDefault="00603B30" w:rsidP="00212400">
      <w:pPr>
        <w:rPr>
          <w:sz w:val="28"/>
          <w:szCs w:val="28"/>
        </w:rPr>
      </w:pPr>
    </w:p>
    <w:p w:rsidR="00603B30" w:rsidRDefault="00603B30" w:rsidP="00212400">
      <w:pPr>
        <w:rPr>
          <w:sz w:val="28"/>
          <w:szCs w:val="28"/>
        </w:rPr>
      </w:pPr>
    </w:p>
    <w:p w:rsidR="006E47DA" w:rsidRPr="00603B30" w:rsidRDefault="006E47DA" w:rsidP="00603B30">
      <w:pPr>
        <w:rPr>
          <w:sz w:val="28"/>
          <w:szCs w:val="28"/>
        </w:rPr>
      </w:pPr>
    </w:p>
    <w:sectPr w:rsidR="006E47DA" w:rsidRPr="00603B30" w:rsidSect="00E922DE">
      <w:headerReference w:type="even" r:id="rId12"/>
      <w:headerReference w:type="default" r:id="rId13"/>
      <w:pgSz w:w="11906" w:h="16838"/>
      <w:pgMar w:top="993" w:right="566"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AD0" w:rsidRDefault="00D51AD0" w:rsidP="00986DF1">
      <w:pPr>
        <w:pStyle w:val="310"/>
      </w:pPr>
      <w:r>
        <w:separator/>
      </w:r>
    </w:p>
  </w:endnote>
  <w:endnote w:type="continuationSeparator" w:id="1">
    <w:p w:rsidR="00D51AD0" w:rsidRDefault="00D51AD0" w:rsidP="00986DF1">
      <w:pPr>
        <w:pStyle w:val="3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AD0" w:rsidRDefault="00D51AD0" w:rsidP="00986DF1">
      <w:pPr>
        <w:pStyle w:val="310"/>
      </w:pPr>
      <w:r>
        <w:separator/>
      </w:r>
    </w:p>
  </w:footnote>
  <w:footnote w:type="continuationSeparator" w:id="1">
    <w:p w:rsidR="00D51AD0" w:rsidRDefault="00D51AD0" w:rsidP="00986DF1">
      <w:pPr>
        <w:pStyle w:val="3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EC" w:rsidRDefault="003A4D00" w:rsidP="00986DF1">
    <w:pPr>
      <w:pStyle w:val="a9"/>
      <w:framePr w:wrap="around" w:vAnchor="text" w:hAnchor="margin" w:xAlign="center" w:y="1"/>
      <w:rPr>
        <w:rStyle w:val="aa"/>
      </w:rPr>
    </w:pPr>
    <w:r>
      <w:rPr>
        <w:rStyle w:val="aa"/>
      </w:rPr>
      <w:fldChar w:fldCharType="begin"/>
    </w:r>
    <w:r w:rsidR="00D346EC">
      <w:rPr>
        <w:rStyle w:val="aa"/>
      </w:rPr>
      <w:instrText xml:space="preserve">PAGE  </w:instrText>
    </w:r>
    <w:r>
      <w:rPr>
        <w:rStyle w:val="aa"/>
      </w:rPr>
      <w:fldChar w:fldCharType="end"/>
    </w:r>
  </w:p>
  <w:p w:rsidR="00D346EC" w:rsidRDefault="00D346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EC" w:rsidRDefault="003A4D00" w:rsidP="00986DF1">
    <w:pPr>
      <w:pStyle w:val="a9"/>
      <w:framePr w:wrap="around" w:vAnchor="text" w:hAnchor="margin" w:xAlign="center" w:y="1"/>
      <w:rPr>
        <w:rStyle w:val="aa"/>
      </w:rPr>
    </w:pPr>
    <w:r>
      <w:rPr>
        <w:rStyle w:val="aa"/>
      </w:rPr>
      <w:fldChar w:fldCharType="begin"/>
    </w:r>
    <w:r w:rsidR="00D346EC">
      <w:rPr>
        <w:rStyle w:val="aa"/>
      </w:rPr>
      <w:instrText xml:space="preserve">PAGE  </w:instrText>
    </w:r>
    <w:r>
      <w:rPr>
        <w:rStyle w:val="aa"/>
      </w:rPr>
      <w:fldChar w:fldCharType="separate"/>
    </w:r>
    <w:r w:rsidR="00D27FA5">
      <w:rPr>
        <w:rStyle w:val="aa"/>
        <w:noProof/>
      </w:rPr>
      <w:t>17</w:t>
    </w:r>
    <w:r>
      <w:rPr>
        <w:rStyle w:val="aa"/>
      </w:rPr>
      <w:fldChar w:fldCharType="end"/>
    </w:r>
  </w:p>
  <w:p w:rsidR="00D346EC" w:rsidRDefault="00D346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244"/>
    <w:multiLevelType w:val="hybridMultilevel"/>
    <w:tmpl w:val="E488E122"/>
    <w:lvl w:ilvl="0" w:tplc="61C2ABF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733572"/>
    <w:multiLevelType w:val="hybridMultilevel"/>
    <w:tmpl w:val="DBF03600"/>
    <w:lvl w:ilvl="0" w:tplc="AEDE2946">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84F10"/>
    <w:multiLevelType w:val="hybridMultilevel"/>
    <w:tmpl w:val="86225392"/>
    <w:lvl w:ilvl="0" w:tplc="9FC00C7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EF4F08"/>
    <w:multiLevelType w:val="hybridMultilevel"/>
    <w:tmpl w:val="330014C8"/>
    <w:lvl w:ilvl="0" w:tplc="F75E740E">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A3A8C"/>
    <w:multiLevelType w:val="hybridMultilevel"/>
    <w:tmpl w:val="C1C8C1D8"/>
    <w:lvl w:ilvl="0" w:tplc="29AC2D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031FA"/>
    <w:multiLevelType w:val="hybridMultilevel"/>
    <w:tmpl w:val="03D6A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36557E"/>
    <w:multiLevelType w:val="hybridMultilevel"/>
    <w:tmpl w:val="A99667AA"/>
    <w:lvl w:ilvl="0" w:tplc="7804D33E">
      <w:start w:val="1"/>
      <w:numFmt w:val="decimal"/>
      <w:lvlText w:val="%1."/>
      <w:lvlJc w:val="left"/>
      <w:pPr>
        <w:ind w:left="332" w:hanging="360"/>
      </w:pPr>
      <w:rPr>
        <w:rFonts w:cs="Times New Roman" w:hint="default"/>
      </w:rPr>
    </w:lvl>
    <w:lvl w:ilvl="1" w:tplc="04220019" w:tentative="1">
      <w:start w:val="1"/>
      <w:numFmt w:val="lowerLetter"/>
      <w:lvlText w:val="%2."/>
      <w:lvlJc w:val="left"/>
      <w:pPr>
        <w:ind w:left="1052" w:hanging="360"/>
      </w:pPr>
      <w:rPr>
        <w:rFonts w:cs="Times New Roman"/>
      </w:rPr>
    </w:lvl>
    <w:lvl w:ilvl="2" w:tplc="0422001B" w:tentative="1">
      <w:start w:val="1"/>
      <w:numFmt w:val="lowerRoman"/>
      <w:lvlText w:val="%3."/>
      <w:lvlJc w:val="right"/>
      <w:pPr>
        <w:ind w:left="1772" w:hanging="180"/>
      </w:pPr>
      <w:rPr>
        <w:rFonts w:cs="Times New Roman"/>
      </w:rPr>
    </w:lvl>
    <w:lvl w:ilvl="3" w:tplc="0422000F" w:tentative="1">
      <w:start w:val="1"/>
      <w:numFmt w:val="decimal"/>
      <w:lvlText w:val="%4."/>
      <w:lvlJc w:val="left"/>
      <w:pPr>
        <w:ind w:left="2492" w:hanging="360"/>
      </w:pPr>
      <w:rPr>
        <w:rFonts w:cs="Times New Roman"/>
      </w:rPr>
    </w:lvl>
    <w:lvl w:ilvl="4" w:tplc="04220019" w:tentative="1">
      <w:start w:val="1"/>
      <w:numFmt w:val="lowerLetter"/>
      <w:lvlText w:val="%5."/>
      <w:lvlJc w:val="left"/>
      <w:pPr>
        <w:ind w:left="3212" w:hanging="360"/>
      </w:pPr>
      <w:rPr>
        <w:rFonts w:cs="Times New Roman"/>
      </w:rPr>
    </w:lvl>
    <w:lvl w:ilvl="5" w:tplc="0422001B" w:tentative="1">
      <w:start w:val="1"/>
      <w:numFmt w:val="lowerRoman"/>
      <w:lvlText w:val="%6."/>
      <w:lvlJc w:val="right"/>
      <w:pPr>
        <w:ind w:left="3932" w:hanging="180"/>
      </w:pPr>
      <w:rPr>
        <w:rFonts w:cs="Times New Roman"/>
      </w:rPr>
    </w:lvl>
    <w:lvl w:ilvl="6" w:tplc="0422000F" w:tentative="1">
      <w:start w:val="1"/>
      <w:numFmt w:val="decimal"/>
      <w:lvlText w:val="%7."/>
      <w:lvlJc w:val="left"/>
      <w:pPr>
        <w:ind w:left="4652" w:hanging="360"/>
      </w:pPr>
      <w:rPr>
        <w:rFonts w:cs="Times New Roman"/>
      </w:rPr>
    </w:lvl>
    <w:lvl w:ilvl="7" w:tplc="04220019" w:tentative="1">
      <w:start w:val="1"/>
      <w:numFmt w:val="lowerLetter"/>
      <w:lvlText w:val="%8."/>
      <w:lvlJc w:val="left"/>
      <w:pPr>
        <w:ind w:left="5372" w:hanging="360"/>
      </w:pPr>
      <w:rPr>
        <w:rFonts w:cs="Times New Roman"/>
      </w:rPr>
    </w:lvl>
    <w:lvl w:ilvl="8" w:tplc="0422001B" w:tentative="1">
      <w:start w:val="1"/>
      <w:numFmt w:val="lowerRoman"/>
      <w:lvlText w:val="%9."/>
      <w:lvlJc w:val="right"/>
      <w:pPr>
        <w:ind w:left="6092" w:hanging="180"/>
      </w:pPr>
      <w:rPr>
        <w:rFonts w:cs="Times New Roman"/>
      </w:rPr>
    </w:lvl>
  </w:abstractNum>
  <w:abstractNum w:abstractNumId="7">
    <w:nsid w:val="532915C1"/>
    <w:multiLevelType w:val="hybridMultilevel"/>
    <w:tmpl w:val="36908250"/>
    <w:lvl w:ilvl="0" w:tplc="6CB86BA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36F1BCE"/>
    <w:multiLevelType w:val="hybridMultilevel"/>
    <w:tmpl w:val="D3ACEB5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1F20CF"/>
    <w:multiLevelType w:val="hybridMultilevel"/>
    <w:tmpl w:val="F09C2A88"/>
    <w:lvl w:ilvl="0" w:tplc="EB166040">
      <w:numFmt w:val="bullet"/>
      <w:lvlText w:val="-"/>
      <w:lvlJc w:val="left"/>
      <w:pPr>
        <w:ind w:left="332" w:hanging="360"/>
      </w:pPr>
      <w:rPr>
        <w:rFonts w:ascii="Times New Roman" w:eastAsia="Times New Roman" w:hAnsi="Times New Roman" w:hint="default"/>
      </w:rPr>
    </w:lvl>
    <w:lvl w:ilvl="1" w:tplc="04220003" w:tentative="1">
      <w:start w:val="1"/>
      <w:numFmt w:val="bullet"/>
      <w:lvlText w:val="o"/>
      <w:lvlJc w:val="left"/>
      <w:pPr>
        <w:ind w:left="1052" w:hanging="360"/>
      </w:pPr>
      <w:rPr>
        <w:rFonts w:ascii="Courier New" w:hAnsi="Courier New" w:hint="default"/>
      </w:rPr>
    </w:lvl>
    <w:lvl w:ilvl="2" w:tplc="04220005" w:tentative="1">
      <w:start w:val="1"/>
      <w:numFmt w:val="bullet"/>
      <w:lvlText w:val=""/>
      <w:lvlJc w:val="left"/>
      <w:pPr>
        <w:ind w:left="1772" w:hanging="360"/>
      </w:pPr>
      <w:rPr>
        <w:rFonts w:ascii="Wingdings" w:hAnsi="Wingdings" w:hint="default"/>
      </w:rPr>
    </w:lvl>
    <w:lvl w:ilvl="3" w:tplc="04220001" w:tentative="1">
      <w:start w:val="1"/>
      <w:numFmt w:val="bullet"/>
      <w:lvlText w:val=""/>
      <w:lvlJc w:val="left"/>
      <w:pPr>
        <w:ind w:left="2492" w:hanging="360"/>
      </w:pPr>
      <w:rPr>
        <w:rFonts w:ascii="Symbol" w:hAnsi="Symbol" w:hint="default"/>
      </w:rPr>
    </w:lvl>
    <w:lvl w:ilvl="4" w:tplc="04220003" w:tentative="1">
      <w:start w:val="1"/>
      <w:numFmt w:val="bullet"/>
      <w:lvlText w:val="o"/>
      <w:lvlJc w:val="left"/>
      <w:pPr>
        <w:ind w:left="3212" w:hanging="360"/>
      </w:pPr>
      <w:rPr>
        <w:rFonts w:ascii="Courier New" w:hAnsi="Courier New" w:hint="default"/>
      </w:rPr>
    </w:lvl>
    <w:lvl w:ilvl="5" w:tplc="04220005" w:tentative="1">
      <w:start w:val="1"/>
      <w:numFmt w:val="bullet"/>
      <w:lvlText w:val=""/>
      <w:lvlJc w:val="left"/>
      <w:pPr>
        <w:ind w:left="3932" w:hanging="360"/>
      </w:pPr>
      <w:rPr>
        <w:rFonts w:ascii="Wingdings" w:hAnsi="Wingdings" w:hint="default"/>
      </w:rPr>
    </w:lvl>
    <w:lvl w:ilvl="6" w:tplc="04220001" w:tentative="1">
      <w:start w:val="1"/>
      <w:numFmt w:val="bullet"/>
      <w:lvlText w:val=""/>
      <w:lvlJc w:val="left"/>
      <w:pPr>
        <w:ind w:left="4652" w:hanging="360"/>
      </w:pPr>
      <w:rPr>
        <w:rFonts w:ascii="Symbol" w:hAnsi="Symbol" w:hint="default"/>
      </w:rPr>
    </w:lvl>
    <w:lvl w:ilvl="7" w:tplc="04220003" w:tentative="1">
      <w:start w:val="1"/>
      <w:numFmt w:val="bullet"/>
      <w:lvlText w:val="o"/>
      <w:lvlJc w:val="left"/>
      <w:pPr>
        <w:ind w:left="5372" w:hanging="360"/>
      </w:pPr>
      <w:rPr>
        <w:rFonts w:ascii="Courier New" w:hAnsi="Courier New" w:hint="default"/>
      </w:rPr>
    </w:lvl>
    <w:lvl w:ilvl="8" w:tplc="04220005" w:tentative="1">
      <w:start w:val="1"/>
      <w:numFmt w:val="bullet"/>
      <w:lvlText w:val=""/>
      <w:lvlJc w:val="left"/>
      <w:pPr>
        <w:ind w:left="6092" w:hanging="360"/>
      </w:pPr>
      <w:rPr>
        <w:rFonts w:ascii="Wingdings" w:hAnsi="Wingdings" w:hint="default"/>
      </w:rPr>
    </w:lvl>
  </w:abstractNum>
  <w:abstractNum w:abstractNumId="10">
    <w:nsid w:val="65B0694F"/>
    <w:multiLevelType w:val="hybridMultilevel"/>
    <w:tmpl w:val="6D06F636"/>
    <w:lvl w:ilvl="0" w:tplc="890E7C70">
      <w:start w:val="1"/>
      <w:numFmt w:val="decimal"/>
      <w:lvlText w:val="%1)"/>
      <w:lvlJc w:val="left"/>
      <w:pPr>
        <w:ind w:left="678" w:hanging="360"/>
      </w:pPr>
      <w:rPr>
        <w:rFonts w:cs="Times New Roman" w:hint="default"/>
      </w:rPr>
    </w:lvl>
    <w:lvl w:ilvl="1" w:tplc="04220019" w:tentative="1">
      <w:start w:val="1"/>
      <w:numFmt w:val="lowerLetter"/>
      <w:lvlText w:val="%2."/>
      <w:lvlJc w:val="left"/>
      <w:pPr>
        <w:ind w:left="1398" w:hanging="360"/>
      </w:pPr>
      <w:rPr>
        <w:rFonts w:cs="Times New Roman"/>
      </w:rPr>
    </w:lvl>
    <w:lvl w:ilvl="2" w:tplc="0422001B" w:tentative="1">
      <w:start w:val="1"/>
      <w:numFmt w:val="lowerRoman"/>
      <w:lvlText w:val="%3."/>
      <w:lvlJc w:val="right"/>
      <w:pPr>
        <w:ind w:left="2118" w:hanging="180"/>
      </w:pPr>
      <w:rPr>
        <w:rFonts w:cs="Times New Roman"/>
      </w:rPr>
    </w:lvl>
    <w:lvl w:ilvl="3" w:tplc="0422000F" w:tentative="1">
      <w:start w:val="1"/>
      <w:numFmt w:val="decimal"/>
      <w:lvlText w:val="%4."/>
      <w:lvlJc w:val="left"/>
      <w:pPr>
        <w:ind w:left="2838" w:hanging="360"/>
      </w:pPr>
      <w:rPr>
        <w:rFonts w:cs="Times New Roman"/>
      </w:rPr>
    </w:lvl>
    <w:lvl w:ilvl="4" w:tplc="04220019" w:tentative="1">
      <w:start w:val="1"/>
      <w:numFmt w:val="lowerLetter"/>
      <w:lvlText w:val="%5."/>
      <w:lvlJc w:val="left"/>
      <w:pPr>
        <w:ind w:left="3558" w:hanging="360"/>
      </w:pPr>
      <w:rPr>
        <w:rFonts w:cs="Times New Roman"/>
      </w:rPr>
    </w:lvl>
    <w:lvl w:ilvl="5" w:tplc="0422001B" w:tentative="1">
      <w:start w:val="1"/>
      <w:numFmt w:val="lowerRoman"/>
      <w:lvlText w:val="%6."/>
      <w:lvlJc w:val="right"/>
      <w:pPr>
        <w:ind w:left="4278" w:hanging="180"/>
      </w:pPr>
      <w:rPr>
        <w:rFonts w:cs="Times New Roman"/>
      </w:rPr>
    </w:lvl>
    <w:lvl w:ilvl="6" w:tplc="0422000F" w:tentative="1">
      <w:start w:val="1"/>
      <w:numFmt w:val="decimal"/>
      <w:lvlText w:val="%7."/>
      <w:lvlJc w:val="left"/>
      <w:pPr>
        <w:ind w:left="4998" w:hanging="360"/>
      </w:pPr>
      <w:rPr>
        <w:rFonts w:cs="Times New Roman"/>
      </w:rPr>
    </w:lvl>
    <w:lvl w:ilvl="7" w:tplc="04220019" w:tentative="1">
      <w:start w:val="1"/>
      <w:numFmt w:val="lowerLetter"/>
      <w:lvlText w:val="%8."/>
      <w:lvlJc w:val="left"/>
      <w:pPr>
        <w:ind w:left="5718" w:hanging="360"/>
      </w:pPr>
      <w:rPr>
        <w:rFonts w:cs="Times New Roman"/>
      </w:rPr>
    </w:lvl>
    <w:lvl w:ilvl="8" w:tplc="0422001B" w:tentative="1">
      <w:start w:val="1"/>
      <w:numFmt w:val="lowerRoman"/>
      <w:lvlText w:val="%9."/>
      <w:lvlJc w:val="right"/>
      <w:pPr>
        <w:ind w:left="6438" w:hanging="180"/>
      </w:pPr>
      <w:rPr>
        <w:rFonts w:cs="Times New Roman"/>
      </w:rPr>
    </w:lvl>
  </w:abstractNum>
  <w:abstractNum w:abstractNumId="11">
    <w:nsid w:val="6E0048A0"/>
    <w:multiLevelType w:val="hybridMultilevel"/>
    <w:tmpl w:val="D132FB5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9D108D4"/>
    <w:multiLevelType w:val="hybridMultilevel"/>
    <w:tmpl w:val="5BDC8012"/>
    <w:lvl w:ilvl="0" w:tplc="3618B4A2">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3">
    <w:nsid w:val="7DCA793F"/>
    <w:multiLevelType w:val="hybridMultilevel"/>
    <w:tmpl w:val="5DEEF0CA"/>
    <w:lvl w:ilvl="0" w:tplc="5448D3AE">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4">
    <w:nsid w:val="7FD43A73"/>
    <w:multiLevelType w:val="hybridMultilevel"/>
    <w:tmpl w:val="058AC4B2"/>
    <w:lvl w:ilvl="0" w:tplc="2264B90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4"/>
  </w:num>
  <w:num w:numId="3">
    <w:abstractNumId w:val="2"/>
  </w:num>
  <w:num w:numId="4">
    <w:abstractNumId w:val="5"/>
  </w:num>
  <w:num w:numId="5">
    <w:abstractNumId w:val="10"/>
  </w:num>
  <w:num w:numId="6">
    <w:abstractNumId w:val="4"/>
  </w:num>
  <w:num w:numId="7">
    <w:abstractNumId w:val="1"/>
  </w:num>
  <w:num w:numId="8">
    <w:abstractNumId w:val="9"/>
  </w:num>
  <w:num w:numId="9">
    <w:abstractNumId w:val="13"/>
  </w:num>
  <w:num w:numId="10">
    <w:abstractNumId w:val="0"/>
  </w:num>
  <w:num w:numId="11">
    <w:abstractNumId w:val="7"/>
  </w:num>
  <w:num w:numId="12">
    <w:abstractNumId w:val="3"/>
  </w:num>
  <w:num w:numId="13">
    <w:abstractNumId w:val="8"/>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89436D"/>
    <w:rsid w:val="00005E95"/>
    <w:rsid w:val="000067EE"/>
    <w:rsid w:val="00010F54"/>
    <w:rsid w:val="00011090"/>
    <w:rsid w:val="00014AF7"/>
    <w:rsid w:val="00020AB9"/>
    <w:rsid w:val="00021703"/>
    <w:rsid w:val="00021C09"/>
    <w:rsid w:val="00025047"/>
    <w:rsid w:val="00030672"/>
    <w:rsid w:val="000315F7"/>
    <w:rsid w:val="00035749"/>
    <w:rsid w:val="00040DFC"/>
    <w:rsid w:val="00042EEC"/>
    <w:rsid w:val="00045DDE"/>
    <w:rsid w:val="0004742D"/>
    <w:rsid w:val="00047D5D"/>
    <w:rsid w:val="00050A62"/>
    <w:rsid w:val="00056FFF"/>
    <w:rsid w:val="000602EE"/>
    <w:rsid w:val="0006097C"/>
    <w:rsid w:val="000629A5"/>
    <w:rsid w:val="000635D3"/>
    <w:rsid w:val="00065190"/>
    <w:rsid w:val="00067E77"/>
    <w:rsid w:val="00070301"/>
    <w:rsid w:val="00072D56"/>
    <w:rsid w:val="00076C5B"/>
    <w:rsid w:val="00077FE7"/>
    <w:rsid w:val="00080E0B"/>
    <w:rsid w:val="000818BC"/>
    <w:rsid w:val="0008538C"/>
    <w:rsid w:val="0009062A"/>
    <w:rsid w:val="00090EE2"/>
    <w:rsid w:val="000913B2"/>
    <w:rsid w:val="0009277C"/>
    <w:rsid w:val="0009327C"/>
    <w:rsid w:val="000939B3"/>
    <w:rsid w:val="00093E24"/>
    <w:rsid w:val="000967D5"/>
    <w:rsid w:val="000A1BED"/>
    <w:rsid w:val="000A466C"/>
    <w:rsid w:val="000A485C"/>
    <w:rsid w:val="000A6393"/>
    <w:rsid w:val="000A64B8"/>
    <w:rsid w:val="000B30FD"/>
    <w:rsid w:val="000B57A5"/>
    <w:rsid w:val="000B63FC"/>
    <w:rsid w:val="000B66CF"/>
    <w:rsid w:val="000B6F7D"/>
    <w:rsid w:val="000B79D7"/>
    <w:rsid w:val="000C0436"/>
    <w:rsid w:val="000C0822"/>
    <w:rsid w:val="000C0BC1"/>
    <w:rsid w:val="000C0F2C"/>
    <w:rsid w:val="000C12FB"/>
    <w:rsid w:val="000C4B78"/>
    <w:rsid w:val="000D012A"/>
    <w:rsid w:val="000D06D4"/>
    <w:rsid w:val="000D6603"/>
    <w:rsid w:val="000D71A4"/>
    <w:rsid w:val="000E2017"/>
    <w:rsid w:val="000E329D"/>
    <w:rsid w:val="000E486C"/>
    <w:rsid w:val="000F0BD4"/>
    <w:rsid w:val="000F1148"/>
    <w:rsid w:val="000F1ACA"/>
    <w:rsid w:val="000F3D1D"/>
    <w:rsid w:val="000F40AE"/>
    <w:rsid w:val="000F4976"/>
    <w:rsid w:val="000F49A7"/>
    <w:rsid w:val="00103981"/>
    <w:rsid w:val="00104BCC"/>
    <w:rsid w:val="00105452"/>
    <w:rsid w:val="00106CB0"/>
    <w:rsid w:val="00106D25"/>
    <w:rsid w:val="00110D9E"/>
    <w:rsid w:val="0011164D"/>
    <w:rsid w:val="00113300"/>
    <w:rsid w:val="00120884"/>
    <w:rsid w:val="001217BF"/>
    <w:rsid w:val="0012198B"/>
    <w:rsid w:val="001221CF"/>
    <w:rsid w:val="00122711"/>
    <w:rsid w:val="00124372"/>
    <w:rsid w:val="00124A57"/>
    <w:rsid w:val="00125166"/>
    <w:rsid w:val="00130882"/>
    <w:rsid w:val="00131833"/>
    <w:rsid w:val="001345CC"/>
    <w:rsid w:val="001349E5"/>
    <w:rsid w:val="001423FE"/>
    <w:rsid w:val="00142F35"/>
    <w:rsid w:val="00143F67"/>
    <w:rsid w:val="00150F4D"/>
    <w:rsid w:val="00153888"/>
    <w:rsid w:val="00153D18"/>
    <w:rsid w:val="00155B0F"/>
    <w:rsid w:val="00166A86"/>
    <w:rsid w:val="001678A5"/>
    <w:rsid w:val="00171065"/>
    <w:rsid w:val="00174CB7"/>
    <w:rsid w:val="00174DDF"/>
    <w:rsid w:val="00177F3D"/>
    <w:rsid w:val="00183083"/>
    <w:rsid w:val="00185265"/>
    <w:rsid w:val="00185D35"/>
    <w:rsid w:val="00186D53"/>
    <w:rsid w:val="001876E6"/>
    <w:rsid w:val="001910E1"/>
    <w:rsid w:val="001923F5"/>
    <w:rsid w:val="001938CA"/>
    <w:rsid w:val="001949D0"/>
    <w:rsid w:val="001A052F"/>
    <w:rsid w:val="001A41B5"/>
    <w:rsid w:val="001A41D7"/>
    <w:rsid w:val="001B1A57"/>
    <w:rsid w:val="001B3DB3"/>
    <w:rsid w:val="001B43DA"/>
    <w:rsid w:val="001B530C"/>
    <w:rsid w:val="001B576E"/>
    <w:rsid w:val="001C66FD"/>
    <w:rsid w:val="001C70DF"/>
    <w:rsid w:val="001C7211"/>
    <w:rsid w:val="001D06E2"/>
    <w:rsid w:val="001D19A8"/>
    <w:rsid w:val="001D19CA"/>
    <w:rsid w:val="001D1F00"/>
    <w:rsid w:val="001D3971"/>
    <w:rsid w:val="001D5EBE"/>
    <w:rsid w:val="001D7884"/>
    <w:rsid w:val="001E3D30"/>
    <w:rsid w:val="001E43B7"/>
    <w:rsid w:val="001E687C"/>
    <w:rsid w:val="001F0CE8"/>
    <w:rsid w:val="001F2E51"/>
    <w:rsid w:val="001F335B"/>
    <w:rsid w:val="001F375C"/>
    <w:rsid w:val="001F6562"/>
    <w:rsid w:val="001F6E5E"/>
    <w:rsid w:val="00201B38"/>
    <w:rsid w:val="002025A4"/>
    <w:rsid w:val="002076A1"/>
    <w:rsid w:val="00212400"/>
    <w:rsid w:val="00212946"/>
    <w:rsid w:val="002136C5"/>
    <w:rsid w:val="0021447A"/>
    <w:rsid w:val="002172B5"/>
    <w:rsid w:val="00220B70"/>
    <w:rsid w:val="00221012"/>
    <w:rsid w:val="00221A5F"/>
    <w:rsid w:val="0022280E"/>
    <w:rsid w:val="00222DA1"/>
    <w:rsid w:val="002267F1"/>
    <w:rsid w:val="00227766"/>
    <w:rsid w:val="002278C1"/>
    <w:rsid w:val="0022797E"/>
    <w:rsid w:val="00230BAF"/>
    <w:rsid w:val="0023298C"/>
    <w:rsid w:val="00232F8D"/>
    <w:rsid w:val="00234A4C"/>
    <w:rsid w:val="0024353A"/>
    <w:rsid w:val="00246906"/>
    <w:rsid w:val="00246BF2"/>
    <w:rsid w:val="00247875"/>
    <w:rsid w:val="00250558"/>
    <w:rsid w:val="002550C5"/>
    <w:rsid w:val="00256927"/>
    <w:rsid w:val="002663F5"/>
    <w:rsid w:val="00266F97"/>
    <w:rsid w:val="0027069D"/>
    <w:rsid w:val="00272936"/>
    <w:rsid w:val="00273D08"/>
    <w:rsid w:val="00274370"/>
    <w:rsid w:val="002750B6"/>
    <w:rsid w:val="00282B1F"/>
    <w:rsid w:val="002844BA"/>
    <w:rsid w:val="00286B39"/>
    <w:rsid w:val="00286D87"/>
    <w:rsid w:val="00287818"/>
    <w:rsid w:val="0028796E"/>
    <w:rsid w:val="00292C4B"/>
    <w:rsid w:val="002962B7"/>
    <w:rsid w:val="002A07C2"/>
    <w:rsid w:val="002A14D8"/>
    <w:rsid w:val="002A1F5F"/>
    <w:rsid w:val="002A5558"/>
    <w:rsid w:val="002A59FD"/>
    <w:rsid w:val="002A5C58"/>
    <w:rsid w:val="002B22F1"/>
    <w:rsid w:val="002B55CF"/>
    <w:rsid w:val="002B6541"/>
    <w:rsid w:val="002C730A"/>
    <w:rsid w:val="002D2FA0"/>
    <w:rsid w:val="002D427B"/>
    <w:rsid w:val="002D4E8D"/>
    <w:rsid w:val="002D7772"/>
    <w:rsid w:val="002D7F6E"/>
    <w:rsid w:val="002E091A"/>
    <w:rsid w:val="002E5295"/>
    <w:rsid w:val="002E7267"/>
    <w:rsid w:val="002F0EA1"/>
    <w:rsid w:val="002F358D"/>
    <w:rsid w:val="003000E0"/>
    <w:rsid w:val="003002C9"/>
    <w:rsid w:val="0030085D"/>
    <w:rsid w:val="00301A70"/>
    <w:rsid w:val="00302611"/>
    <w:rsid w:val="00302F37"/>
    <w:rsid w:val="00304DD2"/>
    <w:rsid w:val="00313624"/>
    <w:rsid w:val="00314CCF"/>
    <w:rsid w:val="00325104"/>
    <w:rsid w:val="003257BD"/>
    <w:rsid w:val="00330564"/>
    <w:rsid w:val="0033419D"/>
    <w:rsid w:val="003341E3"/>
    <w:rsid w:val="0034798E"/>
    <w:rsid w:val="00347BC7"/>
    <w:rsid w:val="00351E3E"/>
    <w:rsid w:val="003527CC"/>
    <w:rsid w:val="00354A58"/>
    <w:rsid w:val="00355BB0"/>
    <w:rsid w:val="0036153E"/>
    <w:rsid w:val="00363416"/>
    <w:rsid w:val="0036419C"/>
    <w:rsid w:val="003652E5"/>
    <w:rsid w:val="00365996"/>
    <w:rsid w:val="00370D76"/>
    <w:rsid w:val="00370EFB"/>
    <w:rsid w:val="003716A8"/>
    <w:rsid w:val="003774EB"/>
    <w:rsid w:val="00382ED3"/>
    <w:rsid w:val="003836AE"/>
    <w:rsid w:val="0038445F"/>
    <w:rsid w:val="00384CF0"/>
    <w:rsid w:val="00384ED7"/>
    <w:rsid w:val="00384F29"/>
    <w:rsid w:val="00390557"/>
    <w:rsid w:val="003923A8"/>
    <w:rsid w:val="003A0889"/>
    <w:rsid w:val="003A098D"/>
    <w:rsid w:val="003A1C9A"/>
    <w:rsid w:val="003A1D50"/>
    <w:rsid w:val="003A1EC2"/>
    <w:rsid w:val="003A221E"/>
    <w:rsid w:val="003A299A"/>
    <w:rsid w:val="003A3340"/>
    <w:rsid w:val="003A4102"/>
    <w:rsid w:val="003A449F"/>
    <w:rsid w:val="003A4D00"/>
    <w:rsid w:val="003A6E91"/>
    <w:rsid w:val="003B02BE"/>
    <w:rsid w:val="003B364E"/>
    <w:rsid w:val="003B776A"/>
    <w:rsid w:val="003C42DC"/>
    <w:rsid w:val="003C47DF"/>
    <w:rsid w:val="003C61CA"/>
    <w:rsid w:val="003D16C2"/>
    <w:rsid w:val="003D1BC3"/>
    <w:rsid w:val="003D47CE"/>
    <w:rsid w:val="003D4EA4"/>
    <w:rsid w:val="003E09DC"/>
    <w:rsid w:val="003E0D65"/>
    <w:rsid w:val="003E0D6B"/>
    <w:rsid w:val="003E5772"/>
    <w:rsid w:val="003E5BF7"/>
    <w:rsid w:val="003E6007"/>
    <w:rsid w:val="003F0373"/>
    <w:rsid w:val="003F16BD"/>
    <w:rsid w:val="003F2B03"/>
    <w:rsid w:val="003F45DA"/>
    <w:rsid w:val="003F63E0"/>
    <w:rsid w:val="004009F2"/>
    <w:rsid w:val="004014A7"/>
    <w:rsid w:val="00402A3A"/>
    <w:rsid w:val="00405360"/>
    <w:rsid w:val="004054A8"/>
    <w:rsid w:val="004124A7"/>
    <w:rsid w:val="00414342"/>
    <w:rsid w:val="0042011A"/>
    <w:rsid w:val="00422F98"/>
    <w:rsid w:val="00423971"/>
    <w:rsid w:val="00423BC0"/>
    <w:rsid w:val="00425403"/>
    <w:rsid w:val="0042601A"/>
    <w:rsid w:val="004266C7"/>
    <w:rsid w:val="00427D2B"/>
    <w:rsid w:val="00427E99"/>
    <w:rsid w:val="00431B71"/>
    <w:rsid w:val="00432061"/>
    <w:rsid w:val="004358E8"/>
    <w:rsid w:val="0043745F"/>
    <w:rsid w:val="00437918"/>
    <w:rsid w:val="00437E71"/>
    <w:rsid w:val="00441DDF"/>
    <w:rsid w:val="00443B13"/>
    <w:rsid w:val="004442C3"/>
    <w:rsid w:val="00444FBF"/>
    <w:rsid w:val="00444FDB"/>
    <w:rsid w:val="004455A3"/>
    <w:rsid w:val="00445E1E"/>
    <w:rsid w:val="0044779B"/>
    <w:rsid w:val="004513C9"/>
    <w:rsid w:val="004557B6"/>
    <w:rsid w:val="00460AE9"/>
    <w:rsid w:val="00462278"/>
    <w:rsid w:val="004638D5"/>
    <w:rsid w:val="00466EF6"/>
    <w:rsid w:val="004703C1"/>
    <w:rsid w:val="00470726"/>
    <w:rsid w:val="00472206"/>
    <w:rsid w:val="004738E0"/>
    <w:rsid w:val="00473D41"/>
    <w:rsid w:val="00480938"/>
    <w:rsid w:val="00482057"/>
    <w:rsid w:val="00482BE3"/>
    <w:rsid w:val="00483ECD"/>
    <w:rsid w:val="0048505D"/>
    <w:rsid w:val="0048603C"/>
    <w:rsid w:val="0048696B"/>
    <w:rsid w:val="00491844"/>
    <w:rsid w:val="0049255B"/>
    <w:rsid w:val="00495685"/>
    <w:rsid w:val="004A19A5"/>
    <w:rsid w:val="004A548D"/>
    <w:rsid w:val="004A5B6C"/>
    <w:rsid w:val="004B2936"/>
    <w:rsid w:val="004C0EE2"/>
    <w:rsid w:val="004C1B9D"/>
    <w:rsid w:val="004C4101"/>
    <w:rsid w:val="004C7008"/>
    <w:rsid w:val="004C7C92"/>
    <w:rsid w:val="004D2997"/>
    <w:rsid w:val="004D328A"/>
    <w:rsid w:val="004D743D"/>
    <w:rsid w:val="004E0608"/>
    <w:rsid w:val="004E237F"/>
    <w:rsid w:val="004E6FE5"/>
    <w:rsid w:val="004E77CA"/>
    <w:rsid w:val="004F11B1"/>
    <w:rsid w:val="004F23AF"/>
    <w:rsid w:val="004F4676"/>
    <w:rsid w:val="00503FB2"/>
    <w:rsid w:val="00504436"/>
    <w:rsid w:val="005050B2"/>
    <w:rsid w:val="005052A3"/>
    <w:rsid w:val="00507EBB"/>
    <w:rsid w:val="005107A4"/>
    <w:rsid w:val="0051103A"/>
    <w:rsid w:val="00511F24"/>
    <w:rsid w:val="00512355"/>
    <w:rsid w:val="00514ED8"/>
    <w:rsid w:val="00515F53"/>
    <w:rsid w:val="00517270"/>
    <w:rsid w:val="00521040"/>
    <w:rsid w:val="005269CF"/>
    <w:rsid w:val="005275F9"/>
    <w:rsid w:val="00536CF8"/>
    <w:rsid w:val="00542522"/>
    <w:rsid w:val="00542555"/>
    <w:rsid w:val="00542594"/>
    <w:rsid w:val="00552593"/>
    <w:rsid w:val="005573AE"/>
    <w:rsid w:val="00557460"/>
    <w:rsid w:val="00562334"/>
    <w:rsid w:val="00564140"/>
    <w:rsid w:val="005651E2"/>
    <w:rsid w:val="0057083E"/>
    <w:rsid w:val="0057472B"/>
    <w:rsid w:val="00575D8F"/>
    <w:rsid w:val="00584687"/>
    <w:rsid w:val="00585D31"/>
    <w:rsid w:val="005871B4"/>
    <w:rsid w:val="00591B42"/>
    <w:rsid w:val="005923CD"/>
    <w:rsid w:val="00593A48"/>
    <w:rsid w:val="0059458F"/>
    <w:rsid w:val="0059671C"/>
    <w:rsid w:val="005A3C36"/>
    <w:rsid w:val="005A5A51"/>
    <w:rsid w:val="005A6CBC"/>
    <w:rsid w:val="005B0E22"/>
    <w:rsid w:val="005B6C2C"/>
    <w:rsid w:val="005B7B55"/>
    <w:rsid w:val="005C0550"/>
    <w:rsid w:val="005C08E5"/>
    <w:rsid w:val="005C4C92"/>
    <w:rsid w:val="005C6407"/>
    <w:rsid w:val="005D0964"/>
    <w:rsid w:val="005D3DF9"/>
    <w:rsid w:val="005D6BA4"/>
    <w:rsid w:val="005E019A"/>
    <w:rsid w:val="005E2652"/>
    <w:rsid w:val="005E40F5"/>
    <w:rsid w:val="005E553D"/>
    <w:rsid w:val="005E6E53"/>
    <w:rsid w:val="005E72F6"/>
    <w:rsid w:val="005E7694"/>
    <w:rsid w:val="005F1836"/>
    <w:rsid w:val="005F3015"/>
    <w:rsid w:val="005F3AA4"/>
    <w:rsid w:val="005F3C54"/>
    <w:rsid w:val="005F517A"/>
    <w:rsid w:val="00602021"/>
    <w:rsid w:val="00602D68"/>
    <w:rsid w:val="00603216"/>
    <w:rsid w:val="00603B30"/>
    <w:rsid w:val="006042FE"/>
    <w:rsid w:val="00604B94"/>
    <w:rsid w:val="00604DBA"/>
    <w:rsid w:val="00605DB2"/>
    <w:rsid w:val="00611781"/>
    <w:rsid w:val="00614985"/>
    <w:rsid w:val="006155B2"/>
    <w:rsid w:val="00616B4C"/>
    <w:rsid w:val="00617CBD"/>
    <w:rsid w:val="0062426E"/>
    <w:rsid w:val="006249DB"/>
    <w:rsid w:val="00624A3C"/>
    <w:rsid w:val="006255E2"/>
    <w:rsid w:val="00625AFD"/>
    <w:rsid w:val="006340D1"/>
    <w:rsid w:val="006352FE"/>
    <w:rsid w:val="00637D2D"/>
    <w:rsid w:val="00641512"/>
    <w:rsid w:val="00646D84"/>
    <w:rsid w:val="0064791D"/>
    <w:rsid w:val="00650C5C"/>
    <w:rsid w:val="006518B3"/>
    <w:rsid w:val="00651E00"/>
    <w:rsid w:val="00651F77"/>
    <w:rsid w:val="006545DD"/>
    <w:rsid w:val="00654E3E"/>
    <w:rsid w:val="00655B72"/>
    <w:rsid w:val="00661A2D"/>
    <w:rsid w:val="00661B32"/>
    <w:rsid w:val="00666C60"/>
    <w:rsid w:val="006728A4"/>
    <w:rsid w:val="006730BA"/>
    <w:rsid w:val="00675EEF"/>
    <w:rsid w:val="00676AEA"/>
    <w:rsid w:val="00682665"/>
    <w:rsid w:val="00684573"/>
    <w:rsid w:val="00692480"/>
    <w:rsid w:val="00692F7C"/>
    <w:rsid w:val="006930C5"/>
    <w:rsid w:val="006A1DE2"/>
    <w:rsid w:val="006A293D"/>
    <w:rsid w:val="006A33E4"/>
    <w:rsid w:val="006A47F4"/>
    <w:rsid w:val="006A584F"/>
    <w:rsid w:val="006A5C57"/>
    <w:rsid w:val="006A6178"/>
    <w:rsid w:val="006B4239"/>
    <w:rsid w:val="006B75F1"/>
    <w:rsid w:val="006C6391"/>
    <w:rsid w:val="006D0082"/>
    <w:rsid w:val="006D02DD"/>
    <w:rsid w:val="006D643A"/>
    <w:rsid w:val="006D7562"/>
    <w:rsid w:val="006E0E71"/>
    <w:rsid w:val="006E1833"/>
    <w:rsid w:val="006E47DA"/>
    <w:rsid w:val="006E5C7E"/>
    <w:rsid w:val="006F0595"/>
    <w:rsid w:val="006F12FA"/>
    <w:rsid w:val="006F1E90"/>
    <w:rsid w:val="006F2A82"/>
    <w:rsid w:val="006F4F50"/>
    <w:rsid w:val="006F5E87"/>
    <w:rsid w:val="007014DC"/>
    <w:rsid w:val="00701F2C"/>
    <w:rsid w:val="00703A5C"/>
    <w:rsid w:val="00703E4A"/>
    <w:rsid w:val="007054D0"/>
    <w:rsid w:val="00716988"/>
    <w:rsid w:val="00716E9A"/>
    <w:rsid w:val="0072014B"/>
    <w:rsid w:val="007213DB"/>
    <w:rsid w:val="00724018"/>
    <w:rsid w:val="007253E2"/>
    <w:rsid w:val="00727D41"/>
    <w:rsid w:val="0073115E"/>
    <w:rsid w:val="00732955"/>
    <w:rsid w:val="00732CE9"/>
    <w:rsid w:val="00732F18"/>
    <w:rsid w:val="00734E0E"/>
    <w:rsid w:val="00735AB8"/>
    <w:rsid w:val="00735B04"/>
    <w:rsid w:val="00737312"/>
    <w:rsid w:val="00741FEE"/>
    <w:rsid w:val="007442ED"/>
    <w:rsid w:val="00744C0E"/>
    <w:rsid w:val="0075366D"/>
    <w:rsid w:val="007537C6"/>
    <w:rsid w:val="0075648F"/>
    <w:rsid w:val="007576EA"/>
    <w:rsid w:val="00760374"/>
    <w:rsid w:val="007620A2"/>
    <w:rsid w:val="00766236"/>
    <w:rsid w:val="007709A8"/>
    <w:rsid w:val="007716CC"/>
    <w:rsid w:val="00771EB3"/>
    <w:rsid w:val="00771ED0"/>
    <w:rsid w:val="00784A2F"/>
    <w:rsid w:val="00790F5E"/>
    <w:rsid w:val="007913E0"/>
    <w:rsid w:val="0079423D"/>
    <w:rsid w:val="00794B0A"/>
    <w:rsid w:val="007A1DA6"/>
    <w:rsid w:val="007A22A9"/>
    <w:rsid w:val="007A238E"/>
    <w:rsid w:val="007A3444"/>
    <w:rsid w:val="007B17E4"/>
    <w:rsid w:val="007B3E2C"/>
    <w:rsid w:val="007B4769"/>
    <w:rsid w:val="007B66BF"/>
    <w:rsid w:val="007B6F32"/>
    <w:rsid w:val="007C1DB1"/>
    <w:rsid w:val="007C407E"/>
    <w:rsid w:val="007C5CE4"/>
    <w:rsid w:val="007C7E32"/>
    <w:rsid w:val="007D1F33"/>
    <w:rsid w:val="007D5F64"/>
    <w:rsid w:val="007E053B"/>
    <w:rsid w:val="007E0C55"/>
    <w:rsid w:val="007E1FD9"/>
    <w:rsid w:val="007E3788"/>
    <w:rsid w:val="007E44EE"/>
    <w:rsid w:val="007E4540"/>
    <w:rsid w:val="007E5A71"/>
    <w:rsid w:val="007E64BB"/>
    <w:rsid w:val="007E7B2A"/>
    <w:rsid w:val="007E7E9E"/>
    <w:rsid w:val="007F1132"/>
    <w:rsid w:val="007F6F39"/>
    <w:rsid w:val="007F773A"/>
    <w:rsid w:val="007F790E"/>
    <w:rsid w:val="00800265"/>
    <w:rsid w:val="00800C12"/>
    <w:rsid w:val="00805517"/>
    <w:rsid w:val="0080716F"/>
    <w:rsid w:val="0081065E"/>
    <w:rsid w:val="00813C96"/>
    <w:rsid w:val="008164E4"/>
    <w:rsid w:val="00816DA9"/>
    <w:rsid w:val="00820E01"/>
    <w:rsid w:val="00821D01"/>
    <w:rsid w:val="00825D31"/>
    <w:rsid w:val="00826893"/>
    <w:rsid w:val="008276C1"/>
    <w:rsid w:val="008314A1"/>
    <w:rsid w:val="00831C81"/>
    <w:rsid w:val="00831F61"/>
    <w:rsid w:val="00831F6C"/>
    <w:rsid w:val="00832D38"/>
    <w:rsid w:val="00833021"/>
    <w:rsid w:val="008334DA"/>
    <w:rsid w:val="00835147"/>
    <w:rsid w:val="00836F76"/>
    <w:rsid w:val="00837C3B"/>
    <w:rsid w:val="0084112A"/>
    <w:rsid w:val="0084404D"/>
    <w:rsid w:val="00845BBA"/>
    <w:rsid w:val="008544FF"/>
    <w:rsid w:val="00854E5F"/>
    <w:rsid w:val="00857C04"/>
    <w:rsid w:val="00865C63"/>
    <w:rsid w:val="00871E71"/>
    <w:rsid w:val="008743BF"/>
    <w:rsid w:val="00875ECD"/>
    <w:rsid w:val="00880BBA"/>
    <w:rsid w:val="00881F79"/>
    <w:rsid w:val="00882372"/>
    <w:rsid w:val="00882471"/>
    <w:rsid w:val="00884F61"/>
    <w:rsid w:val="00886226"/>
    <w:rsid w:val="008874C6"/>
    <w:rsid w:val="00887649"/>
    <w:rsid w:val="00890AA5"/>
    <w:rsid w:val="0089436D"/>
    <w:rsid w:val="00894F3B"/>
    <w:rsid w:val="00897D4E"/>
    <w:rsid w:val="008A06A2"/>
    <w:rsid w:val="008A4545"/>
    <w:rsid w:val="008A4D38"/>
    <w:rsid w:val="008B3FF6"/>
    <w:rsid w:val="008B4437"/>
    <w:rsid w:val="008B47E1"/>
    <w:rsid w:val="008B628C"/>
    <w:rsid w:val="008C0E82"/>
    <w:rsid w:val="008C18B6"/>
    <w:rsid w:val="008C2F94"/>
    <w:rsid w:val="008C36E8"/>
    <w:rsid w:val="008C4A00"/>
    <w:rsid w:val="008C6C30"/>
    <w:rsid w:val="008C6D62"/>
    <w:rsid w:val="008C7488"/>
    <w:rsid w:val="008D3412"/>
    <w:rsid w:val="008D4A7A"/>
    <w:rsid w:val="008D4F70"/>
    <w:rsid w:val="008E2034"/>
    <w:rsid w:val="008E3C18"/>
    <w:rsid w:val="008F01A4"/>
    <w:rsid w:val="008F39A2"/>
    <w:rsid w:val="008F57D7"/>
    <w:rsid w:val="008F671F"/>
    <w:rsid w:val="008F7B84"/>
    <w:rsid w:val="00906368"/>
    <w:rsid w:val="009138F0"/>
    <w:rsid w:val="00915DFC"/>
    <w:rsid w:val="00916F79"/>
    <w:rsid w:val="00920AAE"/>
    <w:rsid w:val="00921D33"/>
    <w:rsid w:val="00923535"/>
    <w:rsid w:val="00924DD5"/>
    <w:rsid w:val="0092563F"/>
    <w:rsid w:val="00930E51"/>
    <w:rsid w:val="00931597"/>
    <w:rsid w:val="0093205E"/>
    <w:rsid w:val="00932079"/>
    <w:rsid w:val="009358F5"/>
    <w:rsid w:val="00937DFE"/>
    <w:rsid w:val="00940D01"/>
    <w:rsid w:val="009423A7"/>
    <w:rsid w:val="0094242D"/>
    <w:rsid w:val="00943D42"/>
    <w:rsid w:val="00943F9A"/>
    <w:rsid w:val="00944448"/>
    <w:rsid w:val="00944BFE"/>
    <w:rsid w:val="009500F6"/>
    <w:rsid w:val="0095153C"/>
    <w:rsid w:val="00952416"/>
    <w:rsid w:val="00954829"/>
    <w:rsid w:val="00963F00"/>
    <w:rsid w:val="009668EB"/>
    <w:rsid w:val="00966BCC"/>
    <w:rsid w:val="00967B52"/>
    <w:rsid w:val="0097098C"/>
    <w:rsid w:val="009712D2"/>
    <w:rsid w:val="00973BE3"/>
    <w:rsid w:val="00974CC9"/>
    <w:rsid w:val="0097743F"/>
    <w:rsid w:val="0098027F"/>
    <w:rsid w:val="00980A95"/>
    <w:rsid w:val="00982CA7"/>
    <w:rsid w:val="0098382F"/>
    <w:rsid w:val="00985BDE"/>
    <w:rsid w:val="00985D69"/>
    <w:rsid w:val="00986A2C"/>
    <w:rsid w:val="00986DF1"/>
    <w:rsid w:val="009907E0"/>
    <w:rsid w:val="00991A9B"/>
    <w:rsid w:val="00991E39"/>
    <w:rsid w:val="00993115"/>
    <w:rsid w:val="0099510B"/>
    <w:rsid w:val="00997E67"/>
    <w:rsid w:val="00997E9C"/>
    <w:rsid w:val="009A4AD7"/>
    <w:rsid w:val="009A6B5D"/>
    <w:rsid w:val="009B0702"/>
    <w:rsid w:val="009B35EA"/>
    <w:rsid w:val="009B5F79"/>
    <w:rsid w:val="009B7A27"/>
    <w:rsid w:val="009C1567"/>
    <w:rsid w:val="009C486E"/>
    <w:rsid w:val="009D0CBE"/>
    <w:rsid w:val="009D343C"/>
    <w:rsid w:val="009E18FF"/>
    <w:rsid w:val="009E3700"/>
    <w:rsid w:val="009E4A67"/>
    <w:rsid w:val="009E6B46"/>
    <w:rsid w:val="009F0311"/>
    <w:rsid w:val="009F2C08"/>
    <w:rsid w:val="009F3AD9"/>
    <w:rsid w:val="009F6D1A"/>
    <w:rsid w:val="009F73F0"/>
    <w:rsid w:val="00A010CA"/>
    <w:rsid w:val="00A0395C"/>
    <w:rsid w:val="00A043BA"/>
    <w:rsid w:val="00A06E79"/>
    <w:rsid w:val="00A10015"/>
    <w:rsid w:val="00A111AE"/>
    <w:rsid w:val="00A1120C"/>
    <w:rsid w:val="00A13937"/>
    <w:rsid w:val="00A157DD"/>
    <w:rsid w:val="00A2137A"/>
    <w:rsid w:val="00A22985"/>
    <w:rsid w:val="00A22D1B"/>
    <w:rsid w:val="00A231CA"/>
    <w:rsid w:val="00A243EC"/>
    <w:rsid w:val="00A257E8"/>
    <w:rsid w:val="00A26E73"/>
    <w:rsid w:val="00A31C37"/>
    <w:rsid w:val="00A32C2D"/>
    <w:rsid w:val="00A35BB4"/>
    <w:rsid w:val="00A37173"/>
    <w:rsid w:val="00A37C67"/>
    <w:rsid w:val="00A4116B"/>
    <w:rsid w:val="00A412C5"/>
    <w:rsid w:val="00A42BAE"/>
    <w:rsid w:val="00A50853"/>
    <w:rsid w:val="00A5332A"/>
    <w:rsid w:val="00A56195"/>
    <w:rsid w:val="00A60889"/>
    <w:rsid w:val="00A6196E"/>
    <w:rsid w:val="00A639B4"/>
    <w:rsid w:val="00A64FE5"/>
    <w:rsid w:val="00A66592"/>
    <w:rsid w:val="00A66B8B"/>
    <w:rsid w:val="00A713B7"/>
    <w:rsid w:val="00A71F99"/>
    <w:rsid w:val="00A72DE3"/>
    <w:rsid w:val="00A84433"/>
    <w:rsid w:val="00A845E6"/>
    <w:rsid w:val="00A91061"/>
    <w:rsid w:val="00A9218F"/>
    <w:rsid w:val="00A926D2"/>
    <w:rsid w:val="00A965B2"/>
    <w:rsid w:val="00AA4037"/>
    <w:rsid w:val="00AA5AF7"/>
    <w:rsid w:val="00AA7C2B"/>
    <w:rsid w:val="00AB697D"/>
    <w:rsid w:val="00AB7D4A"/>
    <w:rsid w:val="00AC1048"/>
    <w:rsid w:val="00AC160C"/>
    <w:rsid w:val="00AC30D5"/>
    <w:rsid w:val="00AC3794"/>
    <w:rsid w:val="00AD23F1"/>
    <w:rsid w:val="00AD3D0E"/>
    <w:rsid w:val="00AD6789"/>
    <w:rsid w:val="00AE0E37"/>
    <w:rsid w:val="00AE124C"/>
    <w:rsid w:val="00AE43BC"/>
    <w:rsid w:val="00AE597B"/>
    <w:rsid w:val="00AF0EF7"/>
    <w:rsid w:val="00AF2345"/>
    <w:rsid w:val="00AF709D"/>
    <w:rsid w:val="00AF7E5C"/>
    <w:rsid w:val="00B00830"/>
    <w:rsid w:val="00B01758"/>
    <w:rsid w:val="00B101A2"/>
    <w:rsid w:val="00B174AB"/>
    <w:rsid w:val="00B179D3"/>
    <w:rsid w:val="00B17A15"/>
    <w:rsid w:val="00B24F14"/>
    <w:rsid w:val="00B256E4"/>
    <w:rsid w:val="00B260E6"/>
    <w:rsid w:val="00B309B5"/>
    <w:rsid w:val="00B31B55"/>
    <w:rsid w:val="00B35A52"/>
    <w:rsid w:val="00B373D0"/>
    <w:rsid w:val="00B3771A"/>
    <w:rsid w:val="00B40278"/>
    <w:rsid w:val="00B41DE7"/>
    <w:rsid w:val="00B43DA2"/>
    <w:rsid w:val="00B4462F"/>
    <w:rsid w:val="00B4580F"/>
    <w:rsid w:val="00B6029D"/>
    <w:rsid w:val="00B609C2"/>
    <w:rsid w:val="00B610FC"/>
    <w:rsid w:val="00B6270E"/>
    <w:rsid w:val="00B63761"/>
    <w:rsid w:val="00B644EC"/>
    <w:rsid w:val="00B66DE6"/>
    <w:rsid w:val="00B676A2"/>
    <w:rsid w:val="00B72F54"/>
    <w:rsid w:val="00B81603"/>
    <w:rsid w:val="00B8160B"/>
    <w:rsid w:val="00B81C37"/>
    <w:rsid w:val="00B83CE7"/>
    <w:rsid w:val="00B83EDE"/>
    <w:rsid w:val="00B84C8B"/>
    <w:rsid w:val="00B859B9"/>
    <w:rsid w:val="00B90A91"/>
    <w:rsid w:val="00B94033"/>
    <w:rsid w:val="00B944F2"/>
    <w:rsid w:val="00B9459E"/>
    <w:rsid w:val="00BA08F1"/>
    <w:rsid w:val="00BA1242"/>
    <w:rsid w:val="00BA35BA"/>
    <w:rsid w:val="00BA4866"/>
    <w:rsid w:val="00BA5835"/>
    <w:rsid w:val="00BB0061"/>
    <w:rsid w:val="00BB5849"/>
    <w:rsid w:val="00BC1373"/>
    <w:rsid w:val="00BC173B"/>
    <w:rsid w:val="00BC1EB3"/>
    <w:rsid w:val="00BC2D79"/>
    <w:rsid w:val="00BC30D1"/>
    <w:rsid w:val="00BD484E"/>
    <w:rsid w:val="00BD4EA7"/>
    <w:rsid w:val="00BD66AE"/>
    <w:rsid w:val="00BD6BE3"/>
    <w:rsid w:val="00BE0E5D"/>
    <w:rsid w:val="00BE2CFE"/>
    <w:rsid w:val="00BE2DE4"/>
    <w:rsid w:val="00BE77DD"/>
    <w:rsid w:val="00BF1CE2"/>
    <w:rsid w:val="00BF23A4"/>
    <w:rsid w:val="00BF67A2"/>
    <w:rsid w:val="00C020F2"/>
    <w:rsid w:val="00C02C1A"/>
    <w:rsid w:val="00C04F12"/>
    <w:rsid w:val="00C050CC"/>
    <w:rsid w:val="00C05C34"/>
    <w:rsid w:val="00C064FA"/>
    <w:rsid w:val="00C06EF3"/>
    <w:rsid w:val="00C10010"/>
    <w:rsid w:val="00C105A6"/>
    <w:rsid w:val="00C108C4"/>
    <w:rsid w:val="00C12BE8"/>
    <w:rsid w:val="00C13446"/>
    <w:rsid w:val="00C16A9D"/>
    <w:rsid w:val="00C20274"/>
    <w:rsid w:val="00C222A4"/>
    <w:rsid w:val="00C2639D"/>
    <w:rsid w:val="00C274AE"/>
    <w:rsid w:val="00C34645"/>
    <w:rsid w:val="00C34EE4"/>
    <w:rsid w:val="00C362E1"/>
    <w:rsid w:val="00C426D8"/>
    <w:rsid w:val="00C448FD"/>
    <w:rsid w:val="00C45537"/>
    <w:rsid w:val="00C45A72"/>
    <w:rsid w:val="00C4666D"/>
    <w:rsid w:val="00C46E0A"/>
    <w:rsid w:val="00C47877"/>
    <w:rsid w:val="00C51E92"/>
    <w:rsid w:val="00C5472C"/>
    <w:rsid w:val="00C548E9"/>
    <w:rsid w:val="00C54CD5"/>
    <w:rsid w:val="00C56587"/>
    <w:rsid w:val="00C56765"/>
    <w:rsid w:val="00C6074F"/>
    <w:rsid w:val="00C60C77"/>
    <w:rsid w:val="00C60D2C"/>
    <w:rsid w:val="00C62AB4"/>
    <w:rsid w:val="00C6304F"/>
    <w:rsid w:val="00C72E1E"/>
    <w:rsid w:val="00C73904"/>
    <w:rsid w:val="00C817C3"/>
    <w:rsid w:val="00C84398"/>
    <w:rsid w:val="00C932BC"/>
    <w:rsid w:val="00CA1B93"/>
    <w:rsid w:val="00CA1F25"/>
    <w:rsid w:val="00CA39D6"/>
    <w:rsid w:val="00CA423C"/>
    <w:rsid w:val="00CA4244"/>
    <w:rsid w:val="00CA4945"/>
    <w:rsid w:val="00CA6B30"/>
    <w:rsid w:val="00CA7C0C"/>
    <w:rsid w:val="00CB403D"/>
    <w:rsid w:val="00CB52AF"/>
    <w:rsid w:val="00CB66D9"/>
    <w:rsid w:val="00CB68A6"/>
    <w:rsid w:val="00CB74C0"/>
    <w:rsid w:val="00CC359F"/>
    <w:rsid w:val="00CD1EC3"/>
    <w:rsid w:val="00CE02D1"/>
    <w:rsid w:val="00CE0EDD"/>
    <w:rsid w:val="00CE1AF0"/>
    <w:rsid w:val="00CE1CC2"/>
    <w:rsid w:val="00CF6AC8"/>
    <w:rsid w:val="00CF76EE"/>
    <w:rsid w:val="00CF799C"/>
    <w:rsid w:val="00D01F0A"/>
    <w:rsid w:val="00D02911"/>
    <w:rsid w:val="00D03413"/>
    <w:rsid w:val="00D047E8"/>
    <w:rsid w:val="00D048C8"/>
    <w:rsid w:val="00D075A7"/>
    <w:rsid w:val="00D10782"/>
    <w:rsid w:val="00D13428"/>
    <w:rsid w:val="00D13A70"/>
    <w:rsid w:val="00D145B9"/>
    <w:rsid w:val="00D14D5E"/>
    <w:rsid w:val="00D162EF"/>
    <w:rsid w:val="00D17531"/>
    <w:rsid w:val="00D1761B"/>
    <w:rsid w:val="00D2173C"/>
    <w:rsid w:val="00D2368F"/>
    <w:rsid w:val="00D25169"/>
    <w:rsid w:val="00D263DD"/>
    <w:rsid w:val="00D2652C"/>
    <w:rsid w:val="00D27FA5"/>
    <w:rsid w:val="00D3239A"/>
    <w:rsid w:val="00D346EC"/>
    <w:rsid w:val="00D349CB"/>
    <w:rsid w:val="00D3594B"/>
    <w:rsid w:val="00D43155"/>
    <w:rsid w:val="00D51AD0"/>
    <w:rsid w:val="00D543A6"/>
    <w:rsid w:val="00D56337"/>
    <w:rsid w:val="00D56A91"/>
    <w:rsid w:val="00D577F3"/>
    <w:rsid w:val="00D57D94"/>
    <w:rsid w:val="00D6053A"/>
    <w:rsid w:val="00D6294C"/>
    <w:rsid w:val="00D638C6"/>
    <w:rsid w:val="00D6576F"/>
    <w:rsid w:val="00D658E2"/>
    <w:rsid w:val="00D67098"/>
    <w:rsid w:val="00D70D55"/>
    <w:rsid w:val="00D72F8D"/>
    <w:rsid w:val="00D72FE0"/>
    <w:rsid w:val="00D757D0"/>
    <w:rsid w:val="00D83AFA"/>
    <w:rsid w:val="00D8423F"/>
    <w:rsid w:val="00D8442D"/>
    <w:rsid w:val="00D86909"/>
    <w:rsid w:val="00D93146"/>
    <w:rsid w:val="00D93505"/>
    <w:rsid w:val="00D94B51"/>
    <w:rsid w:val="00D96A51"/>
    <w:rsid w:val="00DA0500"/>
    <w:rsid w:val="00DA44CF"/>
    <w:rsid w:val="00DA586C"/>
    <w:rsid w:val="00DB2FAD"/>
    <w:rsid w:val="00DB358C"/>
    <w:rsid w:val="00DB36E6"/>
    <w:rsid w:val="00DB62B4"/>
    <w:rsid w:val="00DB78E4"/>
    <w:rsid w:val="00DC3D4C"/>
    <w:rsid w:val="00DC56F1"/>
    <w:rsid w:val="00DC65A5"/>
    <w:rsid w:val="00DE0185"/>
    <w:rsid w:val="00DE0CBA"/>
    <w:rsid w:val="00DE1B8E"/>
    <w:rsid w:val="00DE65E0"/>
    <w:rsid w:val="00DE6EC8"/>
    <w:rsid w:val="00DF0224"/>
    <w:rsid w:val="00DF0606"/>
    <w:rsid w:val="00DF13DE"/>
    <w:rsid w:val="00DF2237"/>
    <w:rsid w:val="00DF3248"/>
    <w:rsid w:val="00DF5E27"/>
    <w:rsid w:val="00DF7B2B"/>
    <w:rsid w:val="00E00CAC"/>
    <w:rsid w:val="00E116F6"/>
    <w:rsid w:val="00E14AE8"/>
    <w:rsid w:val="00E178B3"/>
    <w:rsid w:val="00E2153A"/>
    <w:rsid w:val="00E232E4"/>
    <w:rsid w:val="00E245DC"/>
    <w:rsid w:val="00E253A6"/>
    <w:rsid w:val="00E25B3F"/>
    <w:rsid w:val="00E26461"/>
    <w:rsid w:val="00E30201"/>
    <w:rsid w:val="00E30A0E"/>
    <w:rsid w:val="00E31718"/>
    <w:rsid w:val="00E32D4B"/>
    <w:rsid w:val="00E3513B"/>
    <w:rsid w:val="00E3625D"/>
    <w:rsid w:val="00E41F86"/>
    <w:rsid w:val="00E43AEE"/>
    <w:rsid w:val="00E50105"/>
    <w:rsid w:val="00E5158D"/>
    <w:rsid w:val="00E52A9A"/>
    <w:rsid w:val="00E52B48"/>
    <w:rsid w:val="00E56F72"/>
    <w:rsid w:val="00E57F1B"/>
    <w:rsid w:val="00E6604F"/>
    <w:rsid w:val="00E67F01"/>
    <w:rsid w:val="00E7353E"/>
    <w:rsid w:val="00E74060"/>
    <w:rsid w:val="00E7777C"/>
    <w:rsid w:val="00E77930"/>
    <w:rsid w:val="00E8141B"/>
    <w:rsid w:val="00E829CF"/>
    <w:rsid w:val="00E8695D"/>
    <w:rsid w:val="00E87E6F"/>
    <w:rsid w:val="00E922DE"/>
    <w:rsid w:val="00E93B7F"/>
    <w:rsid w:val="00E97E77"/>
    <w:rsid w:val="00EA0D32"/>
    <w:rsid w:val="00EA1450"/>
    <w:rsid w:val="00EA4FE1"/>
    <w:rsid w:val="00EA6185"/>
    <w:rsid w:val="00EA66B3"/>
    <w:rsid w:val="00EB0EE5"/>
    <w:rsid w:val="00EB1353"/>
    <w:rsid w:val="00EC06C3"/>
    <w:rsid w:val="00EC1459"/>
    <w:rsid w:val="00EC43A2"/>
    <w:rsid w:val="00ED66E5"/>
    <w:rsid w:val="00ED69AC"/>
    <w:rsid w:val="00EE1E42"/>
    <w:rsid w:val="00EE307A"/>
    <w:rsid w:val="00EE6C7A"/>
    <w:rsid w:val="00EF003B"/>
    <w:rsid w:val="00EF07A3"/>
    <w:rsid w:val="00EF18E8"/>
    <w:rsid w:val="00EF2885"/>
    <w:rsid w:val="00EF4855"/>
    <w:rsid w:val="00EF739C"/>
    <w:rsid w:val="00F002B4"/>
    <w:rsid w:val="00F0052D"/>
    <w:rsid w:val="00F0265A"/>
    <w:rsid w:val="00F03054"/>
    <w:rsid w:val="00F05AD4"/>
    <w:rsid w:val="00F10210"/>
    <w:rsid w:val="00F10E73"/>
    <w:rsid w:val="00F1106B"/>
    <w:rsid w:val="00F11D45"/>
    <w:rsid w:val="00F126D8"/>
    <w:rsid w:val="00F1604E"/>
    <w:rsid w:val="00F204B1"/>
    <w:rsid w:val="00F21D71"/>
    <w:rsid w:val="00F22136"/>
    <w:rsid w:val="00F2399E"/>
    <w:rsid w:val="00F25D45"/>
    <w:rsid w:val="00F2672E"/>
    <w:rsid w:val="00F335E9"/>
    <w:rsid w:val="00F33D0D"/>
    <w:rsid w:val="00F34857"/>
    <w:rsid w:val="00F34C31"/>
    <w:rsid w:val="00F37342"/>
    <w:rsid w:val="00F379DC"/>
    <w:rsid w:val="00F41AAA"/>
    <w:rsid w:val="00F43DF0"/>
    <w:rsid w:val="00F45530"/>
    <w:rsid w:val="00F5256C"/>
    <w:rsid w:val="00F57853"/>
    <w:rsid w:val="00F6078A"/>
    <w:rsid w:val="00F63297"/>
    <w:rsid w:val="00F643A8"/>
    <w:rsid w:val="00F64D92"/>
    <w:rsid w:val="00F66D5B"/>
    <w:rsid w:val="00F7133B"/>
    <w:rsid w:val="00F7261F"/>
    <w:rsid w:val="00F73F64"/>
    <w:rsid w:val="00F769EF"/>
    <w:rsid w:val="00F800A3"/>
    <w:rsid w:val="00F8093E"/>
    <w:rsid w:val="00F82610"/>
    <w:rsid w:val="00F878CB"/>
    <w:rsid w:val="00F906D9"/>
    <w:rsid w:val="00F90949"/>
    <w:rsid w:val="00F9127F"/>
    <w:rsid w:val="00F91A02"/>
    <w:rsid w:val="00F93DE7"/>
    <w:rsid w:val="00F94CC0"/>
    <w:rsid w:val="00F96EB5"/>
    <w:rsid w:val="00FA0B92"/>
    <w:rsid w:val="00FA6795"/>
    <w:rsid w:val="00FB15E1"/>
    <w:rsid w:val="00FB1E84"/>
    <w:rsid w:val="00FB212E"/>
    <w:rsid w:val="00FB4D26"/>
    <w:rsid w:val="00FB5921"/>
    <w:rsid w:val="00FB7282"/>
    <w:rsid w:val="00FC0282"/>
    <w:rsid w:val="00FC0F19"/>
    <w:rsid w:val="00FC232B"/>
    <w:rsid w:val="00FC266D"/>
    <w:rsid w:val="00FC4F18"/>
    <w:rsid w:val="00FC653E"/>
    <w:rsid w:val="00FD252E"/>
    <w:rsid w:val="00FD28A7"/>
    <w:rsid w:val="00FD4739"/>
    <w:rsid w:val="00FD4FC5"/>
    <w:rsid w:val="00FD5CB3"/>
    <w:rsid w:val="00FD6347"/>
    <w:rsid w:val="00FE1CCB"/>
    <w:rsid w:val="00FE278B"/>
    <w:rsid w:val="00FE3DC4"/>
    <w:rsid w:val="00FE6872"/>
    <w:rsid w:val="00FF0A67"/>
    <w:rsid w:val="00FF29CB"/>
    <w:rsid w:val="00FF306F"/>
    <w:rsid w:val="00FF4B4A"/>
    <w:rsid w:val="00FF4D0C"/>
    <w:rsid w:val="00FF5B88"/>
    <w:rsid w:val="00FF6F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5A4"/>
    <w:rPr>
      <w:sz w:val="24"/>
      <w:szCs w:val="24"/>
    </w:rPr>
  </w:style>
  <w:style w:type="paragraph" w:styleId="3">
    <w:name w:val="heading 3"/>
    <w:basedOn w:val="a"/>
    <w:link w:val="30"/>
    <w:qFormat/>
    <w:rsid w:val="00875ECD"/>
    <w:pPr>
      <w:keepNext/>
      <w:suppressAutoHyphens/>
      <w:spacing w:line="100" w:lineRule="atLeast"/>
      <w:jc w:val="center"/>
      <w:outlineLvl w:val="2"/>
    </w:pPr>
    <w:rPr>
      <w:b/>
      <w:bCs/>
      <w:color w:val="0000FF"/>
      <w:kern w:val="1"/>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1F5F"/>
    <w:rPr>
      <w:rFonts w:ascii="Tahoma" w:hAnsi="Tahoma" w:cs="Tahoma"/>
      <w:sz w:val="16"/>
      <w:szCs w:val="16"/>
    </w:rPr>
  </w:style>
  <w:style w:type="paragraph" w:customStyle="1" w:styleId="a4">
    <w:name w:val="Стиль"/>
    <w:rsid w:val="002A1F5F"/>
    <w:rPr>
      <w:rFonts w:ascii="MS Sans Serif" w:hAnsi="MS Sans Serif"/>
      <w:lang w:val="en-US" w:eastAsia="ru-RU"/>
    </w:rPr>
  </w:style>
  <w:style w:type="paragraph" w:styleId="a5">
    <w:name w:val="Document Map"/>
    <w:basedOn w:val="a"/>
    <w:semiHidden/>
    <w:rsid w:val="00272936"/>
    <w:pPr>
      <w:shd w:val="clear" w:color="auto" w:fill="000080"/>
    </w:pPr>
    <w:rPr>
      <w:rFonts w:ascii="Tahoma" w:hAnsi="Tahoma" w:cs="Tahoma"/>
      <w:sz w:val="20"/>
      <w:szCs w:val="20"/>
    </w:rPr>
  </w:style>
  <w:style w:type="paragraph" w:styleId="31">
    <w:name w:val="Body Text Indent 3"/>
    <w:basedOn w:val="a"/>
    <w:rsid w:val="00EA1450"/>
    <w:pPr>
      <w:autoSpaceDE w:val="0"/>
      <w:autoSpaceDN w:val="0"/>
      <w:ind w:firstLine="851"/>
      <w:jc w:val="both"/>
    </w:pPr>
    <w:rPr>
      <w:sz w:val="28"/>
      <w:szCs w:val="28"/>
      <w:lang w:eastAsia="ru-RU"/>
    </w:rPr>
  </w:style>
  <w:style w:type="table" w:styleId="a6">
    <w:name w:val="Table Grid"/>
    <w:basedOn w:val="a1"/>
    <w:rsid w:val="00EA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rsid w:val="00A26E73"/>
    <w:rPr>
      <w:lang w:eastAsia="ru-RU"/>
    </w:rPr>
  </w:style>
  <w:style w:type="paragraph" w:styleId="a7">
    <w:name w:val="Body Text"/>
    <w:basedOn w:val="a"/>
    <w:link w:val="a8"/>
    <w:rsid w:val="00DF5E27"/>
    <w:pPr>
      <w:widowControl w:val="0"/>
      <w:autoSpaceDE w:val="0"/>
      <w:autoSpaceDN w:val="0"/>
      <w:adjustRightInd w:val="0"/>
      <w:spacing w:after="120"/>
    </w:pPr>
    <w:rPr>
      <w:sz w:val="20"/>
      <w:szCs w:val="20"/>
      <w:lang w:val="ru-RU" w:eastAsia="ru-RU"/>
    </w:rPr>
  </w:style>
  <w:style w:type="character" w:customStyle="1" w:styleId="a8">
    <w:name w:val="Основний текст Знак"/>
    <w:basedOn w:val="a0"/>
    <w:link w:val="a7"/>
    <w:locked/>
    <w:rsid w:val="00DF5E27"/>
    <w:rPr>
      <w:lang w:val="ru-RU" w:eastAsia="ru-RU" w:bidi="ar-SA"/>
    </w:rPr>
  </w:style>
  <w:style w:type="character" w:customStyle="1" w:styleId="Bodytext">
    <w:name w:val="Body text"/>
    <w:basedOn w:val="a0"/>
    <w:rsid w:val="00716E9A"/>
    <w:rPr>
      <w:spacing w:val="6"/>
      <w:lang w:bidi="ar-SA"/>
    </w:rPr>
  </w:style>
  <w:style w:type="character" w:customStyle="1" w:styleId="BodytextSpacing0pt">
    <w:name w:val="Body text + Spacing 0 pt"/>
    <w:basedOn w:val="a0"/>
    <w:rsid w:val="00716E9A"/>
    <w:rPr>
      <w:spacing w:val="9"/>
      <w:lang w:bidi="ar-SA"/>
    </w:rPr>
  </w:style>
  <w:style w:type="character" w:customStyle="1" w:styleId="Bodytext12">
    <w:name w:val="Body text + 12"/>
    <w:aliases w:val="5 pt,Spacing 0 pt"/>
    <w:basedOn w:val="a0"/>
    <w:rsid w:val="00716E9A"/>
    <w:rPr>
      <w:spacing w:val="0"/>
      <w:sz w:val="25"/>
      <w:szCs w:val="25"/>
      <w:lang w:bidi="ar-SA"/>
    </w:rPr>
  </w:style>
  <w:style w:type="paragraph" w:customStyle="1" w:styleId="11">
    <w:name w:val="Знак Знак1 Знак Знак Знак Знак Знак Знак Знак Знак Знак1 Знак"/>
    <w:basedOn w:val="a"/>
    <w:uiPriority w:val="99"/>
    <w:rsid w:val="00650C5C"/>
    <w:pPr>
      <w:ind w:firstLine="720"/>
    </w:pPr>
    <w:rPr>
      <w:rFonts w:ascii="Verdana" w:hAnsi="Verdana" w:cs="Verdana"/>
      <w:sz w:val="20"/>
      <w:szCs w:val="20"/>
      <w:lang w:val="en-US" w:eastAsia="en-US"/>
    </w:rPr>
  </w:style>
  <w:style w:type="paragraph" w:customStyle="1" w:styleId="310">
    <w:name w:val="Основной текст с отступом 31"/>
    <w:basedOn w:val="a"/>
    <w:rsid w:val="00D346EC"/>
    <w:pPr>
      <w:suppressAutoHyphens/>
      <w:spacing w:after="120"/>
      <w:ind w:left="283"/>
    </w:pPr>
    <w:rPr>
      <w:sz w:val="16"/>
      <w:szCs w:val="16"/>
      <w:lang w:eastAsia="zh-CN"/>
    </w:rPr>
  </w:style>
  <w:style w:type="paragraph" w:styleId="a9">
    <w:name w:val="header"/>
    <w:basedOn w:val="a"/>
    <w:rsid w:val="00D346EC"/>
    <w:pPr>
      <w:tabs>
        <w:tab w:val="center" w:pos="4677"/>
        <w:tab w:val="right" w:pos="9355"/>
      </w:tabs>
    </w:pPr>
  </w:style>
  <w:style w:type="character" w:styleId="aa">
    <w:name w:val="page number"/>
    <w:basedOn w:val="a0"/>
    <w:rsid w:val="00D346EC"/>
  </w:style>
  <w:style w:type="character" w:customStyle="1" w:styleId="ab">
    <w:name w:val="Основний текст_"/>
    <w:link w:val="1"/>
    <w:rsid w:val="00301A70"/>
    <w:rPr>
      <w:spacing w:val="10"/>
      <w:sz w:val="24"/>
      <w:szCs w:val="24"/>
      <w:shd w:val="clear" w:color="auto" w:fill="FFFFFF"/>
      <w:lang w:bidi="ar-SA"/>
    </w:rPr>
  </w:style>
  <w:style w:type="character" w:customStyle="1" w:styleId="0pt">
    <w:name w:val="Основний текст + Інтервал 0 pt"/>
    <w:rsid w:val="00301A70"/>
    <w:rPr>
      <w:rFonts w:eastAsia="Times New Roman"/>
      <w:spacing w:val="0"/>
      <w:sz w:val="24"/>
      <w:szCs w:val="24"/>
      <w:shd w:val="clear" w:color="auto" w:fill="FFFFFF"/>
    </w:rPr>
  </w:style>
  <w:style w:type="paragraph" w:customStyle="1" w:styleId="1">
    <w:name w:val="Основний текст1"/>
    <w:basedOn w:val="a"/>
    <w:link w:val="ab"/>
    <w:rsid w:val="00301A70"/>
    <w:pPr>
      <w:shd w:val="clear" w:color="auto" w:fill="FFFFFF"/>
      <w:spacing w:line="307" w:lineRule="exact"/>
    </w:pPr>
    <w:rPr>
      <w:spacing w:val="10"/>
      <w:shd w:val="clear" w:color="auto" w:fill="FFFFFF"/>
    </w:rPr>
  </w:style>
  <w:style w:type="paragraph" w:customStyle="1" w:styleId="2">
    <w:name w:val="Знак2"/>
    <w:basedOn w:val="a"/>
    <w:rsid w:val="005275F9"/>
    <w:rPr>
      <w:rFonts w:ascii="Verdana" w:hAnsi="Verdana" w:cs="Verdana"/>
      <w:sz w:val="20"/>
      <w:szCs w:val="20"/>
      <w:lang w:val="en-US" w:eastAsia="en-US"/>
    </w:rPr>
  </w:style>
  <w:style w:type="character" w:customStyle="1" w:styleId="30">
    <w:name w:val="Заголовок 3 Знак"/>
    <w:basedOn w:val="a0"/>
    <w:link w:val="3"/>
    <w:rsid w:val="00875ECD"/>
    <w:rPr>
      <w:b/>
      <w:bCs/>
      <w:color w:val="0000FF"/>
      <w:kern w:val="1"/>
      <w:sz w:val="28"/>
      <w:szCs w:val="24"/>
      <w:lang w:val="ru-RU" w:eastAsia="ru-RU"/>
    </w:rPr>
  </w:style>
  <w:style w:type="paragraph" w:customStyle="1" w:styleId="20">
    <w:name w:val="Знак Знак Знак Знак Знак Знак Знак Знак Знак Знак Знак Знак Знак Знак Знак Знак2"/>
    <w:basedOn w:val="a"/>
    <w:uiPriority w:val="99"/>
    <w:rsid w:val="009C1567"/>
    <w:rPr>
      <w:rFonts w:ascii="Verdana" w:hAnsi="Verdana" w:cs="Verdana"/>
      <w:sz w:val="20"/>
      <w:szCs w:val="20"/>
      <w:lang w:val="en-US" w:eastAsia="en-US"/>
    </w:rPr>
  </w:style>
  <w:style w:type="paragraph" w:styleId="ac">
    <w:name w:val="List Paragraph"/>
    <w:basedOn w:val="a"/>
    <w:uiPriority w:val="34"/>
    <w:qFormat/>
    <w:rsid w:val="0084112A"/>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_"/>
    <w:basedOn w:val="a0"/>
    <w:link w:val="ae"/>
    <w:locked/>
    <w:rsid w:val="006F0595"/>
    <w:rPr>
      <w:sz w:val="24"/>
      <w:szCs w:val="24"/>
      <w:shd w:val="clear" w:color="auto" w:fill="FFFFFF"/>
      <w:lang w:val="ru-RU" w:eastAsia="ru-RU"/>
    </w:rPr>
  </w:style>
  <w:style w:type="paragraph" w:customStyle="1" w:styleId="ae">
    <w:name w:val="Основной текст"/>
    <w:basedOn w:val="a"/>
    <w:link w:val="ad"/>
    <w:rsid w:val="006F0595"/>
    <w:pPr>
      <w:widowControl w:val="0"/>
      <w:shd w:val="clear" w:color="auto" w:fill="FFFFFF"/>
      <w:spacing w:before="60" w:after="60" w:line="240" w:lineRule="atLeast"/>
      <w:jc w:val="center"/>
    </w:pPr>
    <w:rPr>
      <w:lang w:val="ru-RU" w:eastAsia="ru-RU"/>
    </w:rPr>
  </w:style>
  <w:style w:type="character" w:customStyle="1" w:styleId="20pt">
    <w:name w:val="Подпись к таблице (2) + Интервал 0 pt"/>
    <w:basedOn w:val="a0"/>
    <w:rsid w:val="006F0595"/>
    <w:rPr>
      <w:rFonts w:cs="Times New Roman"/>
      <w:spacing w:val="0"/>
      <w:lang w:bidi="ar-SA"/>
    </w:rPr>
  </w:style>
  <w:style w:type="character" w:styleId="af">
    <w:name w:val="Hyperlink"/>
    <w:basedOn w:val="a0"/>
    <w:rsid w:val="000F1148"/>
    <w:rPr>
      <w:rFonts w:cs="Times New Roman"/>
      <w:color w:val="0000FF"/>
      <w:u w:val="single"/>
    </w:rPr>
  </w:style>
  <w:style w:type="paragraph" w:customStyle="1" w:styleId="10">
    <w:name w:val="Звичайний (веб)1"/>
    <w:basedOn w:val="a"/>
    <w:rsid w:val="000F1148"/>
    <w:pPr>
      <w:suppressAutoHyphens/>
      <w:spacing w:before="28" w:after="28" w:line="100" w:lineRule="atLeast"/>
    </w:pPr>
    <w:rPr>
      <w:kern w:val="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stets\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v>2021</c:v>
          </c:tx>
          <c:cat>
            <c:strRef>
              <c:f>Аркуш2!$C$3:$C$6</c:f>
              <c:strCache>
                <c:ptCount val="4"/>
                <c:pt idx="0">
                  <c:v>ДБ ВСЬОГО</c:v>
                </c:pt>
                <c:pt idx="1">
                  <c:v>ПДВ</c:v>
                </c:pt>
                <c:pt idx="2">
                  <c:v>ПнП</c:v>
                </c:pt>
                <c:pt idx="3">
                  <c:v>Акциз</c:v>
                </c:pt>
              </c:strCache>
            </c:strRef>
          </c:cat>
          <c:val>
            <c:numRef>
              <c:f>Аркуш2!$A$3:$A$6</c:f>
              <c:numCache>
                <c:formatCode>General</c:formatCode>
                <c:ptCount val="4"/>
                <c:pt idx="0">
                  <c:v>14228.2</c:v>
                </c:pt>
                <c:pt idx="1">
                  <c:v>8693.5</c:v>
                </c:pt>
                <c:pt idx="2">
                  <c:v>4210.3</c:v>
                </c:pt>
                <c:pt idx="3">
                  <c:v>361.1</c:v>
                </c:pt>
              </c:numCache>
            </c:numRef>
          </c:val>
        </c:ser>
        <c:ser>
          <c:idx val="1"/>
          <c:order val="1"/>
          <c:tx>
            <c:v>2022</c:v>
          </c:tx>
          <c:cat>
            <c:strRef>
              <c:f>Аркуш2!$C$3:$C$6</c:f>
              <c:strCache>
                <c:ptCount val="4"/>
                <c:pt idx="0">
                  <c:v>ДБ ВСЬОГО</c:v>
                </c:pt>
                <c:pt idx="1">
                  <c:v>ПДВ</c:v>
                </c:pt>
                <c:pt idx="2">
                  <c:v>ПнП</c:v>
                </c:pt>
                <c:pt idx="3">
                  <c:v>Акциз</c:v>
                </c:pt>
              </c:strCache>
            </c:strRef>
          </c:cat>
          <c:val>
            <c:numRef>
              <c:f>Аркуш2!$B$3:$B$6</c:f>
              <c:numCache>
                <c:formatCode>General</c:formatCode>
                <c:ptCount val="4"/>
                <c:pt idx="0">
                  <c:v>15924.2</c:v>
                </c:pt>
                <c:pt idx="1">
                  <c:v>9291.5</c:v>
                </c:pt>
                <c:pt idx="2">
                  <c:v>5199</c:v>
                </c:pt>
                <c:pt idx="3">
                  <c:v>371.4</c:v>
                </c:pt>
              </c:numCache>
            </c:numRef>
          </c:val>
        </c:ser>
        <c:shape val="box"/>
        <c:axId val="133992832"/>
        <c:axId val="133995136"/>
        <c:axId val="0"/>
      </c:bar3DChart>
      <c:catAx>
        <c:axId val="133992832"/>
        <c:scaling>
          <c:orientation val="minMax"/>
        </c:scaling>
        <c:axPos val="b"/>
        <c:numFmt formatCode="General" sourceLinked="1"/>
        <c:tickLblPos val="nextTo"/>
        <c:crossAx val="133995136"/>
        <c:crosses val="autoZero"/>
        <c:auto val="1"/>
        <c:lblAlgn val="ctr"/>
        <c:lblOffset val="100"/>
      </c:catAx>
      <c:valAx>
        <c:axId val="133995136"/>
        <c:scaling>
          <c:orientation val="minMax"/>
        </c:scaling>
        <c:axPos val="l"/>
        <c:majorGridlines/>
        <c:numFmt formatCode="General" sourceLinked="1"/>
        <c:tickLblPos val="nextTo"/>
        <c:crossAx val="133992832"/>
        <c:crosses val="autoZero"/>
        <c:crossBetween val="between"/>
      </c:valAx>
      <c:spPr>
        <a:noFill/>
        <a:ln w="25400">
          <a:noFill/>
        </a:ln>
      </c:spPr>
    </c:plotArea>
    <c:legend>
      <c:legendPos val="r"/>
      <c:txPr>
        <a:bodyPr/>
        <a:lstStyle/>
        <a:p>
          <a:pPr>
            <a:defRPr sz="1100" b="1" i="0" baseline="0"/>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perspective val="30"/>
    </c:view3D>
    <c:plotArea>
      <c:layout/>
      <c:pie3DChart>
        <c:varyColors val="1"/>
        <c:ser>
          <c:idx val="1"/>
          <c:order val="1"/>
          <c:cat>
            <c:strRef>
              <c:f>Аркуш1!$A$1:$G$1</c:f>
              <c:strCache>
                <c:ptCount val="7"/>
                <c:pt idx="0">
                  <c:v>Заробітна плата</c:v>
                </c:pt>
                <c:pt idx="1">
                  <c:v>Нарахування на оплату праці</c:v>
                </c:pt>
                <c:pt idx="2">
                  <c:v>Предмети, матеріали, обладнання</c:v>
                </c:pt>
                <c:pt idx="3">
                  <c:v>Оплата послуг</c:v>
                </c:pt>
                <c:pt idx="4">
                  <c:v>Видатки на відрядження</c:v>
                </c:pt>
                <c:pt idx="5">
                  <c:v>Оплата комунальних послуг</c:v>
                </c:pt>
                <c:pt idx="6">
                  <c:v>Судовий збір</c:v>
                </c:pt>
              </c:strCache>
            </c:strRef>
          </c:cat>
          <c:val>
            <c:numRef>
              <c:f>Аркуш1!$A$2:$G$2</c:f>
              <c:numCache>
                <c:formatCode>General</c:formatCode>
                <c:ptCount val="7"/>
                <c:pt idx="0">
                  <c:v>36974675</c:v>
                </c:pt>
                <c:pt idx="1">
                  <c:v>8196805.7600000007</c:v>
                </c:pt>
                <c:pt idx="2">
                  <c:v>355099.6</c:v>
                </c:pt>
                <c:pt idx="3">
                  <c:v>240244</c:v>
                </c:pt>
                <c:pt idx="4">
                  <c:v>373866.13999999996</c:v>
                </c:pt>
                <c:pt idx="5">
                  <c:v>124100</c:v>
                </c:pt>
                <c:pt idx="6">
                  <c:v>1987181.07</c:v>
                </c:pt>
              </c:numCache>
            </c:numRef>
          </c:val>
        </c:ser>
        <c:ser>
          <c:idx val="0"/>
          <c:order val="0"/>
          <c:cat>
            <c:strRef>
              <c:f>Аркуш1!$A$1:$G$1</c:f>
              <c:strCache>
                <c:ptCount val="7"/>
                <c:pt idx="0">
                  <c:v>Заробітна плата</c:v>
                </c:pt>
                <c:pt idx="1">
                  <c:v>Нарахування на оплату праці</c:v>
                </c:pt>
                <c:pt idx="2">
                  <c:v>Предмети, матеріали, обладнання</c:v>
                </c:pt>
                <c:pt idx="3">
                  <c:v>Оплата послуг</c:v>
                </c:pt>
                <c:pt idx="4">
                  <c:v>Видатки на відрядження</c:v>
                </c:pt>
                <c:pt idx="5">
                  <c:v>Оплата комунальних послуг</c:v>
                </c:pt>
                <c:pt idx="6">
                  <c:v>Судовий збір</c:v>
                </c:pt>
              </c:strCache>
            </c:strRef>
          </c:cat>
          <c:val>
            <c:numRef>
              <c:f>Аркуш1!$A$2:$G$2</c:f>
              <c:numCache>
                <c:formatCode>General</c:formatCode>
                <c:ptCount val="7"/>
                <c:pt idx="0">
                  <c:v>36974675</c:v>
                </c:pt>
                <c:pt idx="1">
                  <c:v>8196805.7600000007</c:v>
                </c:pt>
                <c:pt idx="2">
                  <c:v>355099.6</c:v>
                </c:pt>
                <c:pt idx="3">
                  <c:v>240244</c:v>
                </c:pt>
                <c:pt idx="4">
                  <c:v>373866.13999999996</c:v>
                </c:pt>
                <c:pt idx="5">
                  <c:v>124100</c:v>
                </c:pt>
                <c:pt idx="6">
                  <c:v>1987181.07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5398-50D5-47B2-9795-5AD84AF8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18</Pages>
  <Words>25643</Words>
  <Characters>14617</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18</vt:lpstr>
      <vt:lpstr>18</vt:lpstr>
    </vt:vector>
  </TitlesOfParts>
  <Company>STA</Company>
  <LinksUpToDate>false</LinksUpToDate>
  <CharactersWithSpaces>40180</CharactersWithSpaces>
  <SharedDoc>false</SharedDoc>
  <HLinks>
    <vt:vector size="6" baseType="variant">
      <vt:variant>
        <vt:i4>2359313</vt:i4>
      </vt:variant>
      <vt:variant>
        <vt:i4>3</vt:i4>
      </vt:variant>
      <vt:variant>
        <vt:i4>0</vt:i4>
      </vt:variant>
      <vt:variant>
        <vt:i4>5</vt:i4>
      </vt:variant>
      <vt:variant>
        <vt:lpwstr>mailto:officevp.infr@tax.gov.ua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gdivchur</dc:creator>
  <cp:lastModifiedBy>ZDumich</cp:lastModifiedBy>
  <cp:revision>30</cp:revision>
  <cp:lastPrinted>2018-01-10T10:07:00Z</cp:lastPrinted>
  <dcterms:created xsi:type="dcterms:W3CDTF">2023-01-11T09:35:00Z</dcterms:created>
  <dcterms:modified xsi:type="dcterms:W3CDTF">2023-02-09T08:08:00Z</dcterms:modified>
</cp:coreProperties>
</file>