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77" w:rsidRPr="000B27F9" w:rsidRDefault="00992977" w:rsidP="00992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BD5BD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Інформація щодо проведення перевірки, передбаченої </w:t>
      </w:r>
    </w:p>
    <w:p w:rsidR="00992977" w:rsidRPr="000B27F9" w:rsidRDefault="00992977" w:rsidP="00992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BD5BD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Законом України "Про очищення влади"</w:t>
      </w:r>
    </w:p>
    <w:p w:rsidR="00992977" w:rsidRPr="00BD5BDF" w:rsidRDefault="00992977" w:rsidP="00992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:rsidR="00992977" w:rsidRDefault="00992977" w:rsidP="009929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ом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України «Про очищення влади» передбачено проведення перевірки достовірності відомостей щодо застосування заборон, передбачених частинами третьою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 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четвертою статті 1 Закону України «Про очищення влади», поданих особами, які обіймають відповідні посади чи претендують на зайняття таких посад. Порядок проведення такої перевірки та перелік органів, що її проводять, затверджено постановою Кабінету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Міністрів України від 16 жовтня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563 «Деякі питання реалізації Закону України «Про очищення влади»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992977" w:rsidRPr="00BD5BDF" w:rsidRDefault="00992977" w:rsidP="00992977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:rsidR="00992977" w:rsidRPr="000B27F9" w:rsidRDefault="00992977" w:rsidP="0099297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виконання вимог Закону України «Про очищення влади»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Головне управління 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ДПС 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</w:t>
      </w:r>
      <w:r w:rsidRPr="000B2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Чернівецькій</w:t>
      </w:r>
      <w:r w:rsidRPr="00BD5B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області інформує про те, що розпочато перевірку стосовно: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03"/>
        <w:gridCol w:w="1843"/>
        <w:gridCol w:w="2410"/>
        <w:gridCol w:w="1276"/>
        <w:gridCol w:w="1842"/>
      </w:tblGrid>
      <w:tr w:rsidR="009B2A83" w:rsidRPr="00AD7203" w:rsidTr="009B2A83">
        <w:tc>
          <w:tcPr>
            <w:tcW w:w="36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№</w:t>
            </w:r>
          </w:p>
        </w:tc>
        <w:tc>
          <w:tcPr>
            <w:tcW w:w="190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П.І.Б.</w:t>
            </w:r>
          </w:p>
        </w:tc>
        <w:tc>
          <w:tcPr>
            <w:tcW w:w="184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Посада</w:t>
            </w:r>
          </w:p>
        </w:tc>
        <w:tc>
          <w:tcPr>
            <w:tcW w:w="2410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Посилання на декларацію особи, уповноваженої на виконання функцій держави або місцевого самоврядування</w:t>
            </w:r>
          </w:p>
        </w:tc>
        <w:tc>
          <w:tcPr>
            <w:tcW w:w="127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Дата початку перевірки</w:t>
            </w:r>
          </w:p>
        </w:tc>
        <w:tc>
          <w:tcPr>
            <w:tcW w:w="1842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</w:tcPr>
          <w:p w:rsidR="009B2A83" w:rsidRPr="00BD5BDF" w:rsidRDefault="009B2A83" w:rsidP="00FC74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Результати перевірки</w:t>
            </w:r>
          </w:p>
        </w:tc>
      </w:tr>
      <w:tr w:rsidR="009B2A83" w:rsidRPr="00AD7203" w:rsidTr="009B2A83">
        <w:tc>
          <w:tcPr>
            <w:tcW w:w="36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9B2A83" w:rsidP="00FC74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1.</w:t>
            </w:r>
          </w:p>
        </w:tc>
        <w:tc>
          <w:tcPr>
            <w:tcW w:w="190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BD5BDF" w:rsidRDefault="002C7F57" w:rsidP="00FC7440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Перстинчик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Лариса Миколаївна</w:t>
            </w:r>
          </w:p>
        </w:tc>
        <w:tc>
          <w:tcPr>
            <w:tcW w:w="184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2A83" w:rsidRPr="009E1A62" w:rsidRDefault="002C7F57" w:rsidP="00FC7440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державний інспектор </w:t>
            </w:r>
            <w:proofErr w:type="spellStart"/>
            <w:r w:rsidRPr="009E1A62">
              <w:rPr>
                <w:rFonts w:ascii="Times New Roman" w:hAnsi="Times New Roman" w:cs="Times New Roman"/>
                <w:sz w:val="24"/>
                <w:szCs w:val="24"/>
              </w:rPr>
              <w:t>Кельменецького</w:t>
            </w:r>
            <w:proofErr w:type="spellEnd"/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податків і зборів з фізичних осіб та проведення камеральних перевірок управління оподатку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>ання фізичних осіб</w:t>
            </w:r>
          </w:p>
        </w:tc>
        <w:tc>
          <w:tcPr>
            <w:tcW w:w="2410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Pr="00BD5BDF" w:rsidRDefault="002C7F57" w:rsidP="00FC744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4" w:history="1">
              <w:r w:rsidRPr="00AB2355">
                <w:rPr>
                  <w:rStyle w:val="a3"/>
                </w:rPr>
                <w:t>https://public.nazk.gov.ua/documents/cef0f19a-be31-46c4-a472-e1e699fedd07</w:t>
              </w:r>
            </w:hyperlink>
          </w:p>
        </w:tc>
        <w:tc>
          <w:tcPr>
            <w:tcW w:w="127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Pr="00BD5BDF" w:rsidRDefault="002C7F57" w:rsidP="00FC74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04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</w:tcPr>
          <w:p w:rsidR="009B2A83" w:rsidRDefault="002C7F57" w:rsidP="009564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Не застосовуються заборони, визначені частиною третьою та четвертою статті 1 Закону України «Про очищення влади»</w:t>
            </w:r>
          </w:p>
        </w:tc>
      </w:tr>
      <w:tr w:rsidR="009B2A83" w:rsidRPr="00AD7203" w:rsidTr="009B2A83">
        <w:tc>
          <w:tcPr>
            <w:tcW w:w="36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Pr="00BD5BDF" w:rsidRDefault="00C53D62" w:rsidP="00FC74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2.</w:t>
            </w:r>
          </w:p>
        </w:tc>
        <w:tc>
          <w:tcPr>
            <w:tcW w:w="190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Default="00C53D62" w:rsidP="00FC7440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Лєпшеєв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Віталій Леонідович</w:t>
            </w:r>
          </w:p>
        </w:tc>
        <w:tc>
          <w:tcPr>
            <w:tcW w:w="184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Pr="009E1A62" w:rsidRDefault="00981E1B" w:rsidP="00FC7440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державний інспектор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E48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 акцизних складів та податкових постів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5">
              <w:rPr>
                <w:rFonts w:ascii="Times New Roman" w:hAnsi="Times New Roman" w:cs="Times New Roman"/>
                <w:sz w:val="24"/>
                <w:szCs w:val="24"/>
              </w:rPr>
              <w:t>управління контролю за підакцизними товарами</w:t>
            </w:r>
          </w:p>
        </w:tc>
        <w:tc>
          <w:tcPr>
            <w:tcW w:w="2410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Default="00981E1B" w:rsidP="00FC7440">
            <w:hyperlink r:id="rId5" w:history="1">
              <w:r w:rsidRPr="00752A18">
                <w:rPr>
                  <w:rStyle w:val="a3"/>
                </w:rPr>
                <w:t>https://public.nazk.gov.ua/documents/53e9be0a-9321-4876-acbd-77d1f580187d</w:t>
              </w:r>
            </w:hyperlink>
          </w:p>
        </w:tc>
        <w:tc>
          <w:tcPr>
            <w:tcW w:w="127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B2A83" w:rsidRDefault="00981E1B" w:rsidP="00FC74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24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04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</w:tcPr>
          <w:p w:rsidR="009B2A83" w:rsidRDefault="00981E1B" w:rsidP="009564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 xml:space="preserve">Не застосовуються заборони, визначені 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частиною третьою та четвертою статті 1 Закону України «Про очищення влади»</w:t>
            </w:r>
            <w:bookmarkEnd w:id="0"/>
          </w:p>
        </w:tc>
      </w:tr>
      <w:tr w:rsidR="009564D6" w:rsidRPr="00AD7203" w:rsidTr="009B2A83">
        <w:tc>
          <w:tcPr>
            <w:tcW w:w="36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BD5BDF" w:rsidRDefault="009564D6" w:rsidP="009564D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3.</w:t>
            </w:r>
          </w:p>
        </w:tc>
        <w:tc>
          <w:tcPr>
            <w:tcW w:w="190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Default="009564D6" w:rsidP="009564D6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Дроняк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Танасіївна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9E1A62" w:rsidRDefault="009564D6" w:rsidP="009564D6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державний інспектор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Кіцманського</w:t>
            </w: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податків і зборів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 осіб управління оподатку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B96C57" w:rsidRDefault="009564D6" w:rsidP="009564D6">
            <w:hyperlink r:id="rId6" w:history="1">
              <w:r w:rsidRPr="00E738A0">
                <w:rPr>
                  <w:rStyle w:val="a3"/>
                </w:rPr>
                <w:t>https://public.nazk.gov.ua/documents/36897671-a812-4ffe-80cc-d2666fcf702c</w:t>
              </w:r>
            </w:hyperlink>
          </w:p>
          <w:p w:rsidR="009564D6" w:rsidRPr="00BD5BDF" w:rsidRDefault="009564D6" w:rsidP="009564D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Default="009564D6" w:rsidP="009564D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06.05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</w:tcPr>
          <w:p w:rsidR="009564D6" w:rsidRDefault="009564D6" w:rsidP="009564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Не застосовуються заборони, визначені частиною третьою та четвертою статті 1 Закону України «Про очищення влади»</w:t>
            </w:r>
          </w:p>
        </w:tc>
      </w:tr>
      <w:tr w:rsidR="009564D6" w:rsidRPr="00AD7203" w:rsidTr="009B2A83">
        <w:tc>
          <w:tcPr>
            <w:tcW w:w="36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BD5BDF" w:rsidRDefault="009564D6" w:rsidP="009564D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4.</w:t>
            </w:r>
          </w:p>
        </w:tc>
        <w:tc>
          <w:tcPr>
            <w:tcW w:w="190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Default="009564D6" w:rsidP="009564D6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Форемна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Олена Сергіївна</w:t>
            </w:r>
          </w:p>
        </w:tc>
        <w:tc>
          <w:tcPr>
            <w:tcW w:w="1843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9E1A62" w:rsidRDefault="009564D6" w:rsidP="009564D6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державний інспектор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E48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планових та позапланових перевірок оподаткування фізичних осіб </w:t>
            </w:r>
            <w:r w:rsidRPr="005E096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оподаткування фізичних осіб</w:t>
            </w:r>
          </w:p>
        </w:tc>
        <w:tc>
          <w:tcPr>
            <w:tcW w:w="2410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Default="009564D6" w:rsidP="009564D6">
            <w:hyperlink r:id="rId7" w:history="1">
              <w:r w:rsidRPr="00C051DA">
                <w:rPr>
                  <w:rStyle w:val="a3"/>
                </w:rPr>
                <w:t>https://public.nazk.gov.ua/documents/8081cece-e23b-47e1-9024-913f90108b99</w:t>
              </w:r>
            </w:hyperlink>
          </w:p>
          <w:p w:rsidR="009564D6" w:rsidRPr="00BD5BDF" w:rsidRDefault="009564D6" w:rsidP="009564D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64D6" w:rsidRPr="00BD5BDF" w:rsidRDefault="009564D6" w:rsidP="009564D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28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05</w:t>
            </w:r>
            <w:r w:rsidRPr="00BD5BDF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</w:tcPr>
          <w:p w:rsidR="009564D6" w:rsidRDefault="009564D6" w:rsidP="009564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uk-UA"/>
                <w14:ligatures w14:val="none"/>
              </w:rPr>
              <w:t>Не застосовуються заборони, визначені частиною третьою та четвертою статті 1 Закону України «Про очищення влади»</w:t>
            </w:r>
          </w:p>
        </w:tc>
      </w:tr>
    </w:tbl>
    <w:p w:rsidR="00992977" w:rsidRPr="00B6529F" w:rsidRDefault="00992977" w:rsidP="00992977"/>
    <w:p w:rsidR="009E3461" w:rsidRDefault="009E3461"/>
    <w:sectPr w:rsidR="009E3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7"/>
    <w:rsid w:val="0013640E"/>
    <w:rsid w:val="002C7F57"/>
    <w:rsid w:val="009564D6"/>
    <w:rsid w:val="00981E1B"/>
    <w:rsid w:val="00992977"/>
    <w:rsid w:val="009B2A83"/>
    <w:rsid w:val="009E3461"/>
    <w:rsid w:val="00C53D62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F4C"/>
  <w15:chartTrackingRefBased/>
  <w15:docId w15:val="{61F7D7A3-DFC8-4E6F-BC19-C41728A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7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.nazk.gov.ua/documents/8081cece-e23b-47e1-9024-913f90108b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documents/36897671-a812-4ffe-80cc-d2666fcf702c" TargetMode="External"/><Relationship Id="rId5" Type="http://schemas.openxmlformats.org/officeDocument/2006/relationships/hyperlink" Target="https://public.nazk.gov.ua/documents/53e9be0a-9321-4876-acbd-77d1f580187d" TargetMode="External"/><Relationship Id="rId4" Type="http://schemas.openxmlformats.org/officeDocument/2006/relationships/hyperlink" Target="https://public.nazk.gov.ua/documents/cef0f19a-be31-46c4-a472-e1e699fedd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2024-05-27T11:25:00Z</dcterms:created>
  <dcterms:modified xsi:type="dcterms:W3CDTF">2024-05-29T13:09:00Z</dcterms:modified>
</cp:coreProperties>
</file>