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73" w:rsidRPr="00AE41BD" w:rsidRDefault="00E31A73">
      <w:pPr>
        <w:pStyle w:val="a3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115" w:tblpY="1"/>
        <w:tblOverlap w:val="never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"/>
        <w:gridCol w:w="3148"/>
        <w:gridCol w:w="12191"/>
      </w:tblGrid>
      <w:tr w:rsidR="00E31A73" w:rsidRPr="00AE41BD" w:rsidTr="00A526DE">
        <w:trPr>
          <w:trHeight w:val="1040"/>
        </w:trPr>
        <w:tc>
          <w:tcPr>
            <w:tcW w:w="15740" w:type="dxa"/>
            <w:gridSpan w:val="3"/>
          </w:tcPr>
          <w:p w:rsidR="00E31A73" w:rsidRPr="00AE41BD" w:rsidRDefault="00645EF6" w:rsidP="00A84966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Обґрунтування технічних та якісних характеристик</w:t>
            </w:r>
          </w:p>
          <w:p w:rsidR="00E31A73" w:rsidRPr="00AE41BD" w:rsidRDefault="00645EF6" w:rsidP="00A84966">
            <w:pPr>
              <w:pStyle w:val="TableParagraph"/>
              <w:ind w:left="269" w:right="269"/>
              <w:jc w:val="center"/>
              <w:rPr>
                <w:b/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31A73" w:rsidRPr="00AE41BD" w:rsidTr="00A526DE">
        <w:trPr>
          <w:trHeight w:val="643"/>
        </w:trPr>
        <w:tc>
          <w:tcPr>
            <w:tcW w:w="401" w:type="dxa"/>
          </w:tcPr>
          <w:p w:rsidR="00E31A73" w:rsidRPr="00AE41BD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E31A73" w:rsidRPr="00AE41BD" w:rsidRDefault="00645EF6" w:rsidP="00A84966">
            <w:pPr>
              <w:pStyle w:val="TableParagraph"/>
              <w:ind w:left="108" w:right="839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Назва предмета закупівлі та очікувана вартість</w:t>
            </w:r>
          </w:p>
        </w:tc>
        <w:tc>
          <w:tcPr>
            <w:tcW w:w="12191" w:type="dxa"/>
          </w:tcPr>
          <w:p w:rsidR="00316FFE" w:rsidRPr="00AE41BD" w:rsidRDefault="00316FFE" w:rsidP="00316FF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41BD">
              <w:rPr>
                <w:b/>
                <w:sz w:val="24"/>
                <w:szCs w:val="24"/>
              </w:rPr>
              <w:t>«</w:t>
            </w:r>
            <w:proofErr w:type="spellStart"/>
            <w:r w:rsidRPr="00AE41BD">
              <w:rPr>
                <w:b/>
                <w:sz w:val="24"/>
                <w:szCs w:val="24"/>
              </w:rPr>
              <w:t>ДК</w:t>
            </w:r>
            <w:proofErr w:type="spellEnd"/>
            <w:r w:rsidRPr="00AE41BD">
              <w:rPr>
                <w:b/>
                <w:sz w:val="24"/>
                <w:szCs w:val="24"/>
              </w:rPr>
              <w:t xml:space="preserve"> 021:2015:</w:t>
            </w:r>
            <w:r w:rsidR="00A526DE" w:rsidRPr="00AE41BD">
              <w:rPr>
                <w:b/>
                <w:bCs/>
                <w:color w:val="000000"/>
                <w:sz w:val="24"/>
                <w:szCs w:val="24"/>
                <w:lang w:bidi="ru-RU"/>
              </w:rPr>
              <w:t>09120000-6</w:t>
            </w:r>
            <w:r w:rsidRPr="00AE41BD">
              <w:rPr>
                <w:b/>
                <w:sz w:val="24"/>
                <w:szCs w:val="24"/>
              </w:rPr>
              <w:t xml:space="preserve">: </w:t>
            </w:r>
            <w:r w:rsidR="00A526DE" w:rsidRPr="00AE41BD">
              <w:rPr>
                <w:b/>
                <w:sz w:val="24"/>
                <w:szCs w:val="24"/>
              </w:rPr>
              <w:t xml:space="preserve"> Природний газ</w:t>
            </w:r>
          </w:p>
          <w:p w:rsidR="00316FFE" w:rsidRPr="00AE41BD" w:rsidRDefault="00316FFE" w:rsidP="00316FF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BD734A" w:rsidRPr="00AE41BD" w:rsidRDefault="00BD734A" w:rsidP="00FB2856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31A73" w:rsidRPr="00AE41BD" w:rsidTr="00A526DE">
        <w:trPr>
          <w:trHeight w:val="70"/>
        </w:trPr>
        <w:tc>
          <w:tcPr>
            <w:tcW w:w="401" w:type="dxa"/>
          </w:tcPr>
          <w:p w:rsidR="00E31A73" w:rsidRPr="00AE41BD" w:rsidRDefault="00645EF6" w:rsidP="00A84966">
            <w:pPr>
              <w:pStyle w:val="TableParagraph"/>
              <w:ind w:left="107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E31A73" w:rsidRPr="00AE41BD" w:rsidRDefault="00645EF6" w:rsidP="00A84966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12191" w:type="dxa"/>
          </w:tcPr>
          <w:p w:rsidR="00E31A73" w:rsidRPr="00AE41BD" w:rsidRDefault="00645EF6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      </w:r>
            <w:r w:rsidR="00703473" w:rsidRPr="00AE41BD">
              <w:rPr>
                <w:sz w:val="24"/>
                <w:szCs w:val="24"/>
              </w:rPr>
              <w:t>.</w:t>
            </w:r>
          </w:p>
          <w:p w:rsidR="0047212E" w:rsidRPr="00AE41BD" w:rsidRDefault="0047212E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  <w:lang w:val="en-US"/>
              </w:rPr>
            </w:pPr>
            <w:r w:rsidRPr="00AE41BD">
              <w:rPr>
                <w:sz w:val="24"/>
                <w:szCs w:val="24"/>
              </w:rPr>
              <w:t>Вимоги замовника до товару</w:t>
            </w:r>
            <w:r w:rsidR="00C04332" w:rsidRPr="00AE41BD">
              <w:rPr>
                <w:sz w:val="24"/>
                <w:szCs w:val="24"/>
              </w:rPr>
              <w:t>:</w:t>
            </w:r>
          </w:p>
          <w:p w:rsidR="00A526DE" w:rsidRPr="00AE41BD" w:rsidRDefault="00A526DE" w:rsidP="00A526DE">
            <w:pPr>
              <w:spacing w:line="200" w:lineRule="atLeast"/>
              <w:ind w:left="708" w:firstLine="708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2745"/>
              <w:gridCol w:w="2358"/>
              <w:gridCol w:w="2127"/>
              <w:gridCol w:w="2409"/>
            </w:tblGrid>
            <w:tr w:rsidR="00A526DE" w:rsidRPr="00AE41BD" w:rsidTr="00AE41BD">
              <w:trPr>
                <w:trHeight w:val="690"/>
              </w:trPr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41BD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Найменування товару</w:t>
                  </w:r>
                </w:p>
              </w:tc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/>
                      <w:sz w:val="24"/>
                      <w:szCs w:val="24"/>
                    </w:rPr>
                    <w:t xml:space="preserve">Код </w:t>
                  </w:r>
                  <w:proofErr w:type="spellStart"/>
                  <w:r w:rsidRPr="00AE41BD">
                    <w:rPr>
                      <w:b/>
                      <w:sz w:val="24"/>
                      <w:szCs w:val="24"/>
                    </w:rPr>
                    <w:t>ДК</w:t>
                  </w:r>
                  <w:proofErr w:type="spellEnd"/>
                  <w:r w:rsidRPr="00AE41B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E41BD">
                    <w:rPr>
                      <w:b/>
                      <w:bCs/>
                      <w:iCs/>
                      <w:color w:val="000000"/>
                      <w:sz w:val="24"/>
                      <w:szCs w:val="24"/>
                      <w:lang w:bidi="ru-RU"/>
                    </w:rPr>
                    <w:t>021:2015</w:t>
                  </w:r>
                  <w:r w:rsidRPr="00AE41BD">
                    <w:rPr>
                      <w:b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41BD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napToGrid w:val="0"/>
                    <w:spacing w:line="0" w:lineRule="atLeast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E41BD">
                    <w:rPr>
                      <w:b/>
                      <w:sz w:val="24"/>
                      <w:szCs w:val="24"/>
                    </w:rPr>
                    <w:t>Кількість</w:t>
                  </w:r>
                </w:p>
              </w:tc>
            </w:tr>
            <w:tr w:rsidR="00A526DE" w:rsidRPr="00AE41BD" w:rsidTr="00AE41BD">
              <w:trPr>
                <w:trHeight w:val="550"/>
              </w:trPr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/>
                      <w:sz w:val="24"/>
                      <w:szCs w:val="24"/>
                    </w:rPr>
                    <w:t>Природний газ</w:t>
                  </w:r>
                </w:p>
              </w:tc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7"/>
                    <w:framePr w:hSpace="180" w:wrap="around" w:vAnchor="text" w:hAnchor="text" w:x="115" w:y="1"/>
                    <w:tabs>
                      <w:tab w:val="left" w:pos="180"/>
                    </w:tabs>
                    <w:spacing w:after="0" w:line="0" w:lineRule="atLeast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AE41BD">
                    <w:rPr>
                      <w:b/>
                      <w:bCs/>
                      <w:color w:val="000000"/>
                      <w:lang w:bidi="ru-RU"/>
                    </w:rPr>
                    <w:t>09120000-6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41BD">
                    <w:rPr>
                      <w:b/>
                      <w:color w:val="000000"/>
                      <w:sz w:val="24"/>
                      <w:szCs w:val="24"/>
                    </w:rPr>
                    <w:t>м. куб.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41461B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84 129,</w:t>
                  </w:r>
                  <w:r w:rsidR="00A526DE" w:rsidRPr="00AE41BD">
                    <w:rPr>
                      <w:b/>
                      <w:sz w:val="24"/>
                      <w:szCs w:val="24"/>
                    </w:rPr>
                    <w:t>2445</w:t>
                  </w:r>
                </w:p>
              </w:tc>
            </w:tr>
          </w:tbl>
          <w:p w:rsidR="00A526DE" w:rsidRPr="00AE41BD" w:rsidRDefault="00A526DE" w:rsidP="00AE41BD">
            <w:pPr>
              <w:pStyle w:val="a7"/>
              <w:spacing w:after="0" w:line="0" w:lineRule="atLeast"/>
            </w:pPr>
            <w:r w:rsidRPr="00AE41BD">
              <w:rPr>
                <w:b/>
              </w:rPr>
              <w:tab/>
            </w:r>
            <w:r w:rsidRPr="00AE41BD">
              <w:t xml:space="preserve">        </w:t>
            </w:r>
            <w:proofErr w:type="spellStart"/>
            <w:r w:rsidRPr="00AE41BD">
              <w:t>Плановий</w:t>
            </w:r>
            <w:proofErr w:type="spellEnd"/>
            <w:r w:rsidRPr="00AE41BD">
              <w:t xml:space="preserve"> </w:t>
            </w:r>
            <w:proofErr w:type="spellStart"/>
            <w:r w:rsidRPr="00AE41BD">
              <w:t>обсяг</w:t>
            </w:r>
            <w:proofErr w:type="spellEnd"/>
            <w:r w:rsidRPr="00AE41BD">
              <w:t xml:space="preserve"> </w:t>
            </w:r>
            <w:proofErr w:type="spellStart"/>
            <w:r w:rsidRPr="00AE41BD">
              <w:t>закупі</w:t>
            </w:r>
            <w:proofErr w:type="gramStart"/>
            <w:r w:rsidRPr="00AE41BD">
              <w:t>вл</w:t>
            </w:r>
            <w:proofErr w:type="gramEnd"/>
            <w:r w:rsidRPr="00AE41BD">
              <w:t>і</w:t>
            </w:r>
            <w:proofErr w:type="spellEnd"/>
            <w:r w:rsidRPr="00AE41BD">
              <w:t xml:space="preserve"> природного газу </w:t>
            </w:r>
            <w:proofErr w:type="spellStart"/>
            <w:r w:rsidRPr="00AE41BD">
              <w:t>з</w:t>
            </w:r>
            <w:proofErr w:type="spellEnd"/>
            <w:r w:rsidRPr="00AE41BD">
              <w:t xml:space="preserve"> </w:t>
            </w:r>
            <w:proofErr w:type="spellStart"/>
            <w:r w:rsidRPr="00AE41BD">
              <w:t>розбивкою</w:t>
            </w:r>
            <w:proofErr w:type="spellEnd"/>
            <w:r w:rsidRPr="00AE41BD">
              <w:t xml:space="preserve"> по </w:t>
            </w:r>
            <w:proofErr w:type="spellStart"/>
            <w:r w:rsidRPr="00AE41BD">
              <w:t>місяцях</w:t>
            </w:r>
            <w:proofErr w:type="spellEnd"/>
            <w:r w:rsidRPr="00AE41BD">
              <w:t>:</w:t>
            </w:r>
          </w:p>
          <w:tbl>
            <w:tblPr>
              <w:tblW w:w="9688" w:type="dxa"/>
              <w:tblInd w:w="108" w:type="dxa"/>
              <w:tblLayout w:type="fixed"/>
              <w:tblCellMar>
                <w:top w:w="28" w:type="dxa"/>
                <w:bottom w:w="28" w:type="dxa"/>
              </w:tblCellMar>
              <w:tblLook w:val="0000"/>
            </w:tblPr>
            <w:tblGrid>
              <w:gridCol w:w="3183"/>
              <w:gridCol w:w="6505"/>
            </w:tblGrid>
            <w:tr w:rsidR="00A526DE" w:rsidRPr="00AE41BD" w:rsidTr="008D778F">
              <w:tc>
                <w:tcPr>
                  <w:tcW w:w="3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</w:pPr>
                  <w:proofErr w:type="spellStart"/>
                  <w:r w:rsidRPr="00AE41BD">
                    <w:rPr>
                      <w:b/>
                    </w:rPr>
                    <w:t>Місяць</w:t>
                  </w:r>
                  <w:proofErr w:type="spellEnd"/>
                </w:p>
              </w:tc>
              <w:tc>
                <w:tcPr>
                  <w:tcW w:w="6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</w:pPr>
                  <w:proofErr w:type="spellStart"/>
                  <w:r w:rsidRPr="00AE41BD">
                    <w:rPr>
                      <w:b/>
                    </w:rPr>
                    <w:t>Обсяг</w:t>
                  </w:r>
                  <w:proofErr w:type="spellEnd"/>
                  <w:r w:rsidRPr="00AE41BD">
                    <w:rPr>
                      <w:b/>
                    </w:rPr>
                    <w:t>, тис</w:t>
                  </w:r>
                  <w:proofErr w:type="gramStart"/>
                  <w:r w:rsidRPr="00AE41BD">
                    <w:rPr>
                      <w:b/>
                    </w:rPr>
                    <w:t>.</w:t>
                  </w:r>
                  <w:proofErr w:type="gramEnd"/>
                  <w:r w:rsidRPr="00AE41BD">
                    <w:rPr>
                      <w:b/>
                      <w:lang w:val="en-US"/>
                    </w:rPr>
                    <w:t xml:space="preserve"> </w:t>
                  </w:r>
                  <w:proofErr w:type="gramStart"/>
                  <w:r w:rsidRPr="00AE41BD">
                    <w:rPr>
                      <w:b/>
                      <w:bCs/>
                      <w:lang w:eastAsia="uk-UA"/>
                    </w:rPr>
                    <w:t>к</w:t>
                  </w:r>
                  <w:proofErr w:type="gramEnd"/>
                  <w:r w:rsidRPr="00AE41BD">
                    <w:rPr>
                      <w:b/>
                      <w:bCs/>
                      <w:lang w:eastAsia="uk-UA"/>
                    </w:rPr>
                    <w:t>уб. м</w:t>
                  </w:r>
                </w:p>
              </w:tc>
            </w:tr>
            <w:tr w:rsidR="00A526DE" w:rsidRPr="00AE41BD" w:rsidTr="008D778F">
              <w:tc>
                <w:tcPr>
                  <w:tcW w:w="3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</w:pPr>
                  <w:r w:rsidRPr="00AE41BD">
                    <w:t xml:space="preserve">Листопад 2024 року </w:t>
                  </w:r>
                </w:p>
              </w:tc>
              <w:tc>
                <w:tcPr>
                  <w:tcW w:w="6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napToGrid w:val="0"/>
                    <w:spacing w:line="0" w:lineRule="atLeast"/>
                    <w:suppressOverlap/>
                    <w:jc w:val="center"/>
                    <w:rPr>
                      <w:lang w:val="en-US"/>
                    </w:rPr>
                  </w:pPr>
                  <w:r w:rsidRPr="00AE41BD">
                    <w:rPr>
                      <w:lang w:val="uk-UA"/>
                    </w:rPr>
                    <w:t>30,00</w:t>
                  </w:r>
                </w:p>
              </w:tc>
            </w:tr>
            <w:tr w:rsidR="00A526DE" w:rsidRPr="00AE41BD" w:rsidTr="008D778F">
              <w:tc>
                <w:tcPr>
                  <w:tcW w:w="3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</w:pPr>
                  <w:proofErr w:type="spellStart"/>
                  <w:r w:rsidRPr="00AE41BD">
                    <w:t>Грудень</w:t>
                  </w:r>
                  <w:proofErr w:type="spellEnd"/>
                  <w:r w:rsidRPr="00AE41BD">
                    <w:t xml:space="preserve"> 2024 року</w:t>
                  </w:r>
                </w:p>
              </w:tc>
              <w:tc>
                <w:tcPr>
                  <w:tcW w:w="6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26DE" w:rsidRPr="00AE41BD" w:rsidRDefault="00A526DE" w:rsidP="0084376A">
                  <w:pPr>
                    <w:pStyle w:val="a9"/>
                    <w:framePr w:hSpace="180" w:wrap="around" w:vAnchor="text" w:hAnchor="text" w:x="115" w:y="1"/>
                    <w:snapToGrid w:val="0"/>
                    <w:spacing w:line="0" w:lineRule="atLeast"/>
                    <w:suppressOverlap/>
                    <w:jc w:val="center"/>
                    <w:rPr>
                      <w:lang w:val="uk-UA"/>
                    </w:rPr>
                  </w:pPr>
                  <w:r w:rsidRPr="00AE41BD">
                    <w:rPr>
                      <w:lang w:val="uk-UA"/>
                    </w:rPr>
                    <w:t>54,1292445</w:t>
                  </w:r>
                </w:p>
              </w:tc>
            </w:tr>
          </w:tbl>
          <w:p w:rsidR="00A526DE" w:rsidRPr="00AE41BD" w:rsidRDefault="00A526DE" w:rsidP="00A526DE">
            <w:pPr>
              <w:spacing w:line="200" w:lineRule="atLeast"/>
              <w:jc w:val="both"/>
              <w:rPr>
                <w:b/>
                <w:sz w:val="24"/>
                <w:szCs w:val="24"/>
              </w:rPr>
            </w:pPr>
          </w:p>
          <w:p w:rsidR="00A526DE" w:rsidRPr="00AE41BD" w:rsidRDefault="00A526DE" w:rsidP="00A526DE">
            <w:pPr>
              <w:pStyle w:val="HTML"/>
              <w:shd w:val="clear" w:color="auto" w:fill="FFFFFF"/>
              <w:spacing w:line="276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1BD">
              <w:rPr>
                <w:rFonts w:ascii="Times New Roman" w:hAnsi="Times New Roman"/>
                <w:sz w:val="24"/>
                <w:szCs w:val="24"/>
              </w:rPr>
              <w:t>Місця постачання предмету закупівлі (природного газу): Львівська область, газорозподільна система, до якої підключені адміністративні приміщення Державної податкової служби України Головне управління ДПС у Львівській області (ЕІС</w:t>
            </w:r>
            <w:r w:rsidRPr="00AE41B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E41BD">
              <w:rPr>
                <w:rFonts w:ascii="Times New Roman" w:hAnsi="Times New Roman"/>
                <w:sz w:val="24"/>
                <w:szCs w:val="24"/>
              </w:rPr>
              <w:t>код 56XS000183ZHP00W)</w:t>
            </w:r>
          </w:p>
          <w:p w:rsidR="00A526DE" w:rsidRPr="00AE41BD" w:rsidRDefault="00A526DE" w:rsidP="00A526DE">
            <w:pPr>
              <w:pStyle w:val="HTML"/>
              <w:shd w:val="clear" w:color="auto" w:fill="FFFFFF"/>
              <w:spacing w:line="276" w:lineRule="auto"/>
              <w:ind w:firstLine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41BD">
              <w:rPr>
                <w:rFonts w:ascii="Times New Roman" w:hAnsi="Times New Roman"/>
                <w:b/>
                <w:sz w:val="24"/>
                <w:szCs w:val="24"/>
              </w:rPr>
              <w:t>Адреси об’єктів Замовника за якими необхідне постачання природного газу:</w:t>
            </w:r>
          </w:p>
          <w:tbl>
            <w:tblPr>
              <w:tblW w:w="1462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4678"/>
              <w:gridCol w:w="8675"/>
            </w:tblGrid>
            <w:tr w:rsidR="00A526DE" w:rsidRPr="00AE41BD" w:rsidTr="00AE41BD">
              <w:trPr>
                <w:trHeight w:val="683"/>
              </w:trPr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/>
                      <w:sz w:val="24"/>
                      <w:szCs w:val="24"/>
                    </w:rPr>
                  </w:pPr>
                  <w:r w:rsidRPr="00AE41BD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78" w:type="dxa"/>
                  <w:vAlign w:val="center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ind w:firstLine="567"/>
                    <w:suppressOverlap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Місце знаходження об’єктів Замовника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ind w:firstLine="567"/>
                    <w:suppressOverlap/>
                    <w:jc w:val="center"/>
                    <w:outlineLvl w:val="2"/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Розподіл природного газу, який постачається, здійснює оператор газорозподільних мереж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Буськ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, пл. 900-річчя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Буська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,1;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Броди, вул. Залізнична, 21;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Золочів, вул. Б.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Возницького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 1;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Городок, майдан Гайдамаків, 22 та 24;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Мостиська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 вул. Шевченка,15;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Яворів, вул. Львівська,42;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lastRenderedPageBreak/>
                    <w:t>7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Пустомити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, вул.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Радоцинська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,1;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Трускавець, пр. Чорновола, 2; 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Борислав, вул. Карпатська Брама,14;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Cокаль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 вул. Шептицького, 40;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11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 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Жовква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, вул.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Св.Трійці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,10;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rPr>
                <w:trHeight w:val="509"/>
              </w:trPr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Кам’янка-Бузька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>, вул. Незалежності, 18;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13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Радехів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, пр. Відродження, 8; 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м. Стрий, вул. </w:t>
                  </w:r>
                  <w:proofErr w:type="spellStart"/>
                  <w:r w:rsidRPr="00AE41BD">
                    <w:rPr>
                      <w:color w:val="000000"/>
                      <w:sz w:val="24"/>
                      <w:szCs w:val="24"/>
                    </w:rPr>
                    <w:t>Сколівська</w:t>
                  </w:r>
                  <w:proofErr w:type="spellEnd"/>
                  <w:r w:rsidRPr="00AE41BD">
                    <w:rPr>
                      <w:color w:val="000000"/>
                      <w:sz w:val="24"/>
                      <w:szCs w:val="24"/>
                    </w:rPr>
                    <w:t xml:space="preserve">,7; 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Миколаїв, бульвар Проектний,3;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Жидачів, вул. Вокзальна,6;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17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Самбір, вул. Чорновола, 2а;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Старий Самбір, пл. Ринок,10;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  <w:tr w:rsidR="00A526DE" w:rsidRPr="00AE41BD" w:rsidTr="00AE41BD">
              <w:tc>
                <w:tcPr>
                  <w:tcW w:w="1276" w:type="dxa"/>
                </w:tcPr>
                <w:p w:rsidR="00A526DE" w:rsidRPr="00AE41BD" w:rsidRDefault="00A526DE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jc w:val="center"/>
                    <w:rPr>
                      <w:bCs/>
                      <w:sz w:val="24"/>
                      <w:szCs w:val="24"/>
                      <w:lang w:eastAsia="uk-UA"/>
                    </w:rPr>
                  </w:pPr>
                  <w:r w:rsidRPr="00AE41BD">
                    <w:rPr>
                      <w:bCs/>
                      <w:sz w:val="24"/>
                      <w:szCs w:val="24"/>
                      <w:lang w:eastAsia="uk-UA"/>
                    </w:rPr>
                    <w:t>19</w:t>
                  </w:r>
                </w:p>
              </w:tc>
              <w:tc>
                <w:tcPr>
                  <w:tcW w:w="4678" w:type="dxa"/>
                </w:tcPr>
                <w:p w:rsidR="00A526DE" w:rsidRPr="00AE41BD" w:rsidRDefault="00A526DE" w:rsidP="0084376A">
                  <w:pPr>
                    <w:pStyle w:val="a4"/>
                    <w:framePr w:hSpace="180" w:wrap="around" w:vAnchor="text" w:hAnchor="text" w:x="115" w:y="1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0" w:lineRule="atLeast"/>
                    <w:contextualSpacing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color w:val="000000"/>
                      <w:sz w:val="24"/>
                      <w:szCs w:val="24"/>
                    </w:rPr>
                    <w:t>м. Турка, пл. Ринок, 24</w:t>
                  </w:r>
                </w:p>
              </w:tc>
              <w:tc>
                <w:tcPr>
                  <w:tcW w:w="8675" w:type="dxa"/>
                </w:tcPr>
                <w:p w:rsidR="00A526DE" w:rsidRPr="00AE41BD" w:rsidRDefault="00AE41BD" w:rsidP="0084376A">
                  <w:pPr>
                    <w:framePr w:hSpace="180" w:wrap="around" w:vAnchor="text" w:hAnchor="text" w:x="115" w:y="1"/>
                    <w:spacing w:line="0" w:lineRule="atLeast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ТОВ «</w:t>
                  </w:r>
                  <w:proofErr w:type="spellStart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>Газорозподільчі</w:t>
                  </w:r>
                  <w:proofErr w:type="spellEnd"/>
                  <w:r w:rsidRPr="00AE41BD">
                    <w:rPr>
                      <w:bCs/>
                      <w:color w:val="000000"/>
                      <w:sz w:val="24"/>
                      <w:szCs w:val="24"/>
                    </w:rPr>
                    <w:t xml:space="preserve"> мережі України»</w:t>
                  </w:r>
                </w:p>
              </w:tc>
            </w:tr>
          </w:tbl>
          <w:p w:rsidR="00A526DE" w:rsidRPr="00AE41BD" w:rsidRDefault="00A526DE" w:rsidP="00A526DE">
            <w:pPr>
              <w:spacing w:line="200" w:lineRule="atLeast"/>
              <w:jc w:val="both"/>
              <w:rPr>
                <w:b/>
                <w:sz w:val="24"/>
                <w:szCs w:val="24"/>
              </w:rPr>
            </w:pPr>
            <w:r w:rsidRPr="00AE41BD">
              <w:rPr>
                <w:b/>
                <w:sz w:val="24"/>
                <w:szCs w:val="24"/>
              </w:rPr>
              <w:t>Термін поставки товару: по «31» грудня 2024 року включно.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 Постачання природного газу, його технічні та якісні характеристики повинні відповідати нормам чинного законодавства України:</w:t>
            </w:r>
          </w:p>
          <w:p w:rsidR="00A526DE" w:rsidRPr="00AE41BD" w:rsidRDefault="00A526DE" w:rsidP="00A526DE">
            <w:pPr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- Закон України «Про ринок природного газу»</w:t>
            </w:r>
            <w:r w:rsidRPr="00AE41B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від 09.04.201</w:t>
            </w:r>
            <w:r w:rsidRPr="00AE41BD">
              <w:rPr>
                <w:sz w:val="24"/>
                <w:szCs w:val="24"/>
              </w:rPr>
              <w:t>5 № 329-VIII (із змінами та доповненнями);</w:t>
            </w:r>
          </w:p>
          <w:p w:rsidR="00A526DE" w:rsidRPr="00AE41BD" w:rsidRDefault="00A526DE" w:rsidP="00A526DE">
            <w:pPr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- Кодекс газотранспортної системи, затверджений постановою НКРЕКП від 30 вересня 2015 року № 2493 (із змінами та доповненнями);</w:t>
            </w:r>
          </w:p>
          <w:p w:rsidR="00A526DE" w:rsidRPr="00AE41BD" w:rsidRDefault="00A526DE" w:rsidP="00A526DE">
            <w:pPr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- Кодекс газорозподільних систем, затверджений постановою НКРЕКП від 30 вересня 2015 року № 2494 (із змінами та доповненнями);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- «Правила постачання природного газу», затверджені постановою Національної комісії, що здійснює державне регулювання у сферах енергетики та комунальних послуг від 30.09.2015       № 2496 (із змінами та доповненнями);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- іншим нормативно-правовим актам, прийнятими на виконання Закону України «Про ринок природного газу».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 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Учасник повинен мати ліцензію на постачання природного газу. 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Товар повинен бути сертифікований у встановленому законом порядку та відповідати державним стандартам України.</w:t>
            </w:r>
          </w:p>
          <w:p w:rsidR="00A526DE" w:rsidRPr="00AE41BD" w:rsidRDefault="00A526DE" w:rsidP="00A526D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 Якість та інші фізико-хімічні характеристики природного газу, який передається Постачальником Споживачу в пунктах призначення, повинні відповідати положенням Кодексу газотранспортної системи та Кодексу газорозподільних систем. </w:t>
            </w:r>
          </w:p>
          <w:p w:rsidR="00A526DE" w:rsidRPr="00AE41BD" w:rsidRDefault="00A526DE" w:rsidP="00A526DE">
            <w:pPr>
              <w:jc w:val="both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         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</w:t>
            </w:r>
            <w:r w:rsidRPr="00AE41BD">
              <w:rPr>
                <w:sz w:val="24"/>
                <w:szCs w:val="24"/>
              </w:rPr>
              <w:lastRenderedPageBreak/>
              <w:t>умовам), які передбачають застосування заходів із захисту довкілля.</w:t>
            </w:r>
          </w:p>
          <w:p w:rsidR="00A526DE" w:rsidRPr="00AE41BD" w:rsidRDefault="00A526DE" w:rsidP="00A526DE">
            <w:pPr>
              <w:jc w:val="both"/>
              <w:rPr>
                <w:sz w:val="24"/>
                <w:szCs w:val="24"/>
                <w:lang w:val="en-US"/>
              </w:rPr>
            </w:pPr>
            <w:r w:rsidRPr="00AE41BD">
              <w:rPr>
                <w:sz w:val="24"/>
                <w:szCs w:val="24"/>
              </w:rPr>
              <w:t xml:space="preserve">          За одиницю виміру кількості газу при його обліку приймається 1000 кубічних метрів (одна тисяча кубічних метрів), приведений до стандартних умов: температура газу (t) = 20 градусів за Цельсієм, тиск газу (P) =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AE41BD">
                <w:rPr>
                  <w:sz w:val="24"/>
                  <w:szCs w:val="24"/>
                </w:rPr>
                <w:t>760 мм</w:t>
              </w:r>
            </w:smartTag>
            <w:r w:rsidRPr="00AE41BD">
              <w:rPr>
                <w:sz w:val="24"/>
                <w:szCs w:val="24"/>
              </w:rPr>
              <w:t xml:space="preserve"> ртутного стовпчика (101,325 </w:t>
            </w:r>
            <w:proofErr w:type="spellStart"/>
            <w:r w:rsidRPr="00AE41BD">
              <w:rPr>
                <w:sz w:val="24"/>
                <w:szCs w:val="24"/>
              </w:rPr>
              <w:t>кПа</w:t>
            </w:r>
            <w:proofErr w:type="spellEnd"/>
            <w:r w:rsidRPr="00AE41BD">
              <w:rPr>
                <w:sz w:val="24"/>
                <w:szCs w:val="24"/>
              </w:rPr>
              <w:t>)</w:t>
            </w:r>
          </w:p>
          <w:p w:rsidR="001B6197" w:rsidRPr="00AE41BD" w:rsidRDefault="001B6197" w:rsidP="00A526DE">
            <w:pPr>
              <w:contextualSpacing/>
              <w:rPr>
                <w:sz w:val="24"/>
                <w:szCs w:val="24"/>
              </w:rPr>
            </w:pPr>
          </w:p>
        </w:tc>
      </w:tr>
      <w:tr w:rsidR="00E31A73" w:rsidRPr="00AE41BD" w:rsidTr="00A526DE">
        <w:trPr>
          <w:trHeight w:val="2253"/>
        </w:trPr>
        <w:tc>
          <w:tcPr>
            <w:tcW w:w="401" w:type="dxa"/>
          </w:tcPr>
          <w:p w:rsidR="00E31A73" w:rsidRPr="00AE41BD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8" w:type="dxa"/>
          </w:tcPr>
          <w:p w:rsidR="00E31A73" w:rsidRPr="00AE41BD" w:rsidRDefault="00645EF6" w:rsidP="00A84966">
            <w:pPr>
              <w:pStyle w:val="TableParagraph"/>
              <w:ind w:left="0" w:right="467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Обґрунтування очікуваної вартості предмета закупівлі, розміру бюджетного</w:t>
            </w:r>
          </w:p>
          <w:p w:rsidR="00E31A73" w:rsidRPr="00AE41BD" w:rsidRDefault="00645EF6" w:rsidP="00A84966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>призначення</w:t>
            </w:r>
          </w:p>
        </w:tc>
        <w:tc>
          <w:tcPr>
            <w:tcW w:w="12191" w:type="dxa"/>
          </w:tcPr>
          <w:p w:rsidR="00A84966" w:rsidRPr="00AE41BD" w:rsidRDefault="00A84966" w:rsidP="00A84966">
            <w:pPr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A84966" w:rsidRPr="00AE41BD" w:rsidRDefault="00A526DE" w:rsidP="00A84966">
            <w:pPr>
              <w:rPr>
                <w:sz w:val="24"/>
                <w:szCs w:val="24"/>
              </w:rPr>
            </w:pPr>
            <w:r w:rsidRPr="00AE41BD">
              <w:rPr>
                <w:sz w:val="24"/>
                <w:szCs w:val="24"/>
                <w:lang w:val="en-US"/>
              </w:rPr>
              <w:t>1 392 666</w:t>
            </w:r>
            <w:proofErr w:type="gramStart"/>
            <w:r w:rsidR="0084376A">
              <w:rPr>
                <w:sz w:val="24"/>
                <w:szCs w:val="24"/>
              </w:rPr>
              <w:t>,2</w:t>
            </w:r>
            <w:bookmarkStart w:id="0" w:name="_GoBack"/>
            <w:bookmarkEnd w:id="0"/>
            <w:r w:rsidRPr="00AE41BD">
              <w:rPr>
                <w:sz w:val="24"/>
                <w:szCs w:val="24"/>
              </w:rPr>
              <w:t>6</w:t>
            </w:r>
            <w:proofErr w:type="gramEnd"/>
            <w:r w:rsidR="00A84966" w:rsidRPr="00AE41BD">
              <w:rPr>
                <w:sz w:val="24"/>
                <w:szCs w:val="24"/>
              </w:rPr>
              <w:t xml:space="preserve"> грн.</w:t>
            </w:r>
          </w:p>
          <w:p w:rsidR="00E31A73" w:rsidRPr="00AE41BD" w:rsidRDefault="00E31A73" w:rsidP="00FB2856">
            <w:pPr>
              <w:rPr>
                <w:sz w:val="24"/>
                <w:szCs w:val="24"/>
              </w:rPr>
            </w:pPr>
          </w:p>
        </w:tc>
      </w:tr>
    </w:tbl>
    <w:p w:rsidR="00E40384" w:rsidRPr="00AE41BD" w:rsidRDefault="00A84966">
      <w:pPr>
        <w:rPr>
          <w:sz w:val="24"/>
          <w:szCs w:val="24"/>
        </w:rPr>
      </w:pPr>
      <w:r w:rsidRPr="00AE41BD">
        <w:rPr>
          <w:sz w:val="24"/>
          <w:szCs w:val="24"/>
        </w:rPr>
        <w:br w:type="textWrapping" w:clear="all"/>
      </w:r>
    </w:p>
    <w:sectPr w:rsidR="00E40384" w:rsidRPr="00AE41BD" w:rsidSect="00A526DE">
      <w:type w:val="continuous"/>
      <w:pgSz w:w="16840" w:h="11910" w:orient="landscape"/>
      <w:pgMar w:top="780" w:right="1580" w:bottom="780" w:left="28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EFB"/>
    <w:multiLevelType w:val="hybridMultilevel"/>
    <w:tmpl w:val="0D608A08"/>
    <w:lvl w:ilvl="0" w:tplc="D4ECF82A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1A73"/>
    <w:rsid w:val="00061EBC"/>
    <w:rsid w:val="0007574C"/>
    <w:rsid w:val="000E70F7"/>
    <w:rsid w:val="001B6197"/>
    <w:rsid w:val="0028290D"/>
    <w:rsid w:val="002C45F5"/>
    <w:rsid w:val="00316FFE"/>
    <w:rsid w:val="0041461B"/>
    <w:rsid w:val="0047212E"/>
    <w:rsid w:val="00484A5C"/>
    <w:rsid w:val="004E73F8"/>
    <w:rsid w:val="00527148"/>
    <w:rsid w:val="00606900"/>
    <w:rsid w:val="0060783B"/>
    <w:rsid w:val="00645EF6"/>
    <w:rsid w:val="00674E5E"/>
    <w:rsid w:val="006C6855"/>
    <w:rsid w:val="006E027F"/>
    <w:rsid w:val="00703473"/>
    <w:rsid w:val="0077222B"/>
    <w:rsid w:val="007E3900"/>
    <w:rsid w:val="007F6009"/>
    <w:rsid w:val="0084376A"/>
    <w:rsid w:val="009C1243"/>
    <w:rsid w:val="009F64F1"/>
    <w:rsid w:val="00A526DE"/>
    <w:rsid w:val="00A84966"/>
    <w:rsid w:val="00A87D5D"/>
    <w:rsid w:val="00AC12ED"/>
    <w:rsid w:val="00AE41BD"/>
    <w:rsid w:val="00B910E6"/>
    <w:rsid w:val="00B9792C"/>
    <w:rsid w:val="00BD734A"/>
    <w:rsid w:val="00C04332"/>
    <w:rsid w:val="00C45852"/>
    <w:rsid w:val="00D1534C"/>
    <w:rsid w:val="00D1572F"/>
    <w:rsid w:val="00D26A3A"/>
    <w:rsid w:val="00DE2490"/>
    <w:rsid w:val="00E31A73"/>
    <w:rsid w:val="00E40384"/>
    <w:rsid w:val="00E67D81"/>
    <w:rsid w:val="00EE29F3"/>
    <w:rsid w:val="00F275D8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5"/>
    <w:uiPriority w:val="1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1"/>
    <w:rsid w:val="00EE29F3"/>
    <w:rPr>
      <w:rFonts w:ascii="Times New Roman" w:eastAsia="Times New Roman" w:hAnsi="Times New Roman" w:cs="Times New Roman"/>
      <w:lang w:val="uk-UA"/>
    </w:rPr>
  </w:style>
  <w:style w:type="paragraph" w:styleId="a7">
    <w:name w:val="Body Text"/>
    <w:aliases w:val="Основной текст таблиц1,в таблице1,таблицы1,в таблицах1"/>
    <w:basedOn w:val="a"/>
    <w:link w:val="1"/>
    <w:uiPriority w:val="99"/>
    <w:rsid w:val="00A526DE"/>
    <w:pPr>
      <w:widowControl/>
      <w:autoSpaceDE/>
      <w:autoSpaceDN/>
      <w:spacing w:after="140" w:line="276" w:lineRule="auto"/>
    </w:pPr>
    <w:rPr>
      <w:rFonts w:eastAsia="Calibri"/>
      <w:color w:val="00000A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uiPriority w:val="99"/>
    <w:semiHidden/>
    <w:rsid w:val="00A526DE"/>
    <w:rPr>
      <w:rFonts w:ascii="Times New Roman" w:eastAsia="Times New Roman" w:hAnsi="Times New Roman" w:cs="Times New Roman"/>
      <w:lang w:val="uk-UA"/>
    </w:rPr>
  </w:style>
  <w:style w:type="character" w:customStyle="1" w:styleId="1">
    <w:name w:val="Основний текст Знак1"/>
    <w:aliases w:val="Основной текст таблиц1 Знак,в таблице1 Знак,таблицы1 Знак,в таблицах1 Знак"/>
    <w:link w:val="a7"/>
    <w:uiPriority w:val="99"/>
    <w:locked/>
    <w:rsid w:val="00A526DE"/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  <w:style w:type="paragraph" w:customStyle="1" w:styleId="a9">
    <w:name w:val="Вміст таблиці"/>
    <w:basedOn w:val="a"/>
    <w:rsid w:val="00A526DE"/>
    <w:pPr>
      <w:widowControl/>
      <w:suppressLineNumbers/>
      <w:autoSpaceDE/>
      <w:autoSpaceDN/>
    </w:pPr>
    <w:rPr>
      <w:rFonts w:eastAsia="Calibri"/>
      <w:color w:val="00000A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A52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rsid w:val="00A526DE"/>
    <w:rPr>
      <w:rFonts w:ascii="Courier New" w:eastAsia="Times New Roman" w:hAnsi="Courier New" w:cs="Times New Roman"/>
      <w:color w:val="00000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3243</Words>
  <Characters>1849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IPecharskiy</cp:lastModifiedBy>
  <cp:revision>22</cp:revision>
  <dcterms:created xsi:type="dcterms:W3CDTF">2021-07-01T06:27:00Z</dcterms:created>
  <dcterms:modified xsi:type="dcterms:W3CDTF">2024-10-11T06:49:00Z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