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30" w:rsidRPr="006E62C6" w:rsidRDefault="000A6B30" w:rsidP="000A6B30">
      <w:pPr>
        <w:spacing w:after="0" w:line="240" w:lineRule="auto"/>
        <w:ind w:left="5040"/>
        <w:jc w:val="both"/>
        <w:outlineLvl w:val="0"/>
        <w:rPr>
          <w:rFonts w:ascii="Times New Roman" w:eastAsia="Times New Roman" w:hAnsi="Times New Roman"/>
          <w:bCs/>
          <w:color w:val="000000" w:themeColor="text1"/>
          <w:sz w:val="28"/>
          <w:szCs w:val="28"/>
          <w:lang w:val="ru-RU" w:eastAsia="ru-RU"/>
        </w:rPr>
      </w:pPr>
    </w:p>
    <w:p w:rsidR="00BE597B" w:rsidRPr="006E62C6" w:rsidRDefault="00BE597B" w:rsidP="000A6B30">
      <w:pPr>
        <w:spacing w:after="0" w:line="240" w:lineRule="auto"/>
        <w:ind w:left="5040"/>
        <w:jc w:val="both"/>
        <w:outlineLvl w:val="0"/>
        <w:rPr>
          <w:rFonts w:ascii="Times New Roman" w:eastAsia="Times New Roman" w:hAnsi="Times New Roman"/>
          <w:bCs/>
          <w:color w:val="000000" w:themeColor="text1"/>
          <w:sz w:val="28"/>
          <w:szCs w:val="28"/>
          <w:lang w:val="ru-RU" w:eastAsia="ru-RU"/>
        </w:rPr>
      </w:pPr>
    </w:p>
    <w:p w:rsidR="00D61431" w:rsidRPr="006E62C6" w:rsidRDefault="00D61431" w:rsidP="00D61431">
      <w:pPr>
        <w:spacing w:after="0" w:line="240" w:lineRule="auto"/>
        <w:ind w:left="-567"/>
        <w:jc w:val="center"/>
        <w:outlineLvl w:val="0"/>
        <w:rPr>
          <w:rFonts w:ascii="Times New Roman" w:eastAsia="Times New Roman" w:hAnsi="Times New Roman"/>
          <w:bCs/>
          <w:color w:val="000000" w:themeColor="text1"/>
          <w:sz w:val="28"/>
          <w:szCs w:val="28"/>
          <w:lang w:eastAsia="ru-RU"/>
        </w:rPr>
      </w:pPr>
      <w:r w:rsidRPr="006E62C6">
        <w:rPr>
          <w:rFonts w:ascii="Times New Roman" w:eastAsia="Times New Roman" w:hAnsi="Times New Roman"/>
          <w:bCs/>
          <w:color w:val="000000" w:themeColor="text1"/>
          <w:sz w:val="28"/>
          <w:szCs w:val="28"/>
          <w:lang w:eastAsia="ru-RU"/>
        </w:rPr>
        <w:t>ОРГАНІЗАЦІЙНА СТРУКТУРА</w:t>
      </w:r>
    </w:p>
    <w:p w:rsidR="00D61431" w:rsidRPr="006E62C6" w:rsidRDefault="00D61431" w:rsidP="00D61431">
      <w:pPr>
        <w:spacing w:after="0" w:line="240" w:lineRule="auto"/>
        <w:ind w:left="-567"/>
        <w:jc w:val="center"/>
        <w:outlineLvl w:val="0"/>
        <w:rPr>
          <w:rFonts w:ascii="Times New Roman" w:eastAsia="Times New Roman" w:hAnsi="Times New Roman"/>
          <w:bCs/>
          <w:color w:val="000000" w:themeColor="text1"/>
          <w:sz w:val="28"/>
          <w:szCs w:val="28"/>
          <w:lang w:eastAsia="ru-RU"/>
        </w:rPr>
      </w:pPr>
      <w:r w:rsidRPr="006E62C6">
        <w:rPr>
          <w:rFonts w:ascii="Times New Roman" w:eastAsia="Times New Roman" w:hAnsi="Times New Roman"/>
          <w:bCs/>
          <w:color w:val="000000" w:themeColor="text1"/>
          <w:sz w:val="28"/>
          <w:szCs w:val="28"/>
          <w:lang w:eastAsia="ru-RU"/>
        </w:rPr>
        <w:t xml:space="preserve">Головного управління ДПС у Харківській області </w:t>
      </w:r>
    </w:p>
    <w:p w:rsidR="00E05615" w:rsidRPr="006E62C6" w:rsidRDefault="00E05615" w:rsidP="000A6B30">
      <w:pPr>
        <w:spacing w:after="0" w:line="240" w:lineRule="auto"/>
        <w:ind w:left="-567"/>
        <w:jc w:val="center"/>
        <w:outlineLvl w:val="0"/>
        <w:rPr>
          <w:rFonts w:ascii="Times New Roman" w:eastAsia="Times New Roman" w:hAnsi="Times New Roman"/>
          <w:bCs/>
          <w:color w:val="000000" w:themeColor="text1"/>
          <w:sz w:val="28"/>
          <w:szCs w:val="28"/>
          <w:lang w:eastAsia="ru-RU"/>
        </w:rPr>
      </w:pPr>
    </w:p>
    <w:tbl>
      <w:tblPr>
        <w:tblW w:w="0" w:type="auto"/>
        <w:tblInd w:w="-372"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2410"/>
        <w:gridCol w:w="7533"/>
      </w:tblGrid>
      <w:tr w:rsidR="00D61431" w:rsidRPr="006E62C6" w:rsidTr="00217156">
        <w:trPr>
          <w:trHeight w:val="986"/>
        </w:trPr>
        <w:tc>
          <w:tcPr>
            <w:tcW w:w="0" w:type="auto"/>
            <w:shd w:val="clear" w:color="auto" w:fill="auto"/>
          </w:tcPr>
          <w:p w:rsidR="00D61431" w:rsidRPr="006E62C6" w:rsidRDefault="00D61431" w:rsidP="00955045">
            <w:pPr>
              <w:spacing w:after="0" w:line="240" w:lineRule="auto"/>
              <w:jc w:val="center"/>
              <w:rPr>
                <w:rFonts w:ascii="Times New Roman" w:hAnsi="Times New Roman"/>
                <w:color w:val="000000" w:themeColor="text1"/>
                <w:sz w:val="28"/>
                <w:szCs w:val="28"/>
              </w:rPr>
            </w:pPr>
            <w:r w:rsidRPr="006E62C6">
              <w:rPr>
                <w:rFonts w:ascii="Times New Roman" w:hAnsi="Times New Roman"/>
                <w:color w:val="000000" w:themeColor="text1"/>
                <w:sz w:val="28"/>
                <w:szCs w:val="28"/>
              </w:rPr>
              <w:t>Індекс структурного підрозділу</w:t>
            </w:r>
          </w:p>
          <w:p w:rsidR="00D61431" w:rsidRPr="006E62C6" w:rsidRDefault="00D61431" w:rsidP="00955045">
            <w:pPr>
              <w:spacing w:after="0" w:line="240" w:lineRule="auto"/>
              <w:jc w:val="center"/>
              <w:rPr>
                <w:rFonts w:ascii="Times New Roman" w:hAnsi="Times New Roman"/>
                <w:color w:val="000000" w:themeColor="text1"/>
                <w:sz w:val="6"/>
                <w:szCs w:val="6"/>
              </w:rPr>
            </w:pPr>
          </w:p>
        </w:tc>
        <w:tc>
          <w:tcPr>
            <w:tcW w:w="0" w:type="auto"/>
            <w:shd w:val="clear" w:color="auto" w:fill="auto"/>
          </w:tcPr>
          <w:p w:rsidR="00D61431" w:rsidRPr="006E62C6" w:rsidRDefault="00D61431" w:rsidP="00955045">
            <w:pPr>
              <w:spacing w:after="0" w:line="240" w:lineRule="auto"/>
              <w:jc w:val="center"/>
              <w:rPr>
                <w:rFonts w:ascii="Times New Roman" w:hAnsi="Times New Roman"/>
                <w:color w:val="000000" w:themeColor="text1"/>
                <w:sz w:val="28"/>
                <w:szCs w:val="28"/>
              </w:rPr>
            </w:pPr>
            <w:r w:rsidRPr="006E62C6">
              <w:rPr>
                <w:rFonts w:ascii="Times New Roman" w:hAnsi="Times New Roman"/>
                <w:color w:val="000000" w:themeColor="text1"/>
                <w:sz w:val="28"/>
                <w:szCs w:val="28"/>
              </w:rPr>
              <w:t>Назва структурного підрозділу</w:t>
            </w:r>
          </w:p>
        </w:tc>
      </w:tr>
      <w:tr w:rsidR="00D61431"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D61431" w:rsidRPr="006E62C6" w:rsidRDefault="00D61431" w:rsidP="00955045">
            <w:pPr>
              <w:spacing w:after="0" w:line="240" w:lineRule="auto"/>
              <w:contextualSpacing/>
              <w:jc w:val="center"/>
              <w:rPr>
                <w:rFonts w:ascii="Times New Roman" w:hAnsi="Times New Roman"/>
                <w:bCs/>
                <w:i/>
                <w:color w:val="000000" w:themeColor="text1"/>
                <w:sz w:val="28"/>
                <w:szCs w:val="28"/>
              </w:rPr>
            </w:pPr>
            <w:r w:rsidRPr="006E62C6">
              <w:rPr>
                <w:rFonts w:ascii="Times New Roman" w:hAnsi="Times New Roman"/>
                <w:bCs/>
                <w:i/>
                <w:color w:val="000000" w:themeColor="text1"/>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61431" w:rsidRPr="006E62C6" w:rsidRDefault="00D61431" w:rsidP="00955045">
            <w:pPr>
              <w:spacing w:after="0" w:line="240" w:lineRule="auto"/>
              <w:contextualSpacing/>
              <w:jc w:val="center"/>
              <w:rPr>
                <w:rFonts w:ascii="Times New Roman" w:hAnsi="Times New Roman"/>
                <w:bCs/>
                <w:i/>
                <w:color w:val="000000" w:themeColor="text1"/>
                <w:sz w:val="28"/>
                <w:szCs w:val="28"/>
              </w:rPr>
            </w:pPr>
            <w:r w:rsidRPr="006E62C6">
              <w:rPr>
                <w:rFonts w:ascii="Times New Roman" w:hAnsi="Times New Roman"/>
                <w:bCs/>
                <w:i/>
                <w:color w:val="000000" w:themeColor="text1"/>
                <w:sz w:val="28"/>
                <w:szCs w:val="28"/>
              </w:rPr>
              <w:t>2</w:t>
            </w:r>
          </w:p>
        </w:tc>
      </w:tr>
      <w:tr w:rsidR="00217156" w:rsidRPr="006E62C6" w:rsidTr="00217156">
        <w:tblPrEx>
          <w:tblBorders>
            <w:bottom w:val="single" w:sz="4" w:space="0" w:color="auto"/>
          </w:tblBorders>
        </w:tblPrEx>
        <w:trPr>
          <w:trHeight w:val="353"/>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autoSpaceDE w:val="0"/>
              <w:autoSpaceDN w:val="0"/>
              <w:adjustRightInd w:val="0"/>
              <w:contextualSpacing/>
              <w:jc w:val="center"/>
              <w:rPr>
                <w:rFonts w:ascii="Times New Roman" w:hAnsi="Times New Roman"/>
                <w:color w:val="000000"/>
                <w:sz w:val="28"/>
                <w:szCs w:val="28"/>
                <w:lang w:eastAsia="uk-UA"/>
              </w:rPr>
            </w:pPr>
            <w:r w:rsidRPr="00217156">
              <w:rPr>
                <w:rFonts w:ascii="Times New Roman" w:hAnsi="Times New Roman"/>
                <w:b/>
                <w:bCs/>
                <w:iCs/>
                <w:color w:val="000000"/>
                <w:sz w:val="28"/>
                <w:szCs w:val="28"/>
              </w:rPr>
              <w:t>20-40-00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autoSpaceDE w:val="0"/>
              <w:autoSpaceDN w:val="0"/>
              <w:adjustRightInd w:val="0"/>
              <w:contextualSpacing/>
              <w:rPr>
                <w:rFonts w:ascii="Times New Roman" w:hAnsi="Times New Roman"/>
                <w:b/>
                <w:bCs/>
                <w:color w:val="000000"/>
                <w:sz w:val="28"/>
                <w:szCs w:val="28"/>
                <w:lang w:eastAsia="uk-UA"/>
              </w:rPr>
            </w:pPr>
            <w:r w:rsidRPr="00217156">
              <w:rPr>
                <w:rFonts w:ascii="Times New Roman" w:hAnsi="Times New Roman"/>
                <w:b/>
                <w:bCs/>
                <w:color w:val="000000"/>
                <w:sz w:val="28"/>
                <w:szCs w:val="28"/>
                <w:lang w:eastAsia="uk-UA"/>
              </w:rPr>
              <w:t>Керівництво</w:t>
            </w:r>
          </w:p>
        </w:tc>
      </w:tr>
      <w:tr w:rsidR="00217156" w:rsidRPr="006E62C6" w:rsidTr="00217156">
        <w:tblPrEx>
          <w:tblBorders>
            <w:bottom w:val="single" w:sz="4" w:space="0" w:color="auto"/>
          </w:tblBorders>
        </w:tblPrEx>
        <w:trPr>
          <w:trHeight w:val="40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color w:val="000000"/>
                <w:sz w:val="28"/>
                <w:szCs w:val="28"/>
                <w:lang w:eastAsia="uk-UA"/>
              </w:rPr>
            </w:pPr>
            <w:r w:rsidRPr="00217156">
              <w:rPr>
                <w:rFonts w:ascii="Times New Roman" w:hAnsi="Times New Roman"/>
                <w:b/>
                <w:bCs/>
                <w:iCs/>
                <w:color w:val="000000"/>
                <w:sz w:val="28"/>
                <w:szCs w:val="28"/>
              </w:rPr>
              <w:t>20-40-01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autoSpaceDE w:val="0"/>
              <w:autoSpaceDN w:val="0"/>
              <w:adjustRightInd w:val="0"/>
              <w:contextualSpacing/>
              <w:rPr>
                <w:rFonts w:ascii="Times New Roman" w:hAnsi="Times New Roman"/>
                <w:b/>
                <w:bCs/>
                <w:color w:val="000000"/>
                <w:sz w:val="28"/>
                <w:szCs w:val="28"/>
                <w:lang w:eastAsia="uk-UA"/>
              </w:rPr>
            </w:pPr>
            <w:r w:rsidRPr="00217156">
              <w:rPr>
                <w:rFonts w:ascii="Times New Roman" w:hAnsi="Times New Roman"/>
                <w:b/>
                <w:bCs/>
                <w:color w:val="000000"/>
                <w:sz w:val="28"/>
                <w:szCs w:val="28"/>
                <w:lang w:eastAsia="uk-UA"/>
              </w:rPr>
              <w:t>Управління організації роботи</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color w:val="000000"/>
                <w:sz w:val="28"/>
                <w:szCs w:val="28"/>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організації та планування роботи </w:t>
            </w:r>
          </w:p>
        </w:tc>
      </w:tr>
      <w:tr w:rsidR="00217156" w:rsidRPr="006E62C6" w:rsidTr="00217156">
        <w:tblPrEx>
          <w:tblBorders>
            <w:bottom w:val="single" w:sz="4" w:space="0" w:color="auto"/>
          </w:tblBorders>
        </w:tblPrEx>
        <w:trPr>
          <w:trHeight w:val="44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моніторингу та контролю</w:t>
            </w:r>
          </w:p>
        </w:tc>
      </w:tr>
      <w:tr w:rsidR="00217156" w:rsidRPr="006E62C6" w:rsidTr="00217156">
        <w:tblPrEx>
          <w:tblBorders>
            <w:bottom w:val="single" w:sz="4" w:space="0" w:color="auto"/>
          </w:tblBorders>
        </w:tblPrEx>
        <w:trPr>
          <w:trHeight w:val="14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координації внутрішнього контролю</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організації документування і роботи з документами</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організаційного супроводження</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розгляду звернень громадян та доступу до публічної інформації</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autoSpaceDE w:val="0"/>
              <w:autoSpaceDN w:val="0"/>
              <w:adjustRightInd w:val="0"/>
              <w:contextualSpacing/>
              <w:jc w:val="both"/>
              <w:rPr>
                <w:rFonts w:ascii="Times New Roman" w:hAnsi="Times New Roman"/>
                <w:b/>
                <w:bCs/>
                <w:iCs/>
                <w:color w:val="000000"/>
                <w:sz w:val="28"/>
                <w:szCs w:val="28"/>
              </w:rPr>
            </w:pPr>
            <w:r w:rsidRPr="00217156">
              <w:rPr>
                <w:rFonts w:ascii="Times New Roman" w:hAnsi="Times New Roman"/>
                <w:b/>
                <w:bCs/>
                <w:iCs/>
                <w:color w:val="000000"/>
                <w:sz w:val="28"/>
                <w:szCs w:val="28"/>
              </w:rPr>
              <w:t>Управління оподаткування юридичних осіб</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аналітичної роботи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контролю за відшкодуванням ПДВ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інших галузей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добувної промисловості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охорони здоров'я та надання соцiальної допомоги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інших видів оптової та роздрібної торгівлі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податків і зборів з юридичних осіб у галузі операцій з нерухомим майном</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професiйної, наукової та технiчної дiяльності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податків і зборів з юридичних осіб у галузі дiяльності у сферi адмiнiстративного та допомiжного обслуговування</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інформацiї та телекомунiкацiї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надання інших видів послуг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транспорту, складського господарства, поштової та кур'єрської діяльності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сiльського господарства, лiсового господарства та рибного господарства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оптової торгівлі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будівництва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pStyle w:val="ac"/>
              <w:jc w:val="center"/>
              <w:rPr>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rPr>
                <w:color w:val="000000"/>
              </w:rPr>
            </w:pPr>
            <w:r w:rsidRPr="00217156">
              <w:rPr>
                <w:color w:val="000000"/>
              </w:rPr>
              <w:t xml:space="preserve">Відділ податків і зборів з юридичних осіб у галузі переробної промисловості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widowControl w:val="0"/>
              <w:contextualSpacing/>
              <w:rPr>
                <w:rFonts w:ascii="Times New Roman" w:hAnsi="Times New Roman"/>
                <w:b/>
                <w:bCs/>
                <w:color w:val="000000"/>
                <w:sz w:val="28"/>
                <w:szCs w:val="28"/>
                <w:lang w:eastAsia="uk-UA"/>
              </w:rPr>
            </w:pPr>
            <w:r w:rsidRPr="00217156">
              <w:rPr>
                <w:rFonts w:ascii="Times New Roman" w:hAnsi="Times New Roman"/>
                <w:b/>
                <w:bCs/>
                <w:color w:val="000000"/>
                <w:sz w:val="28"/>
                <w:szCs w:val="28"/>
                <w:lang w:eastAsia="uk-UA"/>
              </w:rPr>
              <w:t>Управління правового забезпечення</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Cs/>
                <w:iCs/>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правового супроводження діяльності</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супроводження судових спорів із загальних питань</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супроводження судових спорів з документальних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супроводження судових спорів з оподаткування юридичних осіб</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супроводження судових спорів з фактичних перевірок та адміністрування акцизного податку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супроводження судових спорів з оподаткування фізичних осіб</w:t>
            </w:r>
          </w:p>
        </w:tc>
      </w:tr>
      <w:tr w:rsidR="00217156" w:rsidRPr="006E62C6" w:rsidTr="00217156">
        <w:tblPrEx>
          <w:tblBorders>
            <w:bottom w:val="single" w:sz="4" w:space="0" w:color="auto"/>
          </w:tblBorders>
        </w:tblPrEx>
        <w:trPr>
          <w:trHeight w:val="64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bookmarkStart w:id="0" w:name="_GoBack"/>
            <w:bookmarkEnd w:id="0"/>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rPr>
                <w:rFonts w:ascii="Times New Roman" w:hAnsi="Times New Roman"/>
                <w:sz w:val="28"/>
                <w:szCs w:val="28"/>
              </w:rPr>
            </w:pPr>
            <w:r w:rsidRPr="00217156">
              <w:rPr>
                <w:rFonts w:ascii="Times New Roman" w:hAnsi="Times New Roman"/>
                <w:sz w:val="28"/>
                <w:szCs w:val="28"/>
              </w:rPr>
              <w:t>Відділ супроводження судових спорів з виявлення та опрацювання податкових ризиків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інформаційно-аналітичної роботи</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autoSpaceDE w:val="0"/>
              <w:autoSpaceDN w:val="0"/>
              <w:adjustRightInd w:val="0"/>
              <w:contextualSpacing/>
              <w:rPr>
                <w:rFonts w:ascii="Times New Roman" w:hAnsi="Times New Roman"/>
                <w:b/>
                <w:bCs/>
                <w:color w:val="000000"/>
                <w:sz w:val="28"/>
                <w:szCs w:val="28"/>
                <w:lang w:eastAsia="uk-UA"/>
              </w:rPr>
            </w:pPr>
            <w:r w:rsidRPr="00217156">
              <w:rPr>
                <w:rFonts w:ascii="Times New Roman" w:hAnsi="Times New Roman"/>
                <w:b/>
                <w:bCs/>
                <w:color w:val="000000"/>
                <w:sz w:val="28"/>
                <w:szCs w:val="28"/>
                <w:lang w:eastAsia="uk-UA"/>
              </w:rPr>
              <w:t>Управління податкового аудиту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Cs/>
                <w:iCs/>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 xml:space="preserve">Відділ перевірок платників основних галузей економіки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перевірок у сфері послуг</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перевірок інших галузей економіки</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аналізу податкової інформації та позапланових перевірок ризикових платників</w:t>
            </w:r>
          </w:p>
        </w:tc>
      </w:tr>
      <w:tr w:rsidR="00217156" w:rsidRPr="006E62C6" w:rsidTr="00217156">
        <w:tblPrEx>
          <w:tblBorders>
            <w:bottom w:val="single" w:sz="4" w:space="0" w:color="auto"/>
          </w:tblBorders>
        </w:tblPrEx>
        <w:trPr>
          <w:trHeight w:val="308"/>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 xml:space="preserve">Відділ перевірок з питань відшкодування ПДВ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позапланових перевірок з інших податків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фактичних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перевірок фінансових операцій</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якості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координації, звітності та аналізу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Інформаційно-аналітичний відділ</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Слобожанський відділ перевірок платників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 xml:space="preserve">Центральний відділ перевірок платників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lang w:eastAsia="ru-RU"/>
              </w:rPr>
            </w:pPr>
            <w:r w:rsidRPr="00217156">
              <w:rPr>
                <w:b/>
                <w:lang w:eastAsia="ru-RU"/>
              </w:rPr>
              <w:t>Управління запобігання фінансовим операціям, пов'язаним з легалізацією доходів, одержаних злочинним шляхом</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Cs/>
                <w:iCs/>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аналітичної роботи, координації та перевірок сумнівних фінансових операцій</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взаємодії з правоохоронними органами та фінансовим сектором</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lang w:eastAsia="ru-RU"/>
              </w:rPr>
            </w:pPr>
            <w:r w:rsidRPr="00217156">
              <w:rPr>
                <w:b/>
                <w:lang w:eastAsia="ru-RU"/>
              </w:rPr>
              <w:t>Управління контролю за підакцизними товарами</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контролю за виробництвом та обігом пального</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обслуговування акцизних складів та податкових постів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ліцензування торгівлі підакцизними товарами  та зберігання пального</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адміністрування акцизного податку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lang w:eastAsia="ru-RU"/>
              </w:rPr>
            </w:pPr>
            <w:r w:rsidRPr="00217156">
              <w:rPr>
                <w:lang w:eastAsia="ru-RU"/>
              </w:rPr>
              <w:t>Відділ контролю за обігом марки акцизного податку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
                <w:bCs/>
                <w:iCs/>
                <w:color w:val="000000"/>
                <w:sz w:val="28"/>
                <w:szCs w:val="28"/>
              </w:rPr>
              <w:t>Управління фінансового забезпечення та бухгалтерського обліку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Cs/>
                <w:iCs/>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Cs/>
                <w:iCs/>
                <w:color w:val="000000"/>
                <w:sz w:val="28"/>
                <w:szCs w:val="28"/>
              </w:rPr>
              <w:t xml:space="preserve">Відділ бухгалтерського обліку та звітності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Cs/>
                <w:iCs/>
                <w:color w:val="000000"/>
                <w:sz w:val="28"/>
                <w:szCs w:val="28"/>
              </w:rPr>
              <w:t xml:space="preserve">Відділ оплати праці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Cs/>
                <w:iCs/>
                <w:color w:val="000000"/>
                <w:sz w:val="28"/>
                <w:szCs w:val="28"/>
              </w:rPr>
              <w:t>Відділ бюджетування</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Cs/>
                <w:iCs/>
                <w:color w:val="000000"/>
                <w:sz w:val="28"/>
                <w:szCs w:val="28"/>
              </w:rPr>
              <w:t>Відділ обліку єдиного внеску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autoSpaceDE w:val="0"/>
              <w:autoSpaceDN w:val="0"/>
              <w:adjustRightInd w:val="0"/>
              <w:contextualSpacing/>
              <w:jc w:val="both"/>
              <w:rPr>
                <w:rFonts w:ascii="Times New Roman" w:hAnsi="Times New Roman"/>
                <w:b/>
                <w:bCs/>
                <w:color w:val="000000"/>
                <w:sz w:val="28"/>
                <w:szCs w:val="28"/>
                <w:lang w:eastAsia="uk-UA"/>
              </w:rPr>
            </w:pPr>
            <w:r w:rsidRPr="00217156">
              <w:rPr>
                <w:rFonts w:ascii="Times New Roman" w:hAnsi="Times New Roman"/>
                <w:b/>
                <w:bCs/>
                <w:iCs/>
                <w:color w:val="000000"/>
                <w:sz w:val="28"/>
                <w:szCs w:val="28"/>
              </w:rPr>
              <w:t>Управління персоналу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Cs/>
                <w:iCs/>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Cs/>
                <w:iCs/>
                <w:color w:val="000000"/>
                <w:sz w:val="28"/>
                <w:szCs w:val="28"/>
              </w:rPr>
              <w:t>Відділ кадрового адміністрування</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Cs/>
                <w:iCs/>
                <w:color w:val="000000"/>
                <w:sz w:val="28"/>
                <w:szCs w:val="28"/>
              </w:rPr>
              <w:t>Відділ розвитку персоналу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Сектор ведення військового обліку та забезпечення службовими посвідченнями</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
                <w:bCs/>
                <w:iCs/>
                <w:color w:val="000000"/>
                <w:sz w:val="28"/>
                <w:szCs w:val="28"/>
              </w:rPr>
            </w:pPr>
            <w:r w:rsidRPr="00217156">
              <w:rPr>
                <w:rFonts w:ascii="Times New Roman" w:hAnsi="Times New Roman"/>
                <w:b/>
                <w:bCs/>
                <w:iCs/>
                <w:color w:val="000000"/>
                <w:sz w:val="28"/>
                <w:szCs w:val="28"/>
              </w:rPr>
              <w:t>Управління податкових сервісів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Cs/>
                <w:iCs/>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Відділ обліку платників та ведення реєстрів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Відділ обліку об'єктів оподаткування та реєстрації за окремими видами податків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Відділ ведення Державного реєстру фізичних осіб – платників податків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Відділ податкових сервісів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Відділ організації роботи ЦОП, надання адміністративних послуг та розгляду звернень державних органів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autoSpaceDE w:val="0"/>
              <w:autoSpaceDN w:val="0"/>
              <w:adjustRightInd w:val="0"/>
              <w:contextualSpacing/>
              <w:jc w:val="both"/>
              <w:rPr>
                <w:rFonts w:ascii="Times New Roman" w:hAnsi="Times New Roman"/>
                <w:b/>
                <w:bCs/>
                <w:iCs/>
                <w:color w:val="000000"/>
                <w:sz w:val="28"/>
                <w:szCs w:val="28"/>
              </w:rPr>
            </w:pPr>
            <w:r w:rsidRPr="00217156">
              <w:rPr>
                <w:rFonts w:ascii="Times New Roman" w:hAnsi="Times New Roman"/>
                <w:b/>
                <w:bCs/>
                <w:iCs/>
                <w:color w:val="000000"/>
                <w:sz w:val="28"/>
                <w:szCs w:val="28"/>
              </w:rPr>
              <w:t>Управління по роботі з податковим боргом</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моніторингу та інформаційно-аналітичного забезпечення</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організації стягнення боргу та роботи з безхазяйним майном</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погашення боргу з фізичних осіб та заборгованості з ЄСВ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pPr>
            <w:r w:rsidRPr="00217156">
              <w:t>Відділ супроводження судових спорів щодо банкрутства та стягнення заборгованості</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Західний відділ по роботі з податковим боргом</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Куп’янський відділ по роботі з податковим боргом</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Лозівський відділ по роботі з податковим боргом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Чугуївський відділ по роботі з податковим боргом</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Центральний відділ по роботі з податковим боргом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Київський відділ по роботі з податковим боргом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Східний відділ по роботі з податковим боргом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Відділ з питань запобігання та виявлення корупції</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autoSpaceDE w:val="0"/>
              <w:autoSpaceDN w:val="0"/>
              <w:adjustRightInd w:val="0"/>
              <w:contextualSpacing/>
              <w:jc w:val="both"/>
              <w:rPr>
                <w:rFonts w:ascii="Times New Roman" w:hAnsi="Times New Roman"/>
                <w:b/>
                <w:bCs/>
                <w:iCs/>
                <w:color w:val="000000"/>
                <w:sz w:val="28"/>
                <w:szCs w:val="28"/>
              </w:rPr>
            </w:pPr>
            <w:r w:rsidRPr="00217156">
              <w:rPr>
                <w:rFonts w:ascii="Times New Roman" w:hAnsi="Times New Roman"/>
                <w:b/>
                <w:bCs/>
                <w:iCs/>
                <w:color w:val="000000"/>
                <w:sz w:val="28"/>
                <w:szCs w:val="28"/>
              </w:rPr>
              <w:t>Сектор охорони державної таємниці, технічного та криптографічного захисту інформації</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Управління інфраструктури та господарського забезпечення</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матеріально-технічного, транспортного  забезпечення та зв'язку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експлуатації майна</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закупівель</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
                <w:bCs/>
                <w:iCs/>
                <w:color w:val="000000"/>
                <w:sz w:val="28"/>
                <w:szCs w:val="28"/>
              </w:rPr>
            </w:pPr>
            <w:r w:rsidRPr="00217156">
              <w:rPr>
                <w:rFonts w:ascii="Times New Roman" w:hAnsi="Times New Roman"/>
                <w:b/>
                <w:bCs/>
                <w:iCs/>
                <w:color w:val="000000"/>
                <w:sz w:val="28"/>
                <w:szCs w:val="28"/>
              </w:rPr>
              <w:t>Управління з питань виявлення та опрацювання податкових ризиків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Cs/>
                <w:iCs/>
                <w:color w:val="000000"/>
                <w:sz w:val="28"/>
                <w:szCs w:val="28"/>
              </w:rPr>
              <w:t>Відділ прогнозу, аналізу та звітності</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Cs/>
                <w:iCs/>
                <w:color w:val="000000"/>
                <w:sz w:val="28"/>
                <w:szCs w:val="28"/>
              </w:rPr>
              <w:t>Відділ моніторингу операцій та ризиків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widowControl w:val="0"/>
              <w:contextualSpacing/>
              <w:jc w:val="both"/>
              <w:rPr>
                <w:rFonts w:ascii="Times New Roman" w:hAnsi="Times New Roman"/>
                <w:bCs/>
                <w:iCs/>
                <w:color w:val="000000"/>
                <w:sz w:val="28"/>
                <w:szCs w:val="28"/>
              </w:rPr>
            </w:pPr>
            <w:r w:rsidRPr="00217156">
              <w:rPr>
                <w:rFonts w:ascii="Times New Roman" w:hAnsi="Times New Roman"/>
                <w:bCs/>
                <w:iCs/>
                <w:color w:val="000000"/>
                <w:sz w:val="28"/>
                <w:szCs w:val="28"/>
              </w:rPr>
              <w:t>Відділ роботи з ризиками</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jc w:val="both"/>
              <w:rPr>
                <w:rFonts w:ascii="Times New Roman" w:hAnsi="Times New Roman"/>
                <w:b/>
                <w:bCs/>
                <w:iCs/>
                <w:color w:val="000000"/>
                <w:sz w:val="28"/>
                <w:szCs w:val="28"/>
              </w:rPr>
            </w:pPr>
            <w:r w:rsidRPr="00217156">
              <w:rPr>
                <w:rFonts w:ascii="Times New Roman" w:hAnsi="Times New Roman"/>
                <w:b/>
                <w:bCs/>
                <w:iCs/>
                <w:color w:val="000000"/>
                <w:sz w:val="28"/>
                <w:szCs w:val="28"/>
              </w:rPr>
              <w:t>Управління економічного аналізу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організації та моніторингу виконання показників доходів</w:t>
            </w:r>
          </w:p>
          <w:p w:rsidR="00217156" w:rsidRPr="00217156" w:rsidRDefault="00217156" w:rsidP="00944683">
            <w:pPr>
              <w:pStyle w:val="ac"/>
              <w:rPr>
                <w:color w:val="000000"/>
              </w:rPr>
            </w:pP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обліку платежів та зведеної звітності</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прогнозування та аналізу доходів місцевих бюджетів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 xml:space="preserve">Відділ </w:t>
            </w:r>
            <w:r w:rsidRPr="00217156">
              <w:rPr>
                <w:color w:val="000000"/>
                <w:lang w:val="ru-RU"/>
              </w:rPr>
              <w:t xml:space="preserve">контролю обліково-звітних </w:t>
            </w:r>
            <w:r w:rsidRPr="00217156">
              <w:rPr>
                <w:color w:val="000000"/>
              </w:rPr>
              <w:t>показників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Управління інформаційних технологій</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Відділ супроводження інформаційних систем</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Відділ адміністрування баз даних</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Відділ технічної підтримки та електронного документообігу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Сектор адміністраторів безпеки та адміністрування служби каталогів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Харківський відділ інформаційних технологій</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pPr>
            <w:r w:rsidRPr="00217156">
              <w:t>Центральний відділ інформаційних технологій</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Відділ реєстрації користувачів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Управління трансфертного ціноутворення</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контрольованих операцій</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контролю міжнародної діяльності</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lastRenderedPageBreak/>
              <w:t>20-40-24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Управління оподаткування фізичних осіб</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pStyle w:val="ac"/>
            </w:pPr>
            <w:r w:rsidRPr="00217156">
              <w:t>Відділ адміністрування податку на доходи фізичних осіб</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156" w:rsidRPr="00217156" w:rsidRDefault="00217156" w:rsidP="00944683">
            <w:pPr>
              <w:pStyle w:val="ac"/>
            </w:pPr>
            <w:r w:rsidRPr="00217156">
              <w:t>Відділ адміністрування податків з громадян та осіб, які провадять незалежну професійну діяльність</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адміністрування податків і зборів з фізичних осіб – підприємців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адміністрування єдиного внеску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адміністрування податку на майно та місцевих зборів з фізичних осіб</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координації та інформаційно-аналітичного забезпечення</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розгляду звернень платників податків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якості перевірок оподаткування фізичних осіб</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944683">
            <w:pPr>
              <w:pStyle w:val="ac"/>
              <w:rPr>
                <w:color w:val="000000"/>
              </w:rPr>
            </w:pPr>
            <w:r w:rsidRPr="00217156">
              <w:rPr>
                <w:color w:val="000000"/>
              </w:rPr>
              <w:t>Відділ планових перевірок оподаткування фізичних осіб</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позапланових перевірок оподаткування фізичних осіб</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перевірок податкових агентів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Богодухівський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Ізюмський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Берестинський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Куп’янський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Лозівський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Харківський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Чугуївський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Центральний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Київський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Східний відділ податків і зборів з фізичних осіб та проведення камеральних перевірок</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lastRenderedPageBreak/>
              <w:t>20-40-30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rPr>
                <w:rFonts w:ascii="Times New Roman" w:hAnsi="Times New Roman"/>
                <w:b/>
                <w:bCs/>
                <w:iCs/>
                <w:color w:val="000000"/>
                <w:sz w:val="28"/>
                <w:szCs w:val="28"/>
              </w:rPr>
            </w:pPr>
            <w:r w:rsidRPr="00217156">
              <w:rPr>
                <w:rFonts w:ascii="Times New Roman" w:hAnsi="Times New Roman"/>
                <w:b/>
                <w:bCs/>
                <w:iCs/>
                <w:color w:val="000000"/>
                <w:sz w:val="28"/>
                <w:szCs w:val="28"/>
              </w:rPr>
              <w:t xml:space="preserve">Відділ інформаційної взаємодії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 xml:space="preserve">Богодухівська державна податкова інспекція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обліку платників, об’єктів оподаткування та ведення реєстрів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надання адміністративних послуг, організації роботи та документообігу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 xml:space="preserve">Ізюмська державна податкова інспекція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обліку платників, об’єктів оподаткування та ведення реєстрів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надання адміністративних послуг, організації роботи та документообігу</w:t>
            </w:r>
          </w:p>
        </w:tc>
      </w:tr>
      <w:tr w:rsidR="00217156" w:rsidRPr="006E62C6" w:rsidTr="00217156">
        <w:tblPrEx>
          <w:tblBorders>
            <w:bottom w:val="single" w:sz="4" w:space="0" w:color="auto"/>
          </w:tblBorders>
        </w:tblPrEx>
        <w:trPr>
          <w:trHeight w:val="25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 xml:space="preserve">Берестинська державна податкова інспекція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обліку платників, об’єктів оподаткування та ведення реєстрів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надання адміністративних послуг, організації роботи та документообігу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 xml:space="preserve">Харківська державна податкова інспекція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обліку платників, об’єктів оподаткування та ведення реєстрів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надання адміністративних послуг, організації роботи та документообігу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Дергачівський сектор обслуговування платників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Нововодолазький сектор обслуговування платників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Шевченківський відділ обслуговування платників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Холодногірський відділ обслуговування платників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Київський відділ обслуговування платників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Індустріальний відділ обслуговування платників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Люботинський сектор обслуговування платників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 xml:space="preserve">Чугуївська державна податкова інспекція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обліку платників, об’єктів оподаткування та ведення реєстрів</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color w:val="000000"/>
              </w:rPr>
            </w:pPr>
            <w:r w:rsidRPr="00217156">
              <w:rPr>
                <w:color w:val="000000"/>
              </w:rPr>
              <w:t>Відділ надання адміністративних послуг, організації роботи та документообігу</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lastRenderedPageBreak/>
              <w:t>20-40-55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Куп’янська державна податкова інспекція</w:t>
            </w:r>
            <w:r w:rsidRPr="00217156">
              <w:rPr>
                <w:b/>
                <w:color w:val="000000"/>
                <w:lang w:val="ru-RU"/>
              </w:rPr>
              <w:t xml:space="preserve"> </w:t>
            </w:r>
          </w:p>
        </w:tc>
      </w:tr>
      <w:tr w:rsidR="00217156" w:rsidRPr="006E62C6" w:rsidTr="00217156">
        <w:tblPrEx>
          <w:tblBorders>
            <w:bottom w:val="single" w:sz="4" w:space="0" w:color="auto"/>
          </w:tblBorders>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17156" w:rsidRPr="00217156" w:rsidRDefault="00217156" w:rsidP="00217156">
            <w:pPr>
              <w:autoSpaceDE w:val="0"/>
              <w:autoSpaceDN w:val="0"/>
              <w:adjustRightInd w:val="0"/>
              <w:contextualSpacing/>
              <w:jc w:val="center"/>
              <w:rPr>
                <w:rFonts w:ascii="Times New Roman" w:hAnsi="Times New Roman"/>
                <w:b/>
                <w:bCs/>
                <w:iCs/>
                <w:color w:val="000000"/>
                <w:sz w:val="28"/>
                <w:szCs w:val="28"/>
              </w:rPr>
            </w:pPr>
            <w:r w:rsidRPr="00217156">
              <w:rPr>
                <w:rFonts w:ascii="Times New Roman" w:hAnsi="Times New Roman"/>
                <w:b/>
                <w:bCs/>
                <w:iCs/>
                <w:color w:val="000000"/>
                <w:sz w:val="28"/>
                <w:szCs w:val="28"/>
              </w:rPr>
              <w:t>20-40-56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7156" w:rsidRPr="00217156" w:rsidRDefault="00217156" w:rsidP="00944683">
            <w:pPr>
              <w:pStyle w:val="ac"/>
              <w:rPr>
                <w:b/>
                <w:color w:val="000000"/>
              </w:rPr>
            </w:pPr>
            <w:r w:rsidRPr="00217156">
              <w:rPr>
                <w:b/>
                <w:color w:val="000000"/>
              </w:rPr>
              <w:t xml:space="preserve">Лозівська державна податкова інспекція </w:t>
            </w:r>
          </w:p>
        </w:tc>
      </w:tr>
    </w:tbl>
    <w:p w:rsidR="000A6B30" w:rsidRPr="006E62C6" w:rsidRDefault="000A6B30">
      <w:pPr>
        <w:rPr>
          <w:color w:val="000000" w:themeColor="text1"/>
        </w:rPr>
      </w:pPr>
    </w:p>
    <w:p w:rsidR="00B66935" w:rsidRPr="00D61431" w:rsidRDefault="00D61431" w:rsidP="00D61431">
      <w:pPr>
        <w:spacing w:after="0" w:line="240" w:lineRule="auto"/>
        <w:jc w:val="center"/>
        <w:rPr>
          <w:rFonts w:ascii="Times New Roman" w:hAnsi="Times New Roman"/>
          <w:sz w:val="28"/>
          <w:szCs w:val="28"/>
          <w:lang w:val="en-US"/>
        </w:rPr>
      </w:pPr>
      <w:r>
        <w:rPr>
          <w:rFonts w:ascii="Times New Roman" w:hAnsi="Times New Roman"/>
          <w:sz w:val="28"/>
          <w:szCs w:val="28"/>
          <w:lang w:val="en-US"/>
        </w:rPr>
        <w:t>______________________</w:t>
      </w:r>
    </w:p>
    <w:p w:rsidR="00B66935" w:rsidRPr="006E62C6" w:rsidRDefault="00B66935" w:rsidP="00B66935">
      <w:pPr>
        <w:pStyle w:val="a4"/>
        <w:tabs>
          <w:tab w:val="left" w:pos="0"/>
        </w:tabs>
        <w:spacing w:before="120"/>
        <w:rPr>
          <w:rFonts w:ascii="Times New Roman" w:hAnsi="Times New Roman"/>
          <w:bCs/>
          <w:sz w:val="28"/>
          <w:szCs w:val="28"/>
          <w:lang w:val="uk-UA"/>
        </w:rPr>
      </w:pPr>
    </w:p>
    <w:p w:rsidR="00B66935" w:rsidRPr="006E62C6" w:rsidRDefault="00B66935" w:rsidP="00B66935">
      <w:pPr>
        <w:pStyle w:val="a4"/>
        <w:tabs>
          <w:tab w:val="left" w:pos="0"/>
        </w:tabs>
        <w:spacing w:before="120"/>
        <w:rPr>
          <w:rFonts w:ascii="Times New Roman" w:hAnsi="Times New Roman"/>
          <w:bCs/>
          <w:sz w:val="28"/>
          <w:szCs w:val="28"/>
          <w:lang w:val="uk-UA"/>
        </w:rPr>
      </w:pPr>
    </w:p>
    <w:p w:rsidR="00F9037D" w:rsidRPr="00E0668E" w:rsidRDefault="00F9037D" w:rsidP="00CA72F1">
      <w:pPr>
        <w:tabs>
          <w:tab w:val="left" w:pos="0"/>
        </w:tabs>
        <w:spacing w:line="240" w:lineRule="auto"/>
        <w:rPr>
          <w:color w:val="000000" w:themeColor="text1"/>
          <w:lang w:val="ru-RU"/>
        </w:rPr>
      </w:pPr>
    </w:p>
    <w:sectPr w:rsidR="00F9037D" w:rsidRPr="00E0668E" w:rsidSect="00CA72F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D94" w:rsidRDefault="00890D94" w:rsidP="00CA72F1">
      <w:pPr>
        <w:spacing w:after="0" w:line="240" w:lineRule="auto"/>
      </w:pPr>
      <w:r>
        <w:separator/>
      </w:r>
    </w:p>
  </w:endnote>
  <w:endnote w:type="continuationSeparator" w:id="0">
    <w:p w:rsidR="00890D94" w:rsidRDefault="00890D94" w:rsidP="00CA7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D94" w:rsidRDefault="00890D94" w:rsidP="00CA72F1">
      <w:pPr>
        <w:spacing w:after="0" w:line="240" w:lineRule="auto"/>
      </w:pPr>
      <w:r>
        <w:separator/>
      </w:r>
    </w:p>
  </w:footnote>
  <w:footnote w:type="continuationSeparator" w:id="0">
    <w:p w:rsidR="00890D94" w:rsidRDefault="00890D94" w:rsidP="00CA72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37594"/>
    </w:sdtPr>
    <w:sdtContent>
      <w:p w:rsidR="00FF27A9" w:rsidRDefault="00EE1AC6">
        <w:pPr>
          <w:pStyle w:val="a6"/>
          <w:jc w:val="center"/>
        </w:pPr>
        <w:r>
          <w:fldChar w:fldCharType="begin"/>
        </w:r>
        <w:r w:rsidR="00FF27A9">
          <w:instrText xml:space="preserve"> PAGE   \* MERGEFORMAT </w:instrText>
        </w:r>
        <w:r>
          <w:fldChar w:fldCharType="separate"/>
        </w:r>
        <w:r w:rsidR="00F22B27">
          <w:rPr>
            <w:noProof/>
          </w:rPr>
          <w:t>2</w:t>
        </w:r>
        <w:r>
          <w:rPr>
            <w:noProof/>
          </w:rPr>
          <w:fldChar w:fldCharType="end"/>
        </w:r>
      </w:p>
    </w:sdtContent>
  </w:sdt>
  <w:tbl>
    <w:tblPr>
      <w:tblW w:w="10261" w:type="dxa"/>
      <w:tblInd w:w="-3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2040"/>
      <w:gridCol w:w="6170"/>
      <w:gridCol w:w="2051"/>
    </w:tblGrid>
    <w:tr w:rsidR="00FF27A9" w:rsidRPr="000A6B30" w:rsidTr="00CA72F1">
      <w:trPr>
        <w:tblHeader/>
      </w:trPr>
      <w:tc>
        <w:tcPr>
          <w:tcW w:w="2040" w:type="dxa"/>
          <w:shd w:val="clear" w:color="auto" w:fill="auto"/>
        </w:tcPr>
        <w:p w:rsidR="00FF27A9" w:rsidRPr="000A6B30" w:rsidRDefault="00FF27A9" w:rsidP="008C247F">
          <w:pPr>
            <w:spacing w:line="240" w:lineRule="auto"/>
            <w:contextualSpacing/>
            <w:jc w:val="center"/>
            <w:rPr>
              <w:rFonts w:ascii="Times New Roman" w:hAnsi="Times New Roman"/>
              <w:bCs/>
              <w:i/>
              <w:sz w:val="28"/>
              <w:szCs w:val="28"/>
            </w:rPr>
          </w:pPr>
          <w:r w:rsidRPr="000A6B30">
            <w:rPr>
              <w:rFonts w:ascii="Times New Roman" w:hAnsi="Times New Roman"/>
              <w:bCs/>
              <w:i/>
              <w:sz w:val="28"/>
              <w:szCs w:val="28"/>
            </w:rPr>
            <w:t>1</w:t>
          </w:r>
        </w:p>
      </w:tc>
      <w:tc>
        <w:tcPr>
          <w:tcW w:w="6170" w:type="dxa"/>
          <w:shd w:val="clear" w:color="auto" w:fill="auto"/>
        </w:tcPr>
        <w:p w:rsidR="00FF27A9" w:rsidRPr="000A6B30" w:rsidRDefault="00FF27A9" w:rsidP="008C247F">
          <w:pPr>
            <w:spacing w:line="240" w:lineRule="auto"/>
            <w:contextualSpacing/>
            <w:jc w:val="center"/>
            <w:rPr>
              <w:rFonts w:ascii="Times New Roman" w:hAnsi="Times New Roman"/>
              <w:bCs/>
              <w:i/>
              <w:sz w:val="28"/>
              <w:szCs w:val="28"/>
            </w:rPr>
          </w:pPr>
          <w:r w:rsidRPr="000A6B30">
            <w:rPr>
              <w:rFonts w:ascii="Times New Roman" w:hAnsi="Times New Roman"/>
              <w:bCs/>
              <w:i/>
              <w:sz w:val="28"/>
              <w:szCs w:val="28"/>
            </w:rPr>
            <w:t>2</w:t>
          </w:r>
        </w:p>
      </w:tc>
      <w:tc>
        <w:tcPr>
          <w:tcW w:w="2051" w:type="dxa"/>
          <w:shd w:val="clear" w:color="auto" w:fill="auto"/>
        </w:tcPr>
        <w:p w:rsidR="00FF27A9" w:rsidRPr="000A6B30" w:rsidRDefault="00FF27A9" w:rsidP="008C247F">
          <w:pPr>
            <w:spacing w:line="240" w:lineRule="auto"/>
            <w:ind w:left="34"/>
            <w:contextualSpacing/>
            <w:jc w:val="center"/>
            <w:rPr>
              <w:rFonts w:ascii="Times New Roman" w:hAnsi="Times New Roman"/>
              <w:bCs/>
              <w:i/>
              <w:sz w:val="28"/>
              <w:szCs w:val="28"/>
            </w:rPr>
          </w:pPr>
          <w:r w:rsidRPr="000A6B30">
            <w:rPr>
              <w:rFonts w:ascii="Times New Roman" w:hAnsi="Times New Roman"/>
              <w:bCs/>
              <w:i/>
              <w:sz w:val="28"/>
              <w:szCs w:val="28"/>
            </w:rPr>
            <w:t>3</w:t>
          </w:r>
        </w:p>
      </w:tc>
    </w:tr>
  </w:tbl>
  <w:p w:rsidR="00FF27A9" w:rsidRPr="00CA72F1" w:rsidRDefault="00FF27A9">
    <w:pPr>
      <w:pStyle w:val="a6"/>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5428D"/>
    <w:rsid w:val="000017DD"/>
    <w:rsid w:val="00003E28"/>
    <w:rsid w:val="00004685"/>
    <w:rsid w:val="00005216"/>
    <w:rsid w:val="00005C65"/>
    <w:rsid w:val="00014CFE"/>
    <w:rsid w:val="00020F06"/>
    <w:rsid w:val="00022289"/>
    <w:rsid w:val="00022D50"/>
    <w:rsid w:val="00023535"/>
    <w:rsid w:val="00030094"/>
    <w:rsid w:val="00031653"/>
    <w:rsid w:val="000332D3"/>
    <w:rsid w:val="00035D55"/>
    <w:rsid w:val="00036080"/>
    <w:rsid w:val="00043257"/>
    <w:rsid w:val="0004605B"/>
    <w:rsid w:val="00050D52"/>
    <w:rsid w:val="000557C9"/>
    <w:rsid w:val="0006371F"/>
    <w:rsid w:val="000643FE"/>
    <w:rsid w:val="00066FF2"/>
    <w:rsid w:val="00081871"/>
    <w:rsid w:val="0008393B"/>
    <w:rsid w:val="00087BA7"/>
    <w:rsid w:val="000926FF"/>
    <w:rsid w:val="000974CA"/>
    <w:rsid w:val="000A3CC8"/>
    <w:rsid w:val="000A6B30"/>
    <w:rsid w:val="000F590C"/>
    <w:rsid w:val="0010125F"/>
    <w:rsid w:val="001019EC"/>
    <w:rsid w:val="00101D70"/>
    <w:rsid w:val="001025AC"/>
    <w:rsid w:val="00104630"/>
    <w:rsid w:val="00135706"/>
    <w:rsid w:val="00144294"/>
    <w:rsid w:val="00145284"/>
    <w:rsid w:val="00152082"/>
    <w:rsid w:val="0015244A"/>
    <w:rsid w:val="00190413"/>
    <w:rsid w:val="00191F53"/>
    <w:rsid w:val="00191F5B"/>
    <w:rsid w:val="00194001"/>
    <w:rsid w:val="001A11C0"/>
    <w:rsid w:val="001A1639"/>
    <w:rsid w:val="001B05F5"/>
    <w:rsid w:val="001B1D50"/>
    <w:rsid w:val="001C1190"/>
    <w:rsid w:val="001C5C01"/>
    <w:rsid w:val="001D1C0D"/>
    <w:rsid w:val="001D4EC0"/>
    <w:rsid w:val="001D75C4"/>
    <w:rsid w:val="001E0486"/>
    <w:rsid w:val="001E476F"/>
    <w:rsid w:val="001F0A38"/>
    <w:rsid w:val="001F2ED7"/>
    <w:rsid w:val="00203726"/>
    <w:rsid w:val="00203E48"/>
    <w:rsid w:val="0020489D"/>
    <w:rsid w:val="002106BB"/>
    <w:rsid w:val="00214C95"/>
    <w:rsid w:val="00217156"/>
    <w:rsid w:val="00232716"/>
    <w:rsid w:val="00241311"/>
    <w:rsid w:val="00261AC2"/>
    <w:rsid w:val="00262C41"/>
    <w:rsid w:val="00262F33"/>
    <w:rsid w:val="002664AE"/>
    <w:rsid w:val="00280814"/>
    <w:rsid w:val="00284101"/>
    <w:rsid w:val="00285E6C"/>
    <w:rsid w:val="002862D7"/>
    <w:rsid w:val="00294255"/>
    <w:rsid w:val="002A141B"/>
    <w:rsid w:val="002A26D4"/>
    <w:rsid w:val="002A2B28"/>
    <w:rsid w:val="002C799E"/>
    <w:rsid w:val="002D28F7"/>
    <w:rsid w:val="002F1646"/>
    <w:rsid w:val="00314868"/>
    <w:rsid w:val="003177F7"/>
    <w:rsid w:val="00327ACD"/>
    <w:rsid w:val="00334D62"/>
    <w:rsid w:val="00335C0C"/>
    <w:rsid w:val="00353598"/>
    <w:rsid w:val="0037398F"/>
    <w:rsid w:val="003742A8"/>
    <w:rsid w:val="003852C2"/>
    <w:rsid w:val="003A6511"/>
    <w:rsid w:val="003A6BF9"/>
    <w:rsid w:val="003B1139"/>
    <w:rsid w:val="003B36FD"/>
    <w:rsid w:val="003C6A64"/>
    <w:rsid w:val="003D44F7"/>
    <w:rsid w:val="003F3413"/>
    <w:rsid w:val="003F790A"/>
    <w:rsid w:val="00401042"/>
    <w:rsid w:val="004019BB"/>
    <w:rsid w:val="00437606"/>
    <w:rsid w:val="004565D8"/>
    <w:rsid w:val="00456BA2"/>
    <w:rsid w:val="00457C03"/>
    <w:rsid w:val="004635A1"/>
    <w:rsid w:val="00472BAB"/>
    <w:rsid w:val="0047386F"/>
    <w:rsid w:val="004839B6"/>
    <w:rsid w:val="00483F06"/>
    <w:rsid w:val="00494406"/>
    <w:rsid w:val="0049578C"/>
    <w:rsid w:val="004C0A32"/>
    <w:rsid w:val="004C0B52"/>
    <w:rsid w:val="004C2449"/>
    <w:rsid w:val="004C29DB"/>
    <w:rsid w:val="004C673C"/>
    <w:rsid w:val="004D23FC"/>
    <w:rsid w:val="004D599A"/>
    <w:rsid w:val="004E0E8B"/>
    <w:rsid w:val="004E1B97"/>
    <w:rsid w:val="004E3EFC"/>
    <w:rsid w:val="004E779D"/>
    <w:rsid w:val="004F4E3A"/>
    <w:rsid w:val="004F5BF2"/>
    <w:rsid w:val="004F5F02"/>
    <w:rsid w:val="004F73E6"/>
    <w:rsid w:val="004F7FF3"/>
    <w:rsid w:val="005027A7"/>
    <w:rsid w:val="005201A1"/>
    <w:rsid w:val="005238BA"/>
    <w:rsid w:val="00530E36"/>
    <w:rsid w:val="0053659E"/>
    <w:rsid w:val="00544C21"/>
    <w:rsid w:val="00546C2E"/>
    <w:rsid w:val="00550526"/>
    <w:rsid w:val="00552EBB"/>
    <w:rsid w:val="0055450E"/>
    <w:rsid w:val="005556F8"/>
    <w:rsid w:val="0056569B"/>
    <w:rsid w:val="00571B3B"/>
    <w:rsid w:val="00571B8F"/>
    <w:rsid w:val="00583BC0"/>
    <w:rsid w:val="005957BA"/>
    <w:rsid w:val="00596520"/>
    <w:rsid w:val="005B6D02"/>
    <w:rsid w:val="005C5F00"/>
    <w:rsid w:val="005D2907"/>
    <w:rsid w:val="005D3915"/>
    <w:rsid w:val="005E4E77"/>
    <w:rsid w:val="005E66F6"/>
    <w:rsid w:val="005E7E75"/>
    <w:rsid w:val="005F5807"/>
    <w:rsid w:val="005F651A"/>
    <w:rsid w:val="006033D7"/>
    <w:rsid w:val="006057F0"/>
    <w:rsid w:val="00607E8D"/>
    <w:rsid w:val="00610D7A"/>
    <w:rsid w:val="006110E7"/>
    <w:rsid w:val="00615687"/>
    <w:rsid w:val="006251C7"/>
    <w:rsid w:val="00627E6B"/>
    <w:rsid w:val="00630D2C"/>
    <w:rsid w:val="00651983"/>
    <w:rsid w:val="00654829"/>
    <w:rsid w:val="006605D3"/>
    <w:rsid w:val="00660AC1"/>
    <w:rsid w:val="006652D7"/>
    <w:rsid w:val="00677991"/>
    <w:rsid w:val="00682EBE"/>
    <w:rsid w:val="00695362"/>
    <w:rsid w:val="006A5755"/>
    <w:rsid w:val="006A7A29"/>
    <w:rsid w:val="006B0360"/>
    <w:rsid w:val="006B4B7A"/>
    <w:rsid w:val="006B7B2E"/>
    <w:rsid w:val="006C238F"/>
    <w:rsid w:val="006E185E"/>
    <w:rsid w:val="006E62C6"/>
    <w:rsid w:val="006F3043"/>
    <w:rsid w:val="006F7E30"/>
    <w:rsid w:val="00701792"/>
    <w:rsid w:val="00701F61"/>
    <w:rsid w:val="007202C9"/>
    <w:rsid w:val="00722B15"/>
    <w:rsid w:val="007320C5"/>
    <w:rsid w:val="00734BB6"/>
    <w:rsid w:val="0074782C"/>
    <w:rsid w:val="00751001"/>
    <w:rsid w:val="0075195F"/>
    <w:rsid w:val="00766764"/>
    <w:rsid w:val="00767D81"/>
    <w:rsid w:val="00775A47"/>
    <w:rsid w:val="0078060A"/>
    <w:rsid w:val="00790039"/>
    <w:rsid w:val="007A09B0"/>
    <w:rsid w:val="007A1763"/>
    <w:rsid w:val="007A3EF4"/>
    <w:rsid w:val="007B2AC8"/>
    <w:rsid w:val="007C0FA6"/>
    <w:rsid w:val="007C6A39"/>
    <w:rsid w:val="007D462D"/>
    <w:rsid w:val="007D55AD"/>
    <w:rsid w:val="007D7F57"/>
    <w:rsid w:val="007E2397"/>
    <w:rsid w:val="007E3354"/>
    <w:rsid w:val="007E78E5"/>
    <w:rsid w:val="007F3795"/>
    <w:rsid w:val="0080506E"/>
    <w:rsid w:val="00813D7A"/>
    <w:rsid w:val="0081770C"/>
    <w:rsid w:val="00825AA2"/>
    <w:rsid w:val="008332BB"/>
    <w:rsid w:val="00835822"/>
    <w:rsid w:val="00844B44"/>
    <w:rsid w:val="00845D6C"/>
    <w:rsid w:val="00846CCD"/>
    <w:rsid w:val="0085052D"/>
    <w:rsid w:val="00857FA6"/>
    <w:rsid w:val="00861744"/>
    <w:rsid w:val="00865DBD"/>
    <w:rsid w:val="008755BF"/>
    <w:rsid w:val="008756BF"/>
    <w:rsid w:val="00875E04"/>
    <w:rsid w:val="00887101"/>
    <w:rsid w:val="00890D94"/>
    <w:rsid w:val="00892484"/>
    <w:rsid w:val="0089365E"/>
    <w:rsid w:val="00897978"/>
    <w:rsid w:val="008A15B1"/>
    <w:rsid w:val="008A276E"/>
    <w:rsid w:val="008B03AD"/>
    <w:rsid w:val="008B730F"/>
    <w:rsid w:val="008C247F"/>
    <w:rsid w:val="008C3030"/>
    <w:rsid w:val="008C5E43"/>
    <w:rsid w:val="008C76CD"/>
    <w:rsid w:val="008D7441"/>
    <w:rsid w:val="008E007C"/>
    <w:rsid w:val="008E32F4"/>
    <w:rsid w:val="008F07B6"/>
    <w:rsid w:val="008F48C5"/>
    <w:rsid w:val="00905263"/>
    <w:rsid w:val="00907D83"/>
    <w:rsid w:val="00910225"/>
    <w:rsid w:val="00912207"/>
    <w:rsid w:val="0091565D"/>
    <w:rsid w:val="00917AF8"/>
    <w:rsid w:val="00922FDC"/>
    <w:rsid w:val="00924525"/>
    <w:rsid w:val="00930DD0"/>
    <w:rsid w:val="00933172"/>
    <w:rsid w:val="00934CBE"/>
    <w:rsid w:val="00955045"/>
    <w:rsid w:val="009559B1"/>
    <w:rsid w:val="00960B6D"/>
    <w:rsid w:val="00964E39"/>
    <w:rsid w:val="009866D0"/>
    <w:rsid w:val="009913D1"/>
    <w:rsid w:val="009A547F"/>
    <w:rsid w:val="009A66C8"/>
    <w:rsid w:val="009B00E3"/>
    <w:rsid w:val="009B60F0"/>
    <w:rsid w:val="009C04A2"/>
    <w:rsid w:val="009C7DC3"/>
    <w:rsid w:val="009D2FE3"/>
    <w:rsid w:val="009D715B"/>
    <w:rsid w:val="009D770C"/>
    <w:rsid w:val="00A15DB1"/>
    <w:rsid w:val="00A15F65"/>
    <w:rsid w:val="00A227DA"/>
    <w:rsid w:val="00A22F6F"/>
    <w:rsid w:val="00A336E4"/>
    <w:rsid w:val="00A40B7A"/>
    <w:rsid w:val="00A53F04"/>
    <w:rsid w:val="00A629BB"/>
    <w:rsid w:val="00A63109"/>
    <w:rsid w:val="00A77F8C"/>
    <w:rsid w:val="00A821E8"/>
    <w:rsid w:val="00A857A1"/>
    <w:rsid w:val="00A93F1C"/>
    <w:rsid w:val="00AA4289"/>
    <w:rsid w:val="00AA4CE5"/>
    <w:rsid w:val="00AA4FAE"/>
    <w:rsid w:val="00AD0FCD"/>
    <w:rsid w:val="00AD59E4"/>
    <w:rsid w:val="00AD64A6"/>
    <w:rsid w:val="00B13149"/>
    <w:rsid w:val="00B20AC9"/>
    <w:rsid w:val="00B20F06"/>
    <w:rsid w:val="00B244C7"/>
    <w:rsid w:val="00B25A74"/>
    <w:rsid w:val="00B45FDB"/>
    <w:rsid w:val="00B5428D"/>
    <w:rsid w:val="00B54661"/>
    <w:rsid w:val="00B64A1C"/>
    <w:rsid w:val="00B65700"/>
    <w:rsid w:val="00B66935"/>
    <w:rsid w:val="00B726F7"/>
    <w:rsid w:val="00B74DF8"/>
    <w:rsid w:val="00B76F19"/>
    <w:rsid w:val="00B772E6"/>
    <w:rsid w:val="00B97FB7"/>
    <w:rsid w:val="00BB3A84"/>
    <w:rsid w:val="00BB4F12"/>
    <w:rsid w:val="00BC16EA"/>
    <w:rsid w:val="00BC50DA"/>
    <w:rsid w:val="00BC52E2"/>
    <w:rsid w:val="00BE1E68"/>
    <w:rsid w:val="00BE597B"/>
    <w:rsid w:val="00BF1F3F"/>
    <w:rsid w:val="00BF4670"/>
    <w:rsid w:val="00C24076"/>
    <w:rsid w:val="00C25D14"/>
    <w:rsid w:val="00C26404"/>
    <w:rsid w:val="00C26F4E"/>
    <w:rsid w:val="00C2741F"/>
    <w:rsid w:val="00C601A9"/>
    <w:rsid w:val="00C63FC1"/>
    <w:rsid w:val="00C71268"/>
    <w:rsid w:val="00C72FF5"/>
    <w:rsid w:val="00C73ACF"/>
    <w:rsid w:val="00C77E48"/>
    <w:rsid w:val="00C90CC8"/>
    <w:rsid w:val="00C94569"/>
    <w:rsid w:val="00CA590C"/>
    <w:rsid w:val="00CA72F1"/>
    <w:rsid w:val="00CB1BF3"/>
    <w:rsid w:val="00CB4C90"/>
    <w:rsid w:val="00CB7D4C"/>
    <w:rsid w:val="00CC44B7"/>
    <w:rsid w:val="00CC79DA"/>
    <w:rsid w:val="00CC7EA8"/>
    <w:rsid w:val="00CD5AF4"/>
    <w:rsid w:val="00CF1912"/>
    <w:rsid w:val="00CF5E03"/>
    <w:rsid w:val="00D00853"/>
    <w:rsid w:val="00D05C98"/>
    <w:rsid w:val="00D134FD"/>
    <w:rsid w:val="00D17E2E"/>
    <w:rsid w:val="00D216AB"/>
    <w:rsid w:val="00D229C9"/>
    <w:rsid w:val="00D27059"/>
    <w:rsid w:val="00D30414"/>
    <w:rsid w:val="00D30E8D"/>
    <w:rsid w:val="00D61431"/>
    <w:rsid w:val="00D64B11"/>
    <w:rsid w:val="00D67DFF"/>
    <w:rsid w:val="00D72D79"/>
    <w:rsid w:val="00D773C2"/>
    <w:rsid w:val="00D80619"/>
    <w:rsid w:val="00D87DAE"/>
    <w:rsid w:val="00D96F94"/>
    <w:rsid w:val="00DA038B"/>
    <w:rsid w:val="00DC1CA3"/>
    <w:rsid w:val="00DC64AA"/>
    <w:rsid w:val="00DD28AF"/>
    <w:rsid w:val="00DD4869"/>
    <w:rsid w:val="00DE1C13"/>
    <w:rsid w:val="00DE331C"/>
    <w:rsid w:val="00DE6645"/>
    <w:rsid w:val="00DF0EBB"/>
    <w:rsid w:val="00DF1B2A"/>
    <w:rsid w:val="00DF23FF"/>
    <w:rsid w:val="00E05615"/>
    <w:rsid w:val="00E0668E"/>
    <w:rsid w:val="00E1647E"/>
    <w:rsid w:val="00E22F16"/>
    <w:rsid w:val="00E2401A"/>
    <w:rsid w:val="00E31F05"/>
    <w:rsid w:val="00E330E1"/>
    <w:rsid w:val="00E33B37"/>
    <w:rsid w:val="00E55514"/>
    <w:rsid w:val="00E557D2"/>
    <w:rsid w:val="00E57B17"/>
    <w:rsid w:val="00E6395B"/>
    <w:rsid w:val="00E63D0F"/>
    <w:rsid w:val="00E64B92"/>
    <w:rsid w:val="00E829C1"/>
    <w:rsid w:val="00E849AF"/>
    <w:rsid w:val="00E84E7D"/>
    <w:rsid w:val="00E91994"/>
    <w:rsid w:val="00E9637A"/>
    <w:rsid w:val="00EA1CB2"/>
    <w:rsid w:val="00EB4244"/>
    <w:rsid w:val="00EB497D"/>
    <w:rsid w:val="00EC050A"/>
    <w:rsid w:val="00EC0A65"/>
    <w:rsid w:val="00EC42A9"/>
    <w:rsid w:val="00EC6ED3"/>
    <w:rsid w:val="00EC7BE6"/>
    <w:rsid w:val="00EE169C"/>
    <w:rsid w:val="00EE1AC6"/>
    <w:rsid w:val="00EE45D0"/>
    <w:rsid w:val="00EE6030"/>
    <w:rsid w:val="00EE7F7D"/>
    <w:rsid w:val="00EF6356"/>
    <w:rsid w:val="00EF7371"/>
    <w:rsid w:val="00F07F82"/>
    <w:rsid w:val="00F139AA"/>
    <w:rsid w:val="00F16EC4"/>
    <w:rsid w:val="00F22B27"/>
    <w:rsid w:val="00F23248"/>
    <w:rsid w:val="00F23F98"/>
    <w:rsid w:val="00F264B2"/>
    <w:rsid w:val="00F31055"/>
    <w:rsid w:val="00F345E9"/>
    <w:rsid w:val="00F37759"/>
    <w:rsid w:val="00F5030D"/>
    <w:rsid w:val="00F54333"/>
    <w:rsid w:val="00F54A69"/>
    <w:rsid w:val="00F554B8"/>
    <w:rsid w:val="00F555CD"/>
    <w:rsid w:val="00F6174B"/>
    <w:rsid w:val="00F70C02"/>
    <w:rsid w:val="00F77611"/>
    <w:rsid w:val="00F836F8"/>
    <w:rsid w:val="00F900BA"/>
    <w:rsid w:val="00F9037D"/>
    <w:rsid w:val="00F96377"/>
    <w:rsid w:val="00FA39B7"/>
    <w:rsid w:val="00FA7DC4"/>
    <w:rsid w:val="00FB66EC"/>
    <w:rsid w:val="00FC231E"/>
    <w:rsid w:val="00FC2CB6"/>
    <w:rsid w:val="00FD2877"/>
    <w:rsid w:val="00FD2886"/>
    <w:rsid w:val="00FD679F"/>
    <w:rsid w:val="00FF27A9"/>
    <w:rsid w:val="00FF330D"/>
    <w:rsid w:val="00FF3436"/>
    <w:rsid w:val="00FF7E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Основной текст Знак Знак Знак,Iniiaiie oaeno Ciae Ciae Ciae,Основной текст Знак1,Основной текст Знак Знак Знак Знак Знак Знак Знак Знак Знак,Основной текст Знак Знак Знак Знак Знак Знак Знак Знак Знак Знак"/>
    <w:basedOn w:val="a"/>
    <w:link w:val="2"/>
    <w:rsid w:val="000A6B30"/>
    <w:pPr>
      <w:widowControl w:val="0"/>
      <w:spacing w:after="120" w:line="240" w:lineRule="auto"/>
    </w:pPr>
    <w:rPr>
      <w:rFonts w:ascii="Arial" w:eastAsia="Times New Roman" w:hAnsi="Arial"/>
      <w:sz w:val="24"/>
      <w:szCs w:val="20"/>
      <w:lang w:val="ru-RU" w:eastAsia="ru-RU"/>
    </w:rPr>
  </w:style>
  <w:style w:type="character" w:customStyle="1" w:styleId="a5">
    <w:name w:val="Основной текст Знак"/>
    <w:basedOn w:val="a0"/>
    <w:uiPriority w:val="99"/>
    <w:semiHidden/>
    <w:rsid w:val="000A6B30"/>
  </w:style>
  <w:style w:type="character" w:customStyle="1" w:styleId="2">
    <w:name w:val="Основной текст Знак2"/>
    <w:aliases w:val="Основной текст Знак Знак Знак Знак,Iniiaiie oaeno Ciae Ciae Ciae Знак,Основной текст Знак1 Знак,Основной текст Знак Знак Знак Знак Знак Знак Знак Знак Знак Знак1,Основной текст Знак Знак Знак Знак Знак Знак Знак Знак Знак Знак Знак"/>
    <w:link w:val="a4"/>
    <w:rsid w:val="000A6B30"/>
    <w:rPr>
      <w:rFonts w:ascii="Arial" w:eastAsia="Times New Roman" w:hAnsi="Arial" w:cs="Times New Roman"/>
      <w:sz w:val="24"/>
      <w:szCs w:val="20"/>
      <w:lang w:val="ru-RU" w:eastAsia="ru-RU"/>
    </w:rPr>
  </w:style>
  <w:style w:type="paragraph" w:styleId="a6">
    <w:name w:val="header"/>
    <w:basedOn w:val="a"/>
    <w:link w:val="a7"/>
    <w:uiPriority w:val="99"/>
    <w:unhideWhenUsed/>
    <w:rsid w:val="00CA72F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A72F1"/>
    <w:rPr>
      <w:sz w:val="22"/>
      <w:szCs w:val="22"/>
      <w:lang w:eastAsia="en-US"/>
    </w:rPr>
  </w:style>
  <w:style w:type="paragraph" w:styleId="a8">
    <w:name w:val="footer"/>
    <w:basedOn w:val="a"/>
    <w:link w:val="a9"/>
    <w:uiPriority w:val="99"/>
    <w:semiHidden/>
    <w:unhideWhenUsed/>
    <w:rsid w:val="00CA72F1"/>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CA72F1"/>
    <w:rPr>
      <w:sz w:val="22"/>
      <w:szCs w:val="22"/>
      <w:lang w:eastAsia="en-US"/>
    </w:rPr>
  </w:style>
  <w:style w:type="paragraph" w:styleId="aa">
    <w:name w:val="Balloon Text"/>
    <w:basedOn w:val="a"/>
    <w:link w:val="ab"/>
    <w:uiPriority w:val="99"/>
    <w:semiHidden/>
    <w:unhideWhenUsed/>
    <w:rsid w:val="000017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17DD"/>
    <w:rPr>
      <w:rFonts w:ascii="Tahoma" w:hAnsi="Tahoma" w:cs="Tahoma"/>
      <w:sz w:val="16"/>
      <w:szCs w:val="16"/>
      <w:lang w:eastAsia="en-US"/>
    </w:rPr>
  </w:style>
  <w:style w:type="paragraph" w:customStyle="1" w:styleId="CharCharCharChar">
    <w:name w:val="Char Знак Знак Char Знак Знак Char Знак Знак Char Знак Знак Знак"/>
    <w:basedOn w:val="a"/>
    <w:rsid w:val="00DA038B"/>
    <w:pPr>
      <w:spacing w:after="0" w:line="240" w:lineRule="auto"/>
    </w:pPr>
    <w:rPr>
      <w:rFonts w:ascii="Verdana" w:eastAsia="Times New Roman" w:hAnsi="Verdana"/>
      <w:sz w:val="20"/>
      <w:szCs w:val="20"/>
      <w:lang w:val="en-US"/>
    </w:rPr>
  </w:style>
  <w:style w:type="paragraph" w:customStyle="1" w:styleId="ac">
    <w:name w:val="структ"/>
    <w:basedOn w:val="a"/>
    <w:link w:val="ad"/>
    <w:qFormat/>
    <w:rsid w:val="004E3EFC"/>
    <w:pPr>
      <w:widowControl w:val="0"/>
      <w:spacing w:after="0" w:line="240" w:lineRule="auto"/>
      <w:contextualSpacing/>
      <w:jc w:val="both"/>
    </w:pPr>
    <w:rPr>
      <w:rFonts w:ascii="Times New Roman" w:hAnsi="Times New Roman"/>
      <w:bCs/>
      <w:iCs/>
      <w:sz w:val="28"/>
      <w:szCs w:val="28"/>
    </w:rPr>
  </w:style>
  <w:style w:type="paragraph" w:styleId="ae">
    <w:name w:val="No Spacing"/>
    <w:uiPriority w:val="1"/>
    <w:qFormat/>
    <w:rsid w:val="00FA39B7"/>
    <w:rPr>
      <w:sz w:val="22"/>
      <w:szCs w:val="22"/>
      <w:lang w:eastAsia="en-US"/>
    </w:rPr>
  </w:style>
  <w:style w:type="character" w:customStyle="1" w:styleId="ad">
    <w:name w:val="структ Знак"/>
    <w:basedOn w:val="a0"/>
    <w:link w:val="ac"/>
    <w:rsid w:val="004E3EFC"/>
    <w:rPr>
      <w:rFonts w:ascii="Times New Roman" w:hAnsi="Times New Roman"/>
      <w:bCs/>
      <w:iCs/>
      <w:sz w:val="28"/>
      <w:szCs w:val="28"/>
      <w:lang w:eastAsia="en-US"/>
    </w:rPr>
  </w:style>
  <w:style w:type="paragraph" w:customStyle="1" w:styleId="CharCharCharChar1">
    <w:name w:val="Char Знак Знак Char Знак Знак Char Знак Знак Char Знак Знак Знак1"/>
    <w:basedOn w:val="a"/>
    <w:rsid w:val="00EE6030"/>
    <w:pPr>
      <w:spacing w:after="0" w:line="240" w:lineRule="auto"/>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Iniiaiie oaeno Ciae Ciae Ciae,Основной текст Знак1,Основной текст Знак Знак Знак Знак Знак Знак Знак Знак Знак,Основной текст Знак Знак Знак Знак Знак Знак Знак Знак Знак Знак"/>
    <w:basedOn w:val="a"/>
    <w:link w:val="2"/>
    <w:rsid w:val="000A6B30"/>
    <w:pPr>
      <w:widowControl w:val="0"/>
      <w:spacing w:after="120" w:line="240" w:lineRule="auto"/>
    </w:pPr>
    <w:rPr>
      <w:rFonts w:ascii="Arial" w:eastAsia="Times New Roman" w:hAnsi="Arial"/>
      <w:sz w:val="24"/>
      <w:szCs w:val="20"/>
      <w:lang w:val="ru-RU" w:eastAsia="ru-RU"/>
    </w:rPr>
  </w:style>
  <w:style w:type="character" w:customStyle="1" w:styleId="a5">
    <w:name w:val="Основной текст Знак"/>
    <w:basedOn w:val="a0"/>
    <w:uiPriority w:val="99"/>
    <w:semiHidden/>
    <w:rsid w:val="000A6B30"/>
  </w:style>
  <w:style w:type="character" w:customStyle="1" w:styleId="2">
    <w:name w:val="Основной текст Знак2"/>
    <w:aliases w:val="Основной текст Знак Знак Знак Знак,Iniiaiie oaeno Ciae Ciae Ciae Знак,Основной текст Знак1 Знак,Основной текст Знак Знак Знак Знак Знак Знак Знак Знак Знак Знак1,Основной текст Знак Знак Знак Знак Знак Знак Знак Знак Знак Знак Знак"/>
    <w:link w:val="a4"/>
    <w:rsid w:val="000A6B30"/>
    <w:rPr>
      <w:rFonts w:ascii="Arial" w:eastAsia="Times New Roman" w:hAnsi="Arial" w:cs="Times New Roman"/>
      <w:sz w:val="24"/>
      <w:szCs w:val="20"/>
      <w:lang w:val="ru-RU" w:eastAsia="ru-RU"/>
    </w:rPr>
  </w:style>
  <w:style w:type="paragraph" w:styleId="a6">
    <w:name w:val="header"/>
    <w:basedOn w:val="a"/>
    <w:link w:val="a7"/>
    <w:uiPriority w:val="99"/>
    <w:unhideWhenUsed/>
    <w:rsid w:val="00CA72F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A72F1"/>
    <w:rPr>
      <w:sz w:val="22"/>
      <w:szCs w:val="22"/>
      <w:lang w:eastAsia="en-US"/>
    </w:rPr>
  </w:style>
  <w:style w:type="paragraph" w:styleId="a8">
    <w:name w:val="footer"/>
    <w:basedOn w:val="a"/>
    <w:link w:val="a9"/>
    <w:uiPriority w:val="99"/>
    <w:semiHidden/>
    <w:unhideWhenUsed/>
    <w:rsid w:val="00CA72F1"/>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CA72F1"/>
    <w:rPr>
      <w:sz w:val="22"/>
      <w:szCs w:val="22"/>
      <w:lang w:eastAsia="en-US"/>
    </w:rPr>
  </w:style>
  <w:style w:type="paragraph" w:styleId="aa">
    <w:name w:val="Balloon Text"/>
    <w:basedOn w:val="a"/>
    <w:link w:val="ab"/>
    <w:uiPriority w:val="99"/>
    <w:semiHidden/>
    <w:unhideWhenUsed/>
    <w:rsid w:val="000017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17DD"/>
    <w:rPr>
      <w:rFonts w:ascii="Tahoma" w:hAnsi="Tahoma" w:cs="Tahoma"/>
      <w:sz w:val="16"/>
      <w:szCs w:val="16"/>
      <w:lang w:eastAsia="en-US"/>
    </w:rPr>
  </w:style>
  <w:style w:type="paragraph" w:customStyle="1" w:styleId="CharCharCharChar">
    <w:name w:val="Char Знак Знак Char Знак Знак Char Знак Знак Char Знак Знак Знак"/>
    <w:basedOn w:val="a"/>
    <w:rsid w:val="00DA038B"/>
    <w:pPr>
      <w:spacing w:after="0" w:line="240" w:lineRule="auto"/>
    </w:pPr>
    <w:rPr>
      <w:rFonts w:ascii="Verdana" w:eastAsia="Times New Roman" w:hAnsi="Verdana"/>
      <w:sz w:val="20"/>
      <w:szCs w:val="20"/>
      <w:lang w:val="en-US"/>
    </w:rPr>
  </w:style>
  <w:style w:type="paragraph" w:customStyle="1" w:styleId="ac">
    <w:name w:val="структ"/>
    <w:basedOn w:val="a"/>
    <w:link w:val="ad"/>
    <w:qFormat/>
    <w:rsid w:val="004E3EFC"/>
    <w:pPr>
      <w:widowControl w:val="0"/>
      <w:spacing w:after="0" w:line="240" w:lineRule="auto"/>
      <w:contextualSpacing/>
      <w:jc w:val="both"/>
    </w:pPr>
    <w:rPr>
      <w:rFonts w:ascii="Times New Roman" w:hAnsi="Times New Roman"/>
      <w:bCs/>
      <w:iCs/>
      <w:sz w:val="28"/>
      <w:szCs w:val="28"/>
    </w:rPr>
  </w:style>
  <w:style w:type="paragraph" w:styleId="ae">
    <w:name w:val="No Spacing"/>
    <w:uiPriority w:val="1"/>
    <w:qFormat/>
    <w:rsid w:val="00FA39B7"/>
    <w:rPr>
      <w:sz w:val="22"/>
      <w:szCs w:val="22"/>
      <w:lang w:eastAsia="en-US"/>
    </w:rPr>
  </w:style>
  <w:style w:type="character" w:customStyle="1" w:styleId="ad">
    <w:name w:val="структ Знак"/>
    <w:basedOn w:val="a0"/>
    <w:link w:val="ac"/>
    <w:rsid w:val="004E3EFC"/>
    <w:rPr>
      <w:rFonts w:ascii="Times New Roman" w:hAnsi="Times New Roman"/>
      <w:bCs/>
      <w:iCs/>
      <w:sz w:val="28"/>
      <w:szCs w:val="28"/>
      <w:lang w:eastAsia="en-US"/>
    </w:rPr>
  </w:style>
  <w:style w:type="paragraph" w:customStyle="1" w:styleId="CharCharCharChar1">
    <w:name w:val="Char Знак Знак Char Знак Знак Char Знак Знак Char Знак Знак Знак1"/>
    <w:basedOn w:val="a"/>
    <w:rsid w:val="00EE6030"/>
    <w:pPr>
      <w:spacing w:after="0" w:line="240" w:lineRule="auto"/>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1809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0F67-B7BA-473E-84AC-85DCE77F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6170</Words>
  <Characters>3518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КОСТЯНТИН ВАЛЕРІЙОВИЧ</dc:creator>
  <cp:lastModifiedBy>yana.balaba</cp:lastModifiedBy>
  <cp:revision>2</cp:revision>
  <cp:lastPrinted>2024-03-22T09:38:00Z</cp:lastPrinted>
  <dcterms:created xsi:type="dcterms:W3CDTF">2024-11-08T13:29:00Z</dcterms:created>
  <dcterms:modified xsi:type="dcterms:W3CDTF">2024-11-08T13:29:00Z</dcterms:modified>
</cp:coreProperties>
</file>