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6.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10.png" ContentType="image/png"/>
  <Override PartName="/word/media/image5.png" ContentType="image/png"/>
  <Override PartName="/word/media/image11.png" ContentType="image/png"/>
  <Override PartName="/word/media/image6.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media/image14.png" ContentType="image/png"/>
  <Override PartName="/word/styles.xml" ContentType="application/vnd.openxmlformats-officedocument.wordprocessingml.styl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_rels/chart5.xml.rels" ContentType="application/vnd.openxmlformats-package.relationships+xml"/>
  <Override PartName="/word/charts/_rels/chart12.xml.rels" ContentType="application/vnd.openxmlformats-package.relationships+xml"/>
  <Override PartName="/word/charts/_rels/chart6.xml.rels" ContentType="application/vnd.openxmlformats-package.relationships+xml"/>
  <Override PartName="/word/charts/_rels/chart8.xml.rels" ContentType="application/vnd.openxmlformats-package.relationships+xml"/>
  <Override PartName="/word/charts/_rels/chart9.xml.rels" ContentType="application/vnd.openxmlformats-package.relationships+xml"/>
  <Override PartName="/word/charts/_rels/chart10.xml.rels" ContentType="application/vnd.openxmlformats-package.relationships+xml"/>
  <Override PartName="/word/charts/_rels/chart11.xml.rels" ContentType="application/vnd.openxmlformats-package.relationship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embeddings/Microsoft_Excel_Worksheet7.xlsx" ContentType="application/vnd.openxmlformats-officedocument.spreadsheetml.sheet"/>
  <Override PartName="/word/embeddings/Microsoft_Excel_Worksheet1.xlsx" ContentType="application/vnd.openxmlformats-officedocument.spreadsheetml.sheet"/>
  <Override PartName="/word/embeddings/Microsoft_Excel_Worksheet3.xlsx" ContentType="application/vnd.openxmlformats-officedocument.spreadsheetml.sheet"/>
  <Override PartName="/word/embeddings/Microsoft_Excel_Worksheet2.xlsx" ContentType="application/vnd.openxmlformats-officedocument.spreadsheetml.shee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lang w:val="uk-UA"/>
        </w:rPr>
      </w:pPr>
      <w:r>
        <w:rPr>
          <w:lang w:val="uk-UA"/>
        </w:rPr>
        <w:drawing>
          <wp:anchor behindDoc="0" distT="0" distB="0" distL="114300" distR="114300" simplePos="0" locked="0" layoutInCell="0" allowOverlap="1" relativeHeight="14">
            <wp:simplePos x="0" y="0"/>
            <wp:positionH relativeFrom="page">
              <wp:posOffset>0</wp:posOffset>
            </wp:positionH>
            <wp:positionV relativeFrom="page">
              <wp:posOffset>0</wp:posOffset>
            </wp:positionV>
            <wp:extent cx="10690860" cy="807720"/>
            <wp:effectExtent l="0" t="0" r="0" b="0"/>
            <wp:wrapSquare wrapText="bothSides"/>
            <wp:docPr id="1"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
                    <pic:cNvPicPr>
                      <a:picLocks noChangeAspect="1" noChangeArrowheads="1"/>
                    </pic:cNvPicPr>
                  </pic:nvPicPr>
                  <pic:blipFill>
                    <a:blip r:embed="rId2"/>
                    <a:stretch>
                      <a:fillRect/>
                    </a:stretch>
                  </pic:blipFill>
                  <pic:spPr bwMode="auto">
                    <a:xfrm>
                      <a:off x="0" y="0"/>
                      <a:ext cx="10690860" cy="807720"/>
                    </a:xfrm>
                    <a:prstGeom prst="rect">
                      <a:avLst/>
                    </a:prstGeom>
                  </pic:spPr>
                </pic:pic>
              </a:graphicData>
            </a:graphic>
          </wp:anchor>
        </w:drawing>
        <mc:AlternateContent>
          <mc:Choice Requires="wps">
            <w:drawing>
              <wp:anchor behindDoc="0" distT="0" distB="0" distL="114300" distR="114300" simplePos="0" locked="0" layoutInCell="1" allowOverlap="1" relativeHeight="21">
                <wp:simplePos x="0" y="0"/>
                <wp:positionH relativeFrom="column">
                  <wp:posOffset>635</wp:posOffset>
                </wp:positionH>
                <wp:positionV relativeFrom="paragraph">
                  <wp:posOffset>635</wp:posOffset>
                </wp:positionV>
                <wp:extent cx="635000" cy="635000"/>
                <wp:effectExtent l="635" t="635" r="1270" b="1270"/>
                <wp:wrapNone/>
                <wp:docPr id="2" name="DeepLBoxSPIDType"/>
                <a:graphic xmlns:a="http://schemas.openxmlformats.org/drawingml/2006/main">
                  <a:graphicData uri="http://schemas.microsoft.com/office/word/2010/wordprocessingShape">
                    <wps:wsp>
                      <wps:cNvSpPr/>
                      <wps:spPr>
                        <a:xfrm>
                          <a:off x="0" y="0"/>
                          <a:ext cx="635040" cy="635040"/>
                        </a:xfrm>
                        <a:prstGeom prst="rect">
                          <a:avLst/>
                        </a:prstGeom>
                        <a:solidFill>
                          <a:srgbClr val="ffffff"/>
                        </a:solidFill>
                        <a:ln w="0">
                          <a:solidFill>
                            <a:srgbClr val="000000"/>
                          </a:solidFill>
                        </a:ln>
                      </wps:spPr>
                      <wps:style>
                        <a:lnRef idx="0"/>
                        <a:fillRef idx="0"/>
                        <a:effectRef idx="0"/>
                        <a:fontRef idx="minor"/>
                      </wps:style>
                      <wps:bodyPr/>
                    </wps:wsp>
                  </a:graphicData>
                </a:graphic>
              </wp:anchor>
            </w:drawing>
          </mc:Choice>
          <mc:Fallback>
            <w:pict>
              <v:shapetype id="_x0000_t202" coordsize="21600,21600" o:spt="202" path="m,l,21600l21600,21600l21600,xe">
                <v:stroke joinstyle="miter"/>
                <v:path gradientshapeok="t" o:connecttype="rect"/>
              </v:shapetype>
              <v:shape id="shape_0" ID="DeepLBoxSPIDType" fillcolor="white" stroked="t" o:allowincell="f" style="position:absolute;margin-left:0.05pt;margin-top:0pt;width:49.95pt;height:49.95pt;mso-wrap-style:none;v-text-anchor:middle" type="_x0000_t202">
                <v:fill o:detectmouseclick="t" type="solid" color2="black"/>
                <v:stroke color="black" joinstyle="miter" endcap="flat"/>
                <w10:wrap type="none"/>
              </v:shape>
            </w:pict>
          </mc:Fallback>
        </mc:AlternateContent>
      </w:r>
      <w:bookmarkStart w:id="0" w:name="_GoBack"/>
      <w:bookmarkStart w:id="1" w:name="_Hlk185264338"/>
      <w:bookmarkStart w:id="2" w:name="_GoBack"/>
      <w:bookmarkStart w:id="3" w:name="_Hlk185264338"/>
      <w:bookmarkEnd w:id="2"/>
      <w:bookmarkEnd w:id="3"/>
    </w:p>
    <w:p>
      <w:pPr>
        <w:pStyle w:val="Normal"/>
        <w:rPr/>
      </w:pPr>
      <w:r>
        <mc:AlternateContent>
          <mc:Choice Requires="wps">
            <w:drawing>
              <wp:anchor behindDoc="0" distT="0" distB="0" distL="114300" distR="113665" simplePos="0" locked="0" layoutInCell="0" allowOverlap="1" relativeHeight="18" wp14:anchorId="2EC1C026">
                <wp:simplePos x="0" y="0"/>
                <wp:positionH relativeFrom="page">
                  <wp:align>center</wp:align>
                </wp:positionH>
                <wp:positionV relativeFrom="page">
                  <wp:posOffset>7040880</wp:posOffset>
                </wp:positionV>
                <wp:extent cx="7440295" cy="169545"/>
                <wp:effectExtent l="0" t="0" r="0" b="0"/>
                <wp:wrapSquare wrapText="bothSides"/>
                <wp:docPr id="3" name="Text Box 53"/>
                <a:graphic xmlns:a="http://schemas.openxmlformats.org/drawingml/2006/main">
                  <a:graphicData uri="http://schemas.microsoft.com/office/word/2010/wordprocessingShape">
                    <wps:wsp>
                      <wps:cNvSpPr/>
                      <wps:spPr>
                        <a:xfrm>
                          <a:off x="0" y="0"/>
                          <a:ext cx="7440120" cy="169560"/>
                        </a:xfrm>
                        <a:prstGeom prst="rect">
                          <a:avLst/>
                        </a:prstGeom>
                        <a:noFill/>
                        <a:ln w="6350">
                          <a:noFill/>
                        </a:ln>
                      </wps:spPr>
                      <wps:style>
                        <a:lnRef idx="0">
                          <a:schemeClr val="accent1"/>
                        </a:lnRef>
                        <a:fillRef idx="0">
                          <a:schemeClr val="accent1"/>
                        </a:fillRef>
                        <a:effectRef idx="0">
                          <a:schemeClr val="accent1"/>
                        </a:effectRef>
                        <a:fontRef idx="minor"/>
                      </wps:style>
                      <wps:txbx>
                        <w:txbxContent>
                          <w:sdt>
                            <w:sdtPr>
                              <w:docPartObj>
                                <w:docPartGallery w:val="Cover Pages"/>
                                <w:docPartUnique w:val="true"/>
                              </w:docPartObj>
                              <w:id w:val="-1727909515"/>
                            </w:sdtPr>
                            <w:sdtContent>
                              <w:p>
                                <w:pPr>
                                  <w:pStyle w:val="NoSpacing"/>
                                  <w:jc w:val="right"/>
                                  <w:rPr>
                                    <w:color w:themeColor="text1" w:themeTint="a6" w:val="595959"/>
                                    <w:sz w:val="20"/>
                                    <w:szCs w:val="20"/>
                                  </w:rPr>
                                </w:pPr>
                                <w:r>
                                  <w:rPr>
                                    <w:color w:val="000000"/>
                                  </w:rPr>
                                </w:r>
                              </w:p>
                            </w:sdtContent>
                          </w:sdt>
                        </w:txbxContent>
                      </wps:txbx>
                      <wps:bodyPr lIns="1600200" rIns="685800" tIns="0" bIns="0" anchor="t">
                        <a:prstTxWarp prst="textNoShape"/>
                        <a:spAutoFit/>
                      </wps:bodyPr>
                    </wps:wsp>
                  </a:graphicData>
                </a:graphic>
                <wp14:sizeRelH relativeFrom="page">
                  <wp14:pctWidth>94000</wp14:pctWidth>
                </wp14:sizeRelH>
                <wp14:sizeRelV relativeFrom="page">
                  <wp14:pctHeight>10000</wp14:pctHeight>
                </wp14:sizeRelV>
              </wp:anchor>
            </w:drawing>
          </mc:Choice>
          <mc:Fallback>
            <w:pict>
              <v:rect id="shape_0" ID="Text Box 53" path="m0,0l-2147483645,0l-2147483645,-2147483646l0,-2147483646xe" stroked="f" o:allowincell="f" style="position:absolute;margin-left:13.05pt;margin-top:554.4pt;width:585.8pt;height:13.3pt;mso-wrap-style:none;v-text-anchor:middle;mso-position-horizontal:center;mso-position-horizontal-relative:page;mso-position-vertical-relative:page" wp14:anchorId="2EC1C026">
                <v:fill o:detectmouseclick="t" on="false"/>
                <v:stroke color="#3465a4" weight="6480" joinstyle="round" endcap="flat"/>
                <v:textbox>
                  <w:txbxContent>
                    <w:sdt>
                      <w:sdtPr>
                        <w:docPartObj>
                          <w:docPartGallery w:val="Cover Pages"/>
                          <w:docPartUnique w:val="true"/>
                        </w:docPartObj>
                        <w:id w:val="-1727909515"/>
                      </w:sdtPr>
                      <w:sdtContent>
                        <w:p>
                          <w:pPr>
                            <w:pStyle w:val="NoSpacing"/>
                            <w:jc w:val="right"/>
                            <w:rPr>
                              <w:color w:themeColor="text1" w:themeTint="a6" w:val="595959"/>
                              <w:sz w:val="20"/>
                              <w:szCs w:val="20"/>
                            </w:rPr>
                          </w:pPr>
                          <w:r>
                            <w:rPr>
                              <w:color w:val="000000"/>
                            </w:rPr>
                          </w:r>
                        </w:p>
                      </w:sdtContent>
                    </w:sdt>
                  </w:txbxContent>
                </v:textbox>
                <w10:wrap type="square"/>
              </v:rect>
            </w:pict>
          </mc:Fallback>
        </mc:AlternateContent>
        <mc:AlternateContent>
          <mc:Choice Requires="wpg">
            <w:drawing>
              <wp:anchor behindDoc="0" distT="0" distB="1905" distL="0" distR="1270" simplePos="0" locked="0" layoutInCell="0" allowOverlap="1" relativeHeight="20" wp14:anchorId="59610645">
                <wp:simplePos x="0" y="0"/>
                <wp:positionH relativeFrom="page">
                  <wp:align>center</wp:align>
                </wp:positionH>
                <wp:positionV relativeFrom="page">
                  <wp:posOffset>231140</wp:posOffset>
                </wp:positionV>
                <wp:extent cx="7315200" cy="1215390"/>
                <wp:effectExtent l="0" t="0" r="1270" b="1905"/>
                <wp:wrapNone/>
                <wp:docPr id="4" name="Group 51"/>
                <a:graphic xmlns:a="http://schemas.openxmlformats.org/drawingml/2006/main">
                  <a:graphicData uri="http://schemas.microsoft.com/office/word/2010/wordprocessingGroup">
                    <wpg:wgp>
                      <wpg:cNvGrpSpPr/>
                      <wpg:grpSpPr>
                        <a:xfrm>
                          <a:off x="0" y="0"/>
                          <a:ext cx="7315200" cy="1215360"/>
                          <a:chOff x="0" y="0"/>
                          <a:chExt cx="7315200" cy="1215360"/>
                        </a:xfrm>
                      </wpg:grpSpPr>
                      <wps:wsp>
                        <wps:cNvPr id="5" name="Rectangle 51"/>
                        <wps:cNvSpPr/>
                        <wps:spPr>
                          <a:xfrm>
                            <a:off x="0" y="0"/>
                            <a:ext cx="7315200" cy="1129680"/>
                          </a:xfrm>
                          <a:custGeom>
                            <a:avLst/>
                            <a:gdLst>
                              <a:gd name="textAreaLeft" fmla="*/ 0 w 4147200"/>
                              <a:gd name="textAreaRight" fmla="*/ 4147560 w 4147200"/>
                              <a:gd name="textAreaTop" fmla="*/ 0 h 640440"/>
                              <a:gd name="textAreaBottom" fmla="*/ 640800 h 640440"/>
                            </a:gdLst>
                            <a:ahLst/>
                            <a:rect l="textAreaLeft" t="textAreaTop" r="textAreaRight" b="textAreaBottom"/>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a:noFill/>
                          </a:ln>
                        </wps:spPr>
                        <wps:style>
                          <a:lnRef idx="2">
                            <a:schemeClr val="accent1">
                              <a:shade val="50000"/>
                            </a:schemeClr>
                          </a:lnRef>
                          <a:fillRef idx="1">
                            <a:schemeClr val="accent1"/>
                          </a:fillRef>
                          <a:effectRef idx="0">
                            <a:schemeClr val="accent1"/>
                          </a:effectRef>
                          <a:fontRef idx="minor"/>
                        </wps:style>
                        <wps:bodyPr/>
                      </wps:wsp>
                      <wps:wsp>
                        <wps:cNvPr id="6" name="Rectangle 151"/>
                        <wps:cNvSpPr/>
                        <wps:spPr>
                          <a:xfrm>
                            <a:off x="0" y="0"/>
                            <a:ext cx="7315200" cy="1215360"/>
                          </a:xfrm>
                          <a:prstGeom prst="rect">
                            <a:avLst/>
                          </a:prstGeom>
                          <a:blipFill rotWithShape="0">
                            <a:blip r:embed="rId3"/>
                            <a:stretch>
                              <a:fillRect/>
                            </a:stretch>
                          </a:blipFill>
                          <a:ln>
                            <a:noFill/>
                          </a:ln>
                        </wps:spPr>
                        <wps:style>
                          <a:lnRef idx="2">
                            <a:schemeClr val="accent1">
                              <a:shade val="50000"/>
                            </a:schemeClr>
                          </a:lnRef>
                          <a:fillRef idx="1">
                            <a:schemeClr val="accent1"/>
                          </a:fillRef>
                          <a:effectRef idx="0">
                            <a:schemeClr val="accent1"/>
                          </a:effectRef>
                          <a:fontRef idx="minor"/>
                        </wps:style>
                        <wps:bodyPr/>
                      </wps:wsp>
                    </wpg:wgp>
                  </a:graphicData>
                </a:graphic>
                <wp14:sizeRelH relativeFrom="page">
                  <wp14:pctWidth>94000</wp14:pctWidth>
                </wp14:sizeRelH>
                <wp14:sizeRelV relativeFrom="page">
                  <wp14:pctHeight>12000</wp14:pctHeight>
                </wp14:sizeRelV>
              </wp:anchor>
            </w:drawing>
          </mc:Choice>
          <mc:Fallback>
            <w:pict>
              <v:group id="shape_0" alt="Group 51" style="position:absolute;margin-left:18pt;margin-top:18.2pt;width:576pt;height:95.7pt" coordorigin="360,364" coordsize="11520,1914">
                <v:rect id="shape_0" ID="Rectangle 151" path="m0,0l-2147483645,0l-2147483645,-2147483646l0,-2147483646xe" stroked="f" o:allowincell="f" style="position:absolute;left:360;top:364;width:11519;height:1913;mso-wrap-style:none;v-text-anchor:middle;mso-position-horizontal:center;mso-position-horizontal-relative:page;mso-position-vertical-relative:page">
                  <v:fill r:id="rId4" o:detectmouseclick="t" type="frame" color2="black"/>
                  <v:stroke color="#3465a4" weight="12600" joinstyle="miter" endcap="flat"/>
                  <w10:wrap type="none"/>
                </v:rect>
              </v:group>
            </w:pict>
          </mc:Fallback>
        </mc:AlternateContent>
      </w:r>
      <w:r>
        <w:rPr/>
        <w:t>d</w:t>
      </w:r>
    </w:p>
    <w:p>
      <w:pPr>
        <w:pStyle w:val="Normal"/>
        <w:suppressAutoHyphens w:val="false"/>
        <w:rPr>
          <w:rFonts w:cs="Calibri" w:cstheme="minorHAnsi"/>
          <w:b/>
          <w:bCs/>
          <w:color w:themeColor="accent5" w:themeShade="bf" w:val="2E74B5"/>
          <w:sz w:val="56"/>
          <w:szCs w:val="56"/>
          <w:lang w:val="uk-UA"/>
        </w:rPr>
      </w:pPr>
      <w:r>
        <w:rPr>
          <w:rFonts w:cs="Calibri" w:cstheme="minorHAnsi"/>
          <w:b/>
          <w:bCs/>
          <w:color w:themeColor="accent5" w:themeShade="bf" w:val="2E74B5"/>
          <w:sz w:val="56"/>
          <w:szCs w:val="56"/>
          <w:lang w:val="uk-UA"/>
        </w:rPr>
        <mc:AlternateContent>
          <mc:Choice Requires="wps">
            <w:drawing>
              <wp:anchor behindDoc="0" distT="0" distB="6350" distL="113665" distR="114300" simplePos="0" locked="0" layoutInCell="0" allowOverlap="1" relativeHeight="16" wp14:anchorId="31C89199">
                <wp:simplePos x="0" y="0"/>
                <wp:positionH relativeFrom="page">
                  <wp:posOffset>123825</wp:posOffset>
                </wp:positionH>
                <wp:positionV relativeFrom="page">
                  <wp:posOffset>3019425</wp:posOffset>
                </wp:positionV>
                <wp:extent cx="7418705" cy="3653790"/>
                <wp:effectExtent l="0" t="0" r="0" b="6350"/>
                <wp:wrapSquare wrapText="bothSides"/>
                <wp:docPr id="7" name="Text Box 54"/>
                <a:graphic xmlns:a="http://schemas.openxmlformats.org/drawingml/2006/main">
                  <a:graphicData uri="http://schemas.microsoft.com/office/word/2010/wordprocessingShape">
                    <wps:wsp>
                      <wps:cNvSpPr/>
                      <wps:spPr>
                        <a:xfrm>
                          <a:off x="0" y="0"/>
                          <a:ext cx="7418880" cy="365364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Style27"/>
                              <w:spacing w:lineRule="auto" w:line="240" w:before="0" w:after="0"/>
                              <w:ind w:left="-1260"/>
                              <w:jc w:val="both"/>
                              <w:rPr>
                                <w:rFonts w:cs="Calibri" w:cstheme="minorHAnsi"/>
                                <w:b/>
                                <w:bCs/>
                                <w:color w:themeColor="accent5" w:themeShade="bf" w:val="2E74B5"/>
                                <w:sz w:val="52"/>
                                <w:szCs w:val="52"/>
                                <w:lang w:val="uk-UA"/>
                              </w:rPr>
                            </w:pPr>
                            <w:r>
                              <w:rPr>
                                <w:rFonts w:cs="Calibri" w:cstheme="minorHAnsi"/>
                                <w:b/>
                                <w:bCs/>
                                <w:color w:themeColor="accent5" w:themeShade="bf" w:val="2E74B5"/>
                                <w:sz w:val="52"/>
                                <w:szCs w:val="52"/>
                                <w:lang w:val="uk-UA"/>
                              </w:rPr>
                              <w:t>Україна: Дослідження витрат на</w:t>
                            </w:r>
                            <w:r>
                              <w:rPr>
                                <w:color w:val="000000"/>
                                <w:lang w:val="ru-RU"/>
                              </w:rPr>
                              <w:t xml:space="preserve"> </w:t>
                            </w:r>
                            <w:r>
                              <w:rPr>
                                <w:rFonts w:cs="Calibri" w:cstheme="minorHAnsi"/>
                                <w:b/>
                                <w:bCs/>
                                <w:color w:themeColor="accent5" w:themeShade="bf" w:val="2E74B5"/>
                                <w:sz w:val="52"/>
                                <w:szCs w:val="52"/>
                                <w:lang w:val="uk-UA"/>
                              </w:rPr>
                              <w:t>дотримання податкового законодавства (податковий комплаєнс) у 2024 році</w:t>
                            </w:r>
                          </w:p>
                          <w:p>
                            <w:pPr>
                              <w:pStyle w:val="Style27"/>
                              <w:suppressAutoHyphens w:val="false"/>
                              <w:jc w:val="both"/>
                              <w:rPr>
                                <w:b/>
                                <w:bCs/>
                                <w:lang w:val="uk-UA"/>
                              </w:rPr>
                            </w:pPr>
                            <w:r>
                              <w:rPr>
                                <w:b/>
                                <w:bCs/>
                                <w:color w:val="000000"/>
                                <w:lang w:val="uk-UA"/>
                              </w:rPr>
                            </w:r>
                          </w:p>
                          <w:p>
                            <w:pPr>
                              <w:pStyle w:val="Style27"/>
                              <w:suppressAutoHyphens w:val="false"/>
                              <w:ind w:hanging="1260"/>
                              <w:jc w:val="both"/>
                              <w:rPr>
                                <w:b/>
                                <w:bCs/>
                                <w:sz w:val="40"/>
                                <w:szCs w:val="40"/>
                                <w:lang w:val="uk-UA"/>
                              </w:rPr>
                            </w:pPr>
                            <w:r>
                              <w:rPr>
                                <w:b/>
                                <w:bCs/>
                                <w:color w:val="000000"/>
                                <w:sz w:val="40"/>
                                <w:szCs w:val="40"/>
                                <w:lang w:val="uk-UA"/>
                              </w:rPr>
                              <w:t>Звіт</w:t>
                            </w:r>
                            <w:r>
                              <w:rPr>
                                <w:b/>
                                <w:bCs/>
                                <w:color w:val="000000"/>
                                <w:sz w:val="40"/>
                                <w:szCs w:val="40"/>
                              </w:rPr>
                              <w:t xml:space="preserve"> </w:t>
                            </w:r>
                            <w:r>
                              <w:rPr>
                                <w:b/>
                                <w:bCs/>
                                <w:color w:val="000000"/>
                                <w:sz w:val="40"/>
                                <w:szCs w:val="40"/>
                                <w:lang w:val="uk-UA"/>
                              </w:rPr>
                              <w:t>про результати дослідження</w:t>
                            </w:r>
                          </w:p>
                          <w:p>
                            <w:pPr>
                              <w:pStyle w:val="Style27"/>
                              <w:spacing w:before="0" w:after="160"/>
                              <w:jc w:val="both"/>
                              <w:rPr>
                                <w:smallCaps/>
                                <w:color w:themeColor="text1" w:themeTint="bf" w:val="404040"/>
                                <w:sz w:val="36"/>
                                <w:szCs w:val="36"/>
                                <w:lang w:val="uk-UA"/>
                              </w:rPr>
                            </w:pPr>
                            <w:r>
                              <w:rPr>
                                <w:color w:val="000000"/>
                              </w:rPr>
                            </w:r>
                          </w:p>
                        </w:txbxContent>
                      </wps:txbx>
                      <wps:bodyPr lIns="1600200" rIns="685800" tIns="0" bIns="0" anchor="b">
                        <a:prstTxWarp prst="textNoShape"/>
                        <a:noAutofit/>
                      </wps:bodyPr>
                    </wps:wsp>
                  </a:graphicData>
                </a:graphic>
                <wp14:sizeRelV relativeFrom="page">
                  <wp14:pctHeight>36000</wp14:pctHeight>
                </wp14:sizeRelV>
              </wp:anchor>
            </w:drawing>
          </mc:Choice>
          <mc:Fallback>
            <w:pict>
              <v:rect id="shape_0" ID="Text Box 54" path="m0,0l-2147483645,0l-2147483645,-2147483646l0,-2147483646xe" stroked="f" o:allowincell="f" style="position:absolute;margin-left:9.75pt;margin-top:237.75pt;width:584.1pt;height:287.65pt;mso-wrap-style:square;v-text-anchor:bottom;mso-position-horizontal-relative:page;mso-position-vertical-relative:page" wp14:anchorId="31C89199">
                <v:fill o:detectmouseclick="t" on="false"/>
                <v:stroke color="#3465a4" weight="6480" joinstyle="round" endcap="flat"/>
                <v:textbox>
                  <w:txbxContent>
                    <w:p>
                      <w:pPr>
                        <w:pStyle w:val="Style27"/>
                        <w:spacing w:lineRule="auto" w:line="240" w:before="0" w:after="0"/>
                        <w:ind w:left="-1260"/>
                        <w:jc w:val="both"/>
                        <w:rPr>
                          <w:rFonts w:cs="Calibri" w:cstheme="minorHAnsi"/>
                          <w:b/>
                          <w:bCs/>
                          <w:color w:themeColor="accent5" w:themeShade="bf" w:val="2E74B5"/>
                          <w:sz w:val="52"/>
                          <w:szCs w:val="52"/>
                          <w:lang w:val="uk-UA"/>
                        </w:rPr>
                      </w:pPr>
                      <w:r>
                        <w:rPr>
                          <w:rFonts w:cs="Calibri" w:cstheme="minorHAnsi"/>
                          <w:b/>
                          <w:bCs/>
                          <w:color w:themeColor="accent5" w:themeShade="bf" w:val="2E74B5"/>
                          <w:sz w:val="52"/>
                          <w:szCs w:val="52"/>
                          <w:lang w:val="uk-UA"/>
                        </w:rPr>
                        <w:t>Україна: Дослідження витрат на</w:t>
                      </w:r>
                      <w:r>
                        <w:rPr>
                          <w:color w:val="000000"/>
                          <w:lang w:val="ru-RU"/>
                        </w:rPr>
                        <w:t xml:space="preserve"> </w:t>
                      </w:r>
                      <w:r>
                        <w:rPr>
                          <w:rFonts w:cs="Calibri" w:cstheme="minorHAnsi"/>
                          <w:b/>
                          <w:bCs/>
                          <w:color w:themeColor="accent5" w:themeShade="bf" w:val="2E74B5"/>
                          <w:sz w:val="52"/>
                          <w:szCs w:val="52"/>
                          <w:lang w:val="uk-UA"/>
                        </w:rPr>
                        <w:t>дотримання податкового законодавства (податковий комплаєнс) у 2024 році</w:t>
                      </w:r>
                    </w:p>
                    <w:p>
                      <w:pPr>
                        <w:pStyle w:val="Style27"/>
                        <w:suppressAutoHyphens w:val="false"/>
                        <w:jc w:val="both"/>
                        <w:rPr>
                          <w:b/>
                          <w:bCs/>
                          <w:lang w:val="uk-UA"/>
                        </w:rPr>
                      </w:pPr>
                      <w:r>
                        <w:rPr>
                          <w:b/>
                          <w:bCs/>
                          <w:color w:val="000000"/>
                          <w:lang w:val="uk-UA"/>
                        </w:rPr>
                      </w:r>
                    </w:p>
                    <w:p>
                      <w:pPr>
                        <w:pStyle w:val="Style27"/>
                        <w:suppressAutoHyphens w:val="false"/>
                        <w:ind w:hanging="1260"/>
                        <w:jc w:val="both"/>
                        <w:rPr>
                          <w:b/>
                          <w:bCs/>
                          <w:sz w:val="40"/>
                          <w:szCs w:val="40"/>
                          <w:lang w:val="uk-UA"/>
                        </w:rPr>
                      </w:pPr>
                      <w:r>
                        <w:rPr>
                          <w:b/>
                          <w:bCs/>
                          <w:color w:val="000000"/>
                          <w:sz w:val="40"/>
                          <w:szCs w:val="40"/>
                          <w:lang w:val="uk-UA"/>
                        </w:rPr>
                        <w:t>Звіт</w:t>
                      </w:r>
                      <w:r>
                        <w:rPr>
                          <w:b/>
                          <w:bCs/>
                          <w:color w:val="000000"/>
                          <w:sz w:val="40"/>
                          <w:szCs w:val="40"/>
                        </w:rPr>
                        <w:t xml:space="preserve"> </w:t>
                      </w:r>
                      <w:r>
                        <w:rPr>
                          <w:b/>
                          <w:bCs/>
                          <w:color w:val="000000"/>
                          <w:sz w:val="40"/>
                          <w:szCs w:val="40"/>
                          <w:lang w:val="uk-UA"/>
                        </w:rPr>
                        <w:t>про результати дослідження</w:t>
                      </w:r>
                    </w:p>
                    <w:p>
                      <w:pPr>
                        <w:pStyle w:val="Style27"/>
                        <w:spacing w:before="0" w:after="160"/>
                        <w:jc w:val="both"/>
                        <w:rPr>
                          <w:smallCaps/>
                          <w:color w:themeColor="text1" w:themeTint="bf" w:val="404040"/>
                          <w:sz w:val="36"/>
                          <w:szCs w:val="36"/>
                          <w:lang w:val="uk-UA"/>
                        </w:rPr>
                      </w:pPr>
                      <w:r>
                        <w:rPr>
                          <w:color w:val="000000"/>
                        </w:rPr>
                      </w:r>
                    </w:p>
                  </w:txbxContent>
                </v:textbox>
                <w10:wrap type="square"/>
              </v:rect>
            </w:pict>
          </mc:Fallback>
        </mc:AlternateContent>
      </w:r>
    </w:p>
    <w:sdt>
      <w:sdtPr>
        <w:docPartObj>
          <w:docPartGallery w:val="Table of Contents"/>
          <w:docPartUnique w:val="true"/>
        </w:docPartObj>
      </w:sdtPr>
      <w:sdtContent>
        <w:p>
          <w:pPr>
            <w:pStyle w:val="TOCHeading"/>
            <w:spacing w:before="0" w:after="0"/>
            <w:rPr>
              <w:lang w:val="uk-UA"/>
            </w:rPr>
          </w:pPr>
          <w:r>
            <w:br w:type="page"/>
          </w:r>
          <w:r>
            <w:rPr>
              <w:lang w:val="uk-UA"/>
            </w:rPr>
            <w:t>Зміст</w:t>
          </w:r>
        </w:p>
        <w:p>
          <w:pPr>
            <w:pStyle w:val="TOC2"/>
            <w:tabs>
              <w:tab w:val="clear" w:pos="720"/>
              <w:tab w:val="right" w:pos="9350" w:leader="dot"/>
            </w:tabs>
            <w:rPr>
              <w:rFonts w:eastAsia="" w:eastAsiaTheme="minorEastAsia"/>
              <w:kern w:val="2"/>
              <w:lang w:val="en-US"/>
              <w14:ligatures w14:val="standardContextual"/>
            </w:rPr>
          </w:pPr>
          <w:r>
            <w:fldChar w:fldCharType="begin"/>
          </w:r>
          <w:r>
            <w:rPr>
              <w:webHidden/>
              <w:rStyle w:val="Style20"/>
              <w:lang w:val="uk-UA"/>
            </w:rPr>
            <w:instrText xml:space="preserve"> TOC \z \o "1-3" \u \h</w:instrText>
          </w:r>
          <w:r>
            <w:rPr>
              <w:webHidden/>
              <w:rStyle w:val="Style20"/>
              <w:lang w:val="uk-UA"/>
            </w:rPr>
            <w:fldChar w:fldCharType="separate"/>
          </w:r>
          <w:hyperlink w:anchor="_Toc185882871">
            <w:r>
              <w:rPr>
                <w:webHidden/>
                <w:rStyle w:val="Style20"/>
                <w:lang w:val="uk-UA"/>
              </w:rPr>
              <w:t>Стислий огляд</w:t>
            </w:r>
            <w:r>
              <w:rPr>
                <w:webHidden/>
              </w:rPr>
              <w:fldChar w:fldCharType="begin"/>
            </w:r>
            <w:r>
              <w:rPr>
                <w:webHidden/>
              </w:rPr>
              <w:instrText xml:space="preserve">PAGEREF _Toc185882871 \h</w:instrText>
            </w:r>
            <w:r>
              <w:rPr>
                <w:webHidden/>
              </w:rPr>
              <w:fldChar w:fldCharType="separate"/>
            </w:r>
            <w:r>
              <w:rPr>
                <w:rStyle w:val="Style20"/>
                <w:vanish w:val="false"/>
              </w:rPr>
              <w:tab/>
              <w:t>2</w:t>
            </w:r>
            <w:r>
              <w:rPr>
                <w:webHidden/>
              </w:rPr>
              <w:fldChar w:fldCharType="end"/>
            </w:r>
          </w:hyperlink>
        </w:p>
        <w:p>
          <w:pPr>
            <w:pStyle w:val="TOC2"/>
            <w:tabs>
              <w:tab w:val="clear" w:pos="720"/>
              <w:tab w:val="right" w:pos="9350" w:leader="dot"/>
            </w:tabs>
            <w:rPr>
              <w:rFonts w:eastAsia="" w:eastAsiaTheme="minorEastAsia"/>
              <w:kern w:val="2"/>
              <w:lang w:val="en-US"/>
              <w14:ligatures w14:val="standardContextual"/>
            </w:rPr>
          </w:pPr>
          <w:hyperlink w:anchor="_Toc185882872">
            <w:r>
              <w:rPr>
                <w:webHidden/>
                <w:rStyle w:val="Style20"/>
                <w:lang w:val="uk-UA"/>
              </w:rPr>
              <w:t>Вступ</w:t>
            </w:r>
            <w:r>
              <w:rPr>
                <w:webHidden/>
              </w:rPr>
              <w:fldChar w:fldCharType="begin"/>
            </w:r>
            <w:r>
              <w:rPr>
                <w:webHidden/>
              </w:rPr>
              <w:instrText xml:space="preserve">PAGEREF _Toc185882872 \h</w:instrText>
            </w:r>
            <w:r>
              <w:rPr>
                <w:webHidden/>
              </w:rPr>
              <w:fldChar w:fldCharType="separate"/>
            </w:r>
            <w:r>
              <w:rPr>
                <w:rStyle w:val="Style20"/>
                <w:vanish w:val="false"/>
              </w:rPr>
              <w:tab/>
              <w:t>6</w:t>
            </w:r>
            <w:r>
              <w:rPr>
                <w:webHidden/>
              </w:rPr>
              <w:fldChar w:fldCharType="end"/>
            </w:r>
          </w:hyperlink>
        </w:p>
        <w:p>
          <w:pPr>
            <w:pStyle w:val="TOC2"/>
            <w:tabs>
              <w:tab w:val="clear" w:pos="720"/>
              <w:tab w:val="right" w:pos="9350" w:leader="dot"/>
            </w:tabs>
            <w:rPr>
              <w:rFonts w:eastAsia="" w:eastAsiaTheme="minorEastAsia"/>
              <w:kern w:val="2"/>
              <w:lang w:val="en-US"/>
              <w14:ligatures w14:val="standardContextual"/>
            </w:rPr>
          </w:pPr>
          <w:hyperlink w:anchor="_Toc185882873">
            <w:r>
              <w:rPr>
                <w:webHidden/>
                <w:rStyle w:val="Style20"/>
                <w:lang w:val="uk-UA"/>
              </w:rPr>
              <w:t>Результати опитування</w:t>
            </w:r>
            <w:r>
              <w:rPr>
                <w:webHidden/>
              </w:rPr>
              <w:fldChar w:fldCharType="begin"/>
            </w:r>
            <w:r>
              <w:rPr>
                <w:webHidden/>
              </w:rPr>
              <w:instrText xml:space="preserve">PAGEREF _Toc185882873 \h</w:instrText>
            </w:r>
            <w:r>
              <w:rPr>
                <w:webHidden/>
              </w:rPr>
              <w:fldChar w:fldCharType="separate"/>
            </w:r>
            <w:r>
              <w:rPr>
                <w:rStyle w:val="Style20"/>
                <w:vanish w:val="false"/>
              </w:rPr>
              <w:tab/>
              <w:t>7</w:t>
            </w:r>
            <w:r>
              <w:rPr>
                <w:webHidden/>
              </w:rPr>
              <w:fldChar w:fldCharType="end"/>
            </w:r>
          </w:hyperlink>
        </w:p>
        <w:p>
          <w:pPr>
            <w:pStyle w:val="TOC3"/>
            <w:tabs>
              <w:tab w:val="clear" w:pos="720"/>
              <w:tab w:val="right" w:pos="9350" w:leader="dot"/>
            </w:tabs>
            <w:rPr>
              <w:rFonts w:eastAsia="" w:eastAsiaTheme="minorEastAsia"/>
              <w:kern w:val="2"/>
              <w:lang w:val="en-US"/>
              <w14:ligatures w14:val="standardContextual"/>
            </w:rPr>
          </w:pPr>
          <w:hyperlink w:anchor="_Toc185882874">
            <w:r>
              <w:rPr>
                <w:webHidden/>
                <w:rStyle w:val="Style20"/>
                <w:lang w:val="uk-UA"/>
              </w:rPr>
              <w:t>Респонденти</w:t>
            </w:r>
            <w:r>
              <w:rPr>
                <w:webHidden/>
              </w:rPr>
              <w:fldChar w:fldCharType="begin"/>
            </w:r>
            <w:r>
              <w:rPr>
                <w:webHidden/>
              </w:rPr>
              <w:instrText xml:space="preserve">PAGEREF _Toc185882874 \h</w:instrText>
            </w:r>
            <w:r>
              <w:rPr>
                <w:webHidden/>
              </w:rPr>
              <w:fldChar w:fldCharType="separate"/>
            </w:r>
            <w:r>
              <w:rPr>
                <w:rStyle w:val="Style20"/>
                <w:vanish w:val="false"/>
              </w:rPr>
              <w:tab/>
              <w:t>7</w:t>
            </w:r>
            <w:r>
              <w:rPr>
                <w:webHidden/>
              </w:rPr>
              <w:fldChar w:fldCharType="end"/>
            </w:r>
          </w:hyperlink>
        </w:p>
        <w:p>
          <w:pPr>
            <w:pStyle w:val="TOC3"/>
            <w:tabs>
              <w:tab w:val="clear" w:pos="720"/>
              <w:tab w:val="right" w:pos="9350" w:leader="dot"/>
            </w:tabs>
            <w:rPr>
              <w:rFonts w:eastAsia="" w:eastAsiaTheme="minorEastAsia"/>
              <w:kern w:val="2"/>
              <w:lang w:val="en-US"/>
              <w14:ligatures w14:val="standardContextual"/>
            </w:rPr>
          </w:pPr>
          <w:hyperlink w:anchor="_Toc185882875">
            <w:r>
              <w:rPr>
                <w:webHidden/>
                <w:rStyle w:val="Style20"/>
                <w:rFonts w:eastAsia="Calibri"/>
                <w:lang w:val="uk-UA"/>
              </w:rPr>
              <w:t>Вплив російського вторгнення</w:t>
            </w:r>
            <w:r>
              <w:rPr>
                <w:webHidden/>
              </w:rPr>
              <w:fldChar w:fldCharType="begin"/>
            </w:r>
            <w:r>
              <w:rPr>
                <w:webHidden/>
              </w:rPr>
              <w:instrText xml:space="preserve">PAGEREF _Toc185882875 \h</w:instrText>
            </w:r>
            <w:r>
              <w:rPr>
                <w:webHidden/>
              </w:rPr>
              <w:fldChar w:fldCharType="separate"/>
            </w:r>
            <w:r>
              <w:rPr>
                <w:rStyle w:val="Style20"/>
                <w:vanish w:val="false"/>
              </w:rPr>
              <w:tab/>
              <w:t>10</w:t>
            </w:r>
            <w:r>
              <w:rPr>
                <w:webHidden/>
              </w:rPr>
              <w:fldChar w:fldCharType="end"/>
            </w:r>
          </w:hyperlink>
        </w:p>
        <w:p>
          <w:pPr>
            <w:pStyle w:val="TOC3"/>
            <w:tabs>
              <w:tab w:val="clear" w:pos="720"/>
              <w:tab w:val="right" w:pos="9350" w:leader="dot"/>
            </w:tabs>
            <w:rPr>
              <w:rFonts w:eastAsia="" w:eastAsiaTheme="minorEastAsia"/>
              <w:kern w:val="2"/>
              <w:lang w:val="en-US"/>
              <w14:ligatures w14:val="standardContextual"/>
            </w:rPr>
          </w:pPr>
          <w:hyperlink w:anchor="_Toc185882876">
            <w:r>
              <w:rPr>
                <w:webHidden/>
                <w:rStyle w:val="Style20"/>
                <w:lang w:val="uk-UA"/>
              </w:rPr>
              <w:t>Податковий облік</w:t>
            </w:r>
            <w:r>
              <w:rPr>
                <w:webHidden/>
              </w:rPr>
              <w:fldChar w:fldCharType="begin"/>
            </w:r>
            <w:r>
              <w:rPr>
                <w:webHidden/>
              </w:rPr>
              <w:instrText xml:space="preserve">PAGEREF _Toc185882876 \h</w:instrText>
            </w:r>
            <w:r>
              <w:rPr>
                <w:webHidden/>
              </w:rPr>
              <w:fldChar w:fldCharType="separate"/>
            </w:r>
            <w:r>
              <w:rPr>
                <w:rStyle w:val="Style20"/>
                <w:vanish w:val="false"/>
              </w:rPr>
              <w:tab/>
              <w:t>10</w:t>
            </w:r>
            <w:r>
              <w:rPr>
                <w:webHidden/>
              </w:rPr>
              <w:fldChar w:fldCharType="end"/>
            </w:r>
          </w:hyperlink>
        </w:p>
        <w:p>
          <w:pPr>
            <w:pStyle w:val="TOC3"/>
            <w:tabs>
              <w:tab w:val="clear" w:pos="720"/>
              <w:tab w:val="right" w:pos="9350" w:leader="dot"/>
            </w:tabs>
            <w:rPr>
              <w:rFonts w:eastAsia="" w:eastAsiaTheme="minorEastAsia"/>
              <w:kern w:val="2"/>
              <w:lang w:val="en-US"/>
              <w14:ligatures w14:val="standardContextual"/>
            </w:rPr>
          </w:pPr>
          <w:hyperlink w:anchor="_Toc185882877">
            <w:r>
              <w:rPr>
                <w:webHidden/>
                <w:rStyle w:val="Style20"/>
                <w:lang w:val="uk-UA"/>
              </w:rPr>
              <w:t>Неофіційні платежі</w:t>
            </w:r>
            <w:r>
              <w:rPr>
                <w:webHidden/>
              </w:rPr>
              <w:fldChar w:fldCharType="begin"/>
            </w:r>
            <w:r>
              <w:rPr>
                <w:webHidden/>
              </w:rPr>
              <w:instrText xml:space="preserve">PAGEREF _Toc185882877 \h</w:instrText>
            </w:r>
            <w:r>
              <w:rPr>
                <w:webHidden/>
              </w:rPr>
              <w:fldChar w:fldCharType="separate"/>
            </w:r>
            <w:r>
              <w:rPr>
                <w:rStyle w:val="Style20"/>
                <w:vanish w:val="false"/>
              </w:rPr>
              <w:tab/>
              <w:t>18</w:t>
            </w:r>
            <w:r>
              <w:rPr>
                <w:webHidden/>
              </w:rPr>
              <w:fldChar w:fldCharType="end"/>
            </w:r>
          </w:hyperlink>
        </w:p>
        <w:p>
          <w:pPr>
            <w:pStyle w:val="TOC3"/>
            <w:tabs>
              <w:tab w:val="clear" w:pos="720"/>
              <w:tab w:val="right" w:pos="9350" w:leader="dot"/>
            </w:tabs>
            <w:rPr>
              <w:rFonts w:eastAsia="" w:eastAsiaTheme="minorEastAsia"/>
              <w:kern w:val="2"/>
              <w:lang w:val="en-US"/>
              <w14:ligatures w14:val="standardContextual"/>
            </w:rPr>
          </w:pPr>
          <w:hyperlink w:anchor="_Toc185882878">
            <w:r>
              <w:rPr>
                <w:webHidden/>
                <w:rStyle w:val="Style20"/>
                <w:lang w:val="uk-UA"/>
              </w:rPr>
              <w:t>Податкові перевірки</w:t>
            </w:r>
            <w:r>
              <w:rPr>
                <w:webHidden/>
              </w:rPr>
              <w:fldChar w:fldCharType="begin"/>
            </w:r>
            <w:r>
              <w:rPr>
                <w:webHidden/>
              </w:rPr>
              <w:instrText xml:space="preserve">PAGEREF _Toc185882878 \h</w:instrText>
            </w:r>
            <w:r>
              <w:rPr>
                <w:webHidden/>
              </w:rPr>
              <w:fldChar w:fldCharType="separate"/>
            </w:r>
            <w:r>
              <w:rPr>
                <w:rStyle w:val="Style20"/>
                <w:vanish w:val="false"/>
              </w:rPr>
              <w:tab/>
              <w:t>19</w:t>
            </w:r>
            <w:r>
              <w:rPr>
                <w:webHidden/>
              </w:rPr>
              <w:fldChar w:fldCharType="end"/>
            </w:r>
          </w:hyperlink>
        </w:p>
        <w:p>
          <w:pPr>
            <w:pStyle w:val="TOC3"/>
            <w:tabs>
              <w:tab w:val="clear" w:pos="720"/>
              <w:tab w:val="right" w:pos="9350" w:leader="dot"/>
            </w:tabs>
            <w:rPr>
              <w:rFonts w:eastAsia="" w:eastAsiaTheme="minorEastAsia"/>
              <w:kern w:val="2"/>
              <w:lang w:val="en-US"/>
              <w14:ligatures w14:val="standardContextual"/>
            </w:rPr>
          </w:pPr>
          <w:hyperlink w:anchor="_Toc185882879">
            <w:r>
              <w:rPr>
                <w:webHidden/>
                <w:rStyle w:val="Style20"/>
                <w:lang w:val="uk-UA"/>
              </w:rPr>
              <w:t>Штрафні санкції та о</w:t>
            </w:r>
            <w:r>
              <w:rPr>
                <w:rStyle w:val="Style20"/>
              </w:rPr>
              <w:t>скарження</w:t>
            </w:r>
            <w:r>
              <w:rPr>
                <w:webHidden/>
              </w:rPr>
              <w:fldChar w:fldCharType="begin"/>
            </w:r>
            <w:r>
              <w:rPr>
                <w:webHidden/>
              </w:rPr>
              <w:instrText xml:space="preserve">PAGEREF _Toc185882879 \h</w:instrText>
            </w:r>
            <w:r>
              <w:rPr>
                <w:webHidden/>
              </w:rPr>
              <w:fldChar w:fldCharType="separate"/>
            </w:r>
            <w:r>
              <w:rPr>
                <w:rStyle w:val="Style20"/>
                <w:vanish w:val="false"/>
              </w:rPr>
              <w:tab/>
              <w:t>22</w:t>
            </w:r>
            <w:r>
              <w:rPr>
                <w:webHidden/>
              </w:rPr>
              <w:fldChar w:fldCharType="end"/>
            </w:r>
          </w:hyperlink>
        </w:p>
        <w:p>
          <w:pPr>
            <w:pStyle w:val="TOC3"/>
            <w:tabs>
              <w:tab w:val="clear" w:pos="720"/>
              <w:tab w:val="right" w:pos="9350" w:leader="dot"/>
            </w:tabs>
            <w:rPr>
              <w:rFonts w:eastAsia="" w:eastAsiaTheme="minorEastAsia"/>
              <w:kern w:val="2"/>
              <w:lang w:val="en-US"/>
              <w14:ligatures w14:val="standardContextual"/>
            </w:rPr>
          </w:pPr>
          <w:hyperlink w:anchor="_Toc185882880">
            <w:r>
              <w:rPr>
                <w:webHidden/>
                <w:rStyle w:val="Style20"/>
                <w:lang w:val="uk-UA"/>
              </w:rPr>
              <w:t>Якість послуг, сприйняття податкових органів та інші аспекти бізнес-середовища</w:t>
            </w:r>
            <w:r>
              <w:rPr>
                <w:webHidden/>
              </w:rPr>
              <w:fldChar w:fldCharType="begin"/>
            </w:r>
            <w:r>
              <w:rPr>
                <w:webHidden/>
              </w:rPr>
              <w:instrText xml:space="preserve">PAGEREF _Toc185882880 \h</w:instrText>
            </w:r>
            <w:r>
              <w:rPr>
                <w:webHidden/>
              </w:rPr>
              <w:fldChar w:fldCharType="separate"/>
            </w:r>
            <w:r>
              <w:rPr>
                <w:rStyle w:val="Style20"/>
                <w:vanish w:val="false"/>
              </w:rPr>
              <w:tab/>
              <w:t>24</w:t>
            </w:r>
            <w:r>
              <w:rPr>
                <w:webHidden/>
              </w:rPr>
              <w:fldChar w:fldCharType="end"/>
            </w:r>
          </w:hyperlink>
        </w:p>
        <w:p>
          <w:pPr>
            <w:pStyle w:val="TOC3"/>
            <w:tabs>
              <w:tab w:val="clear" w:pos="720"/>
              <w:tab w:val="right" w:pos="9350" w:leader="dot"/>
            </w:tabs>
            <w:rPr>
              <w:rFonts w:eastAsia="" w:eastAsiaTheme="minorEastAsia"/>
              <w:kern w:val="2"/>
              <w:lang w:val="en-US"/>
              <w14:ligatures w14:val="standardContextual"/>
            </w:rPr>
          </w:pPr>
          <w:hyperlink w:anchor="_Toc185882881">
            <w:r>
              <w:rPr>
                <w:webHidden/>
                <w:rStyle w:val="Style20"/>
                <w:lang w:val="ru-RU"/>
              </w:rPr>
              <w:t>Сприйняття загального та спрощеного режимів оподаткування</w:t>
            </w:r>
            <w:r>
              <w:rPr>
                <w:webHidden/>
              </w:rPr>
              <w:fldChar w:fldCharType="begin"/>
            </w:r>
            <w:r>
              <w:rPr>
                <w:webHidden/>
              </w:rPr>
              <w:instrText xml:space="preserve">PAGEREF _Toc185882881 \h</w:instrText>
            </w:r>
            <w:r>
              <w:rPr>
                <w:webHidden/>
              </w:rPr>
              <w:fldChar w:fldCharType="separate"/>
            </w:r>
            <w:r>
              <w:rPr>
                <w:rStyle w:val="Style20"/>
                <w:vanish w:val="false"/>
              </w:rPr>
              <w:tab/>
              <w:t>32</w:t>
            </w:r>
            <w:r>
              <w:rPr>
                <w:webHidden/>
              </w:rPr>
              <w:fldChar w:fldCharType="end"/>
            </w:r>
          </w:hyperlink>
        </w:p>
        <w:p>
          <w:pPr>
            <w:pStyle w:val="TOC3"/>
            <w:tabs>
              <w:tab w:val="clear" w:pos="720"/>
              <w:tab w:val="right" w:pos="9350" w:leader="dot"/>
            </w:tabs>
            <w:rPr>
              <w:rFonts w:eastAsia="" w:eastAsiaTheme="minorEastAsia"/>
              <w:kern w:val="2"/>
              <w:lang w:val="en-US"/>
              <w14:ligatures w14:val="standardContextual"/>
            </w:rPr>
          </w:pPr>
          <w:hyperlink w:anchor="_Toc185882882">
            <w:r>
              <w:rPr>
                <w:webHidden/>
                <w:rStyle w:val="Style20"/>
                <w:lang w:val="uk-UA"/>
              </w:rPr>
              <w:t>Дотримання податкового законодавства</w:t>
            </w:r>
            <w:r>
              <w:rPr>
                <w:webHidden/>
              </w:rPr>
              <w:fldChar w:fldCharType="begin"/>
            </w:r>
            <w:r>
              <w:rPr>
                <w:webHidden/>
              </w:rPr>
              <w:instrText xml:space="preserve">PAGEREF _Toc185882882 \h</w:instrText>
            </w:r>
            <w:r>
              <w:rPr>
                <w:webHidden/>
              </w:rPr>
              <w:fldChar w:fldCharType="separate"/>
            </w:r>
            <w:r>
              <w:rPr>
                <w:rStyle w:val="Style20"/>
                <w:vanish w:val="false"/>
              </w:rPr>
              <w:tab/>
              <w:t>34</w:t>
            </w:r>
            <w:r>
              <w:rPr>
                <w:webHidden/>
              </w:rPr>
              <w:fldChar w:fldCharType="end"/>
            </w:r>
          </w:hyperlink>
        </w:p>
        <w:p>
          <w:pPr>
            <w:pStyle w:val="TOC2"/>
            <w:tabs>
              <w:tab w:val="clear" w:pos="720"/>
              <w:tab w:val="right" w:pos="9350" w:leader="dot"/>
            </w:tabs>
            <w:rPr>
              <w:rFonts w:eastAsia="" w:eastAsiaTheme="minorEastAsia"/>
              <w:kern w:val="2"/>
              <w:lang w:val="en-US"/>
              <w14:ligatures w14:val="standardContextual"/>
            </w:rPr>
          </w:pPr>
          <w:hyperlink w:anchor="_Toc185882883">
            <w:r>
              <w:rPr>
                <w:webHidden/>
                <w:rStyle w:val="Style20"/>
                <w:lang w:val="uk-UA"/>
              </w:rPr>
              <w:t>Висновки</w:t>
            </w:r>
            <w:r>
              <w:rPr>
                <w:webHidden/>
              </w:rPr>
              <w:fldChar w:fldCharType="begin"/>
            </w:r>
            <w:r>
              <w:rPr>
                <w:webHidden/>
              </w:rPr>
              <w:instrText xml:space="preserve">PAGEREF _Toc185882883 \h</w:instrText>
            </w:r>
            <w:r>
              <w:rPr>
                <w:webHidden/>
              </w:rPr>
              <w:fldChar w:fldCharType="separate"/>
            </w:r>
            <w:r>
              <w:rPr>
                <w:rStyle w:val="Style20"/>
                <w:vanish w:val="false"/>
              </w:rPr>
              <w:tab/>
              <w:t>37</w:t>
            </w:r>
            <w:r>
              <w:rPr>
                <w:webHidden/>
              </w:rPr>
              <w:fldChar w:fldCharType="end"/>
            </w:r>
          </w:hyperlink>
        </w:p>
        <w:p>
          <w:pPr>
            <w:pStyle w:val="TOC2"/>
            <w:tabs>
              <w:tab w:val="clear" w:pos="720"/>
              <w:tab w:val="right" w:pos="9350" w:leader="dot"/>
            </w:tabs>
            <w:rPr>
              <w:rFonts w:eastAsia="" w:eastAsiaTheme="minorEastAsia"/>
              <w:kern w:val="2"/>
              <w:lang w:val="en-US"/>
              <w14:ligatures w14:val="standardContextual"/>
            </w:rPr>
          </w:pPr>
          <w:hyperlink w:anchor="_Toc185882884">
            <w:r>
              <w:rPr>
                <w:webHidden/>
                <w:rStyle w:val="Style20"/>
                <w:lang w:val="uk-UA"/>
              </w:rPr>
              <w:t>Додаток 1: Методологія опитування</w:t>
            </w:r>
            <w:r>
              <w:rPr>
                <w:webHidden/>
              </w:rPr>
              <w:fldChar w:fldCharType="begin"/>
            </w:r>
            <w:r>
              <w:rPr>
                <w:webHidden/>
              </w:rPr>
              <w:instrText xml:space="preserve">PAGEREF _Toc185882884 \h</w:instrText>
            </w:r>
            <w:r>
              <w:rPr>
                <w:webHidden/>
              </w:rPr>
              <w:fldChar w:fldCharType="separate"/>
            </w:r>
            <w:r>
              <w:rPr>
                <w:rStyle w:val="Style20"/>
                <w:vanish w:val="false"/>
              </w:rPr>
              <w:tab/>
              <w:t>39</w:t>
            </w:r>
            <w:r>
              <w:rPr>
                <w:webHidden/>
              </w:rPr>
              <w:fldChar w:fldCharType="end"/>
            </w:r>
          </w:hyperlink>
        </w:p>
        <w:p>
          <w:pPr>
            <w:pStyle w:val="Normal"/>
            <w:rPr>
              <w:lang w:val="uk-UA"/>
            </w:rPr>
          </w:pPr>
          <w:r>
            <w:rPr>
              <w:lang w:val="uk-UA"/>
            </w:rPr>
          </w:r>
          <w:r>
            <w:rPr>
              <w:lang w:val="uk-UA"/>
            </w:rPr>
            <w:fldChar w:fldCharType="end"/>
          </w:r>
        </w:p>
      </w:sdtContent>
    </w:sdt>
    <w:p>
      <w:pPr>
        <w:pStyle w:val="Normal"/>
        <w:suppressAutoHyphens w:val="false"/>
        <w:rPr>
          <w:lang w:val="uk-UA"/>
        </w:rPr>
      </w:pPr>
      <w:r>
        <w:rPr>
          <w:lang w:val="uk-UA"/>
        </w:rPr>
      </w:r>
    </w:p>
    <w:p>
      <w:pPr>
        <w:pStyle w:val="Normal"/>
        <w:suppressAutoHyphens w:val="false"/>
        <w:rPr>
          <w:lang w:val="uk-UA"/>
        </w:rPr>
      </w:pPr>
      <w:r>
        <w:rPr>
          <w:lang w:val="uk-UA"/>
        </w:rPr>
      </w:r>
      <w:r>
        <w:br w:type="page"/>
      </w:r>
    </w:p>
    <w:p>
      <w:pPr>
        <w:pStyle w:val="Heading2"/>
        <w:spacing w:before="0" w:after="0"/>
        <w:rPr>
          <w:lang w:val="uk-UA"/>
        </w:rPr>
      </w:pPr>
      <w:bookmarkStart w:id="4" w:name="_Toc185882871"/>
      <w:r>
        <w:rPr>
          <w:lang w:val="uk-UA"/>
        </w:rPr>
        <w:t>Стислий огляд</w:t>
      </w:r>
      <w:bookmarkEnd w:id="4"/>
      <w:r>
        <w:rPr>
          <w:lang w:val="uk-UA"/>
        </w:rPr>
        <w:t xml:space="preserve"> </w:t>
      </w:r>
    </w:p>
    <w:p>
      <w:pPr>
        <w:pStyle w:val="Normal"/>
        <w:rPr>
          <w:lang w:val="uk-UA"/>
        </w:rPr>
      </w:pPr>
      <w:r>
        <w:rPr>
          <w:lang w:val="uk-UA"/>
        </w:rPr>
      </w:r>
    </w:p>
    <w:p>
      <w:pPr>
        <w:pStyle w:val="ListParagraph"/>
        <w:numPr>
          <w:ilvl w:val="0"/>
          <w:numId w:val="2"/>
        </w:numPr>
        <w:jc w:val="both"/>
        <w:rPr>
          <w:rFonts w:cs="Calibri" w:cstheme="minorHAnsi"/>
          <w:lang w:val="uk-UA"/>
        </w:rPr>
      </w:pPr>
      <w:r>
        <w:rPr>
          <w:rFonts w:cs="Calibri" w:cstheme="minorHAnsi"/>
          <w:b/>
          <w:bCs/>
          <w:lang w:val="uk-UA"/>
        </w:rPr>
        <w:t xml:space="preserve">Дослідження витрат платників податків на дотримання податкового законодавства (податковий комплаєнс) в Україні (TCCS) дає уявлення про досвід платників податків під час подання документів і сплати податків та можливість оцінити їхні витрати, пов'язані з дотриманням  адміністративних вимог і процедур Державної податкової служби (ДПС), пов'язаних з податковим обліком, включаючи подання документів і сплату податків, роботу з податковими інспекторами та оскарження рішень ДПС. </w:t>
      </w:r>
      <w:r>
        <w:rPr>
          <w:rFonts w:cs="Calibri" w:cstheme="minorHAnsi"/>
          <w:lang w:val="uk-UA"/>
        </w:rPr>
        <w:t>Методологія дослідження ґрунтувалась на стандартизованій методології дослідження витрат платників податків на дотримання податкового законодавства, розробленій Світовим банком.</w:t>
      </w:r>
      <w:r>
        <w:rPr>
          <w:rStyle w:val="FootnoteReference"/>
          <w:rFonts w:cs="Calibri" w:cstheme="minorHAnsi"/>
          <w:lang w:val="uk-UA"/>
        </w:rPr>
        <w:footnoteReference w:id="2"/>
      </w:r>
      <w:r>
        <w:rPr>
          <w:rFonts w:cs="Calibri" w:cstheme="minorHAnsi"/>
          <w:lang w:val="uk-UA"/>
        </w:rPr>
        <w:t xml:space="preserve"> Результати дослідження забезпечують базовий рівень, згідно якого можна буде оцінювати майбутні зусилля з модернізації ДПС.</w:t>
      </w:r>
    </w:p>
    <w:p>
      <w:pPr>
        <w:pStyle w:val="ListParagraph"/>
        <w:numPr>
          <w:ilvl w:val="0"/>
          <w:numId w:val="2"/>
        </w:numPr>
        <w:jc w:val="both"/>
        <w:rPr>
          <w:rFonts w:cs="Calibri" w:cstheme="minorHAnsi"/>
          <w:lang w:val="uk-UA"/>
        </w:rPr>
      </w:pPr>
      <w:r>
        <w:rPr>
          <w:rFonts w:cs="Calibri" w:cstheme="minorHAnsi"/>
          <w:b/>
          <w:bCs/>
          <w:lang w:val="uk-UA"/>
        </w:rPr>
        <w:t>Дослідження охоплювало всіх активних платників податків, зареєстрованих в ДПС, і проводилося у формі веб-опитування</w:t>
      </w:r>
      <w:r>
        <w:rPr>
          <w:rFonts w:cs="Calibri" w:cstheme="minorHAnsi"/>
          <w:lang w:val="uk-UA"/>
        </w:rPr>
        <w:t>. Відповіді було отримано від 3 169 респондентів.  З них 85,1% склали власники бізнесу, 74,1% - фізичні особи-підприємці, а 25,9% відповідей надали представники юридичних осіб. 60,2 відсотка опитуваних не мають найманих працівників, 37,2 відсотка мають у штаті до 50 осіб, а 2,6 відсотка - понад 50 працівників. 90 відсотків підприємств працюють у сфері послуг, на промисловість та сільське господарство припадає 6,02 та 3,71 відсотка відповідно. Респонденти походять з усіх регіонів України, окрім АР Крим.</w:t>
      </w:r>
    </w:p>
    <w:p>
      <w:pPr>
        <w:pStyle w:val="ListParagraph"/>
        <w:numPr>
          <w:ilvl w:val="0"/>
          <w:numId w:val="2"/>
        </w:numPr>
        <w:jc w:val="both"/>
        <w:rPr>
          <w:rFonts w:cs="Calibri" w:cstheme="minorHAnsi"/>
          <w:lang w:val="uk-UA"/>
        </w:rPr>
      </w:pPr>
      <w:r>
        <w:rPr>
          <w:rFonts w:cs="Calibri" w:cstheme="minorHAnsi"/>
          <w:b/>
          <w:bCs/>
          <w:lang w:val="uk-UA"/>
        </w:rPr>
        <w:t>Українські підприємства витрачали в середньому 74,4 дні на рік на виконання податкових зобов'язань</w:t>
      </w:r>
      <w:r>
        <w:rPr>
          <w:rFonts w:cs="Calibri" w:cstheme="minorHAnsi"/>
          <w:lang w:val="uk-UA"/>
        </w:rPr>
        <w:t xml:space="preserve">. Часові витрати на дотримання податкових зобов'язань залежать від розміру підприємства: підприємства без найманих працівників витрачали близько 26 робочих днів на рік, тоді як підприємства з більш ніж 50 працівниками - 400 днів. </w:t>
      </w:r>
    </w:p>
    <w:p>
      <w:pPr>
        <w:pStyle w:val="ListParagraph"/>
        <w:numPr>
          <w:ilvl w:val="0"/>
          <w:numId w:val="2"/>
        </w:numPr>
        <w:jc w:val="both"/>
        <w:rPr>
          <w:rFonts w:cs="Calibri" w:cstheme="minorHAnsi"/>
          <w:lang w:val="uk-UA"/>
        </w:rPr>
      </w:pPr>
      <w:r>
        <w:rPr>
          <w:rFonts w:cs="Calibri" w:cstheme="minorHAnsi"/>
          <w:b/>
          <w:bCs/>
          <w:lang w:val="uk-UA"/>
        </w:rPr>
        <w:t xml:space="preserve">Респонденти зазначили, що найбільш трудомісткою частиною витрат на дотримання податкового законодавства було діловодство, пов’язане з податковим обліком. </w:t>
      </w:r>
      <w:r>
        <w:rPr>
          <w:rFonts w:cs="Calibri" w:cstheme="minorHAnsi"/>
          <w:lang w:val="uk-UA"/>
        </w:rPr>
        <w:t>На це припадає майже 45% загального витраченого часу середнього підприємства (Рисунок 1).  Великі підприємства, як правило, витрачають більше часу на ведення податкового обліку в порівнянні з малими. Подання податкових документів, незважаючи на наявні електронні сервіси, вимагає значних витрат від підприємств незалежно від їхнього розміру.</w:t>
      </w:r>
    </w:p>
    <w:p>
      <w:pPr>
        <w:pStyle w:val="Normal"/>
        <w:rPr>
          <w:rFonts w:cs="Calibri" w:cstheme="minorHAnsi"/>
          <w:lang w:val="uk-UA"/>
        </w:rPr>
      </w:pPr>
      <w:r>
        <w:rPr>
          <w:rFonts w:cs="Calibri" w:cstheme="minorHAnsi"/>
          <w:lang w:val="uk-UA"/>
        </w:rPr>
      </w:r>
    </w:p>
    <w:p>
      <w:pPr>
        <w:pStyle w:val="Normal"/>
        <w:rPr>
          <w:lang w:val="uk-UA"/>
        </w:rPr>
      </w:pPr>
      <w:r>
        <w:rPr>
          <w:lang w:val="uk-UA"/>
        </w:rPr>
      </w:r>
      <w:r>
        <w:br w:type="page"/>
      </w:r>
    </w:p>
    <w:tbl>
      <w:tblPr>
        <w:tblStyle w:val="a6"/>
        <w:tblW w:w="957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202"/>
        <w:gridCol w:w="5373"/>
      </w:tblGrid>
      <w:tr>
        <w:trPr/>
        <w:tc>
          <w:tcPr>
            <w:tcW w:w="9575" w:type="dxa"/>
            <w:gridSpan w:val="2"/>
            <w:tcBorders>
              <w:top w:val="nil"/>
              <w:left w:val="nil"/>
              <w:bottom w:val="nil"/>
              <w:right w:val="nil"/>
            </w:tcBorders>
          </w:tcPr>
          <w:p>
            <w:pPr>
              <w:pStyle w:val="Normal"/>
              <w:pageBreakBefore/>
              <w:widowControl/>
              <w:spacing w:lineRule="auto" w:line="240" w:before="0" w:after="0"/>
              <w:jc w:val="left"/>
              <w:rPr>
                <w:b/>
                <w:bCs/>
                <w:lang w:val="ru-RU"/>
              </w:rPr>
            </w:pPr>
            <w:r>
              <w:rPr>
                <w:rFonts w:eastAsia="Calibri" w:cs="Arial"/>
                <w:b/>
                <w:bCs/>
                <w:sz w:val="22"/>
                <w:szCs w:val="22"/>
                <w:lang w:val="uk-UA" w:eastAsia="en-US" w:bidi="ar-SA"/>
              </w:rPr>
              <w:t>Рисунок 1. Структура витрат часу на виконання вимог податкового адміністрування</w:t>
            </w:r>
          </w:p>
          <w:p>
            <w:pPr>
              <w:pStyle w:val="Normal"/>
              <w:widowControl/>
              <w:spacing w:lineRule="auto" w:line="240" w:before="0" w:after="0"/>
              <w:jc w:val="left"/>
              <w:rPr>
                <w:b/>
                <w:bCs/>
                <w:lang w:val="ru-RU"/>
              </w:rPr>
            </w:pPr>
            <w:r>
              <w:rPr>
                <w:rFonts w:eastAsia="Calibri" w:cs="Arial"/>
                <w:b/>
                <w:bCs/>
                <w:sz w:val="22"/>
                <w:szCs w:val="22"/>
                <w:lang w:val="ru-RU" w:eastAsia="en-US" w:bidi="ar-SA"/>
              </w:rPr>
            </w:r>
          </w:p>
        </w:tc>
      </w:tr>
      <w:tr>
        <w:trPr/>
        <w:tc>
          <w:tcPr>
            <w:tcW w:w="4202" w:type="dxa"/>
            <w:tcBorders>
              <w:top w:val="nil"/>
              <w:left w:val="nil"/>
              <w:bottom w:val="nil"/>
              <w:right w:val="nil"/>
            </w:tcBorders>
          </w:tcPr>
          <w:p>
            <w:pPr>
              <w:pStyle w:val="Normal"/>
              <w:widowControl/>
              <w:spacing w:lineRule="auto" w:line="240" w:before="0" w:after="0"/>
              <w:jc w:val="left"/>
              <w:rPr>
                <w:lang w:val="uk-UA"/>
              </w:rPr>
            </w:pPr>
            <w:r>
              <w:rPr>
                <w:rFonts w:eastAsia="Calibri" w:cs="Arial"/>
                <w:sz w:val="22"/>
                <w:szCs w:val="22"/>
                <w:lang w:eastAsia="en-US" w:bidi="ar-SA"/>
              </w:rPr>
              <w:drawing>
                <wp:inline distT="0" distB="0" distL="0" distR="0">
                  <wp:extent cx="2516505" cy="2238375"/>
                  <wp:effectExtent l="0" t="0" r="0" b="0"/>
                  <wp:docPr id="8" name="Chart 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c>
        <w:tc>
          <w:tcPr>
            <w:tcW w:w="5373" w:type="dxa"/>
            <w:tcBorders>
              <w:top w:val="nil"/>
              <w:left w:val="nil"/>
              <w:bottom w:val="nil"/>
              <w:right w:val="nil"/>
            </w:tcBorders>
          </w:tcPr>
          <w:p>
            <w:pPr>
              <w:pStyle w:val="Normal"/>
              <w:widowControl/>
              <w:spacing w:lineRule="auto" w:line="240" w:before="0" w:after="0"/>
              <w:jc w:val="left"/>
              <w:rPr>
                <w:lang w:val="uk-UA"/>
              </w:rPr>
            </w:pPr>
            <w:r>
              <w:rPr>
                <w:rFonts w:eastAsia="Calibri" w:cs="Arial"/>
                <w:sz w:val="22"/>
                <w:szCs w:val="22"/>
                <w:lang w:eastAsia="en-US" w:bidi="ar-SA"/>
              </w:rPr>
              <mc:AlternateContent>
                <mc:Choice Requires="wps">
                  <w:drawing>
                    <wp:anchor behindDoc="0" distT="0" distB="0" distL="0" distR="0" simplePos="0" locked="0" layoutInCell="1" allowOverlap="1" relativeHeight="23" wp14:anchorId="3E0ADCD2">
                      <wp:simplePos x="0" y="0"/>
                      <wp:positionH relativeFrom="column">
                        <wp:posOffset>2116455</wp:posOffset>
                      </wp:positionH>
                      <wp:positionV relativeFrom="paragraph">
                        <wp:posOffset>50800</wp:posOffset>
                      </wp:positionV>
                      <wp:extent cx="1714500" cy="2155190"/>
                      <wp:effectExtent l="0" t="0" r="0" b="0"/>
                      <wp:wrapNone/>
                      <wp:docPr id="9" name="Text Box 2"/>
                      <a:graphic xmlns:a="http://schemas.openxmlformats.org/drawingml/2006/main">
                        <a:graphicData uri="http://schemas.microsoft.com/office/word/2010/wordprocessingShape">
                          <wps:wsp>
                            <wps:cNvSpPr/>
                            <wps:spPr>
                              <a:xfrm>
                                <a:off x="0" y="0"/>
                                <a:ext cx="1714680" cy="2155320"/>
                              </a:xfrm>
                              <a:prstGeom prst="rect">
                                <a:avLst/>
                              </a:prstGeom>
                              <a:solidFill>
                                <a:srgbClr val="ffffff"/>
                              </a:solidFill>
                              <a:ln w="9525">
                                <a:noFill/>
                              </a:ln>
                            </wps:spPr>
                            <wps:style>
                              <a:lnRef idx="0"/>
                              <a:fillRef idx="0"/>
                              <a:effectRef idx="0"/>
                              <a:fontRef idx="minor"/>
                            </wps:style>
                            <wps:txbx>
                              <w:txbxContent>
                                <w:p>
                                  <w:pPr>
                                    <w:pStyle w:val="Style27"/>
                                    <w:rPr>
                                      <w:sz w:val="14"/>
                                      <w:szCs w:val="14"/>
                                      <w:lang w:val="uk-UA"/>
                                    </w:rPr>
                                  </w:pPr>
                                  <w:r>
                                    <w:rPr>
                                      <w:sz w:val="14"/>
                                      <w:szCs w:val="14"/>
                                      <w:lang w:val="uk-UA"/>
                                    </w:rPr>
                                    <w:t>Діловодство</w:t>
                                  </w:r>
                                </w:p>
                                <w:p>
                                  <w:pPr>
                                    <w:pStyle w:val="Style27"/>
                                    <w:rPr>
                                      <w:sz w:val="14"/>
                                      <w:szCs w:val="14"/>
                                      <w:lang w:val="uk-UA"/>
                                    </w:rPr>
                                  </w:pPr>
                                  <w:r>
                                    <w:rPr>
                                      <w:sz w:val="14"/>
                                      <w:szCs w:val="14"/>
                                      <w:lang w:val="ru-RU" w:bidi="en-US"/>
                                    </w:rPr>
                                    <w:t>Подання податкових документів</w:t>
                                  </w:r>
                                </w:p>
                                <w:p>
                                  <w:pPr>
                                    <w:pStyle w:val="Style27"/>
                                    <w:rPr>
                                      <w:sz w:val="14"/>
                                      <w:szCs w:val="14"/>
                                      <w:lang w:val="uk-UA"/>
                                    </w:rPr>
                                  </w:pPr>
                                  <w:r>
                                    <w:rPr>
                                      <w:sz w:val="14"/>
                                      <w:szCs w:val="14"/>
                                      <w:lang w:val="uk-UA"/>
                                    </w:rPr>
                                    <w:t>Поїздки до податкової інспекції</w:t>
                                  </w:r>
                                </w:p>
                                <w:p>
                                  <w:pPr>
                                    <w:pStyle w:val="Style27"/>
                                    <w:spacing w:before="240" w:after="160"/>
                                    <w:rPr>
                                      <w:sz w:val="14"/>
                                      <w:szCs w:val="14"/>
                                      <w:lang w:val="uk-UA"/>
                                    </w:rPr>
                                  </w:pPr>
                                  <w:r>
                                    <w:rPr>
                                      <w:sz w:val="14"/>
                                      <w:szCs w:val="14"/>
                                      <w:lang w:val="uk-UA"/>
                                    </w:rPr>
                                    <w:t>Поїздки до банку, щоб</w:t>
                                    <w:br/>
                                    <w:t>сплатити податки</w:t>
                                  </w:r>
                                </w:p>
                                <w:p>
                                  <w:pPr>
                                    <w:pStyle w:val="Style27"/>
                                    <w:rPr>
                                      <w:sz w:val="14"/>
                                      <w:szCs w:val="14"/>
                                      <w:lang w:val="ru-RU"/>
                                    </w:rPr>
                                  </w:pPr>
                                  <w:r>
                                    <w:rPr>
                                      <w:sz w:val="14"/>
                                      <w:szCs w:val="14"/>
                                      <w:lang w:val="uk-UA"/>
                                    </w:rPr>
                                    <w:t>Час, витрачений на електронний банкінг</w:t>
                                  </w:r>
                                </w:p>
                                <w:p>
                                  <w:pPr>
                                    <w:pStyle w:val="Style27"/>
                                    <w:rPr>
                                      <w:sz w:val="14"/>
                                      <w:szCs w:val="14"/>
                                      <w:lang w:val="ru-RU"/>
                                    </w:rPr>
                                  </w:pPr>
                                  <w:r>
                                    <w:rPr>
                                      <w:sz w:val="14"/>
                                      <w:szCs w:val="14"/>
                                      <w:lang w:val="uk-UA"/>
                                    </w:rPr>
                                    <w:t>Інша діяльність, пов'язана з податками</w:t>
                                  </w:r>
                                </w:p>
                                <w:p>
                                  <w:pPr>
                                    <w:pStyle w:val="Style27"/>
                                    <w:rPr>
                                      <w:sz w:val="14"/>
                                      <w:szCs w:val="14"/>
                                      <w:lang w:val="ru-RU"/>
                                    </w:rPr>
                                  </w:pPr>
                                  <w:r>
                                    <w:rPr>
                                      <w:sz w:val="14"/>
                                      <w:szCs w:val="14"/>
                                      <w:lang w:val="uk-UA"/>
                                    </w:rPr>
                                    <w:t>Візити для подання податкової звітності</w:t>
                                  </w:r>
                                </w:p>
                                <w:p>
                                  <w:pPr>
                                    <w:pStyle w:val="Style27"/>
                                    <w:spacing w:before="0" w:after="160"/>
                                    <w:rPr>
                                      <w:sz w:val="14"/>
                                      <w:szCs w:val="14"/>
                                      <w:lang w:val="ru-RU"/>
                                    </w:rPr>
                                  </w:pPr>
                                  <w:r>
                                    <w:rPr>
                                      <w:sz w:val="14"/>
                                      <w:szCs w:val="14"/>
                                      <w:lang w:val="uk-UA"/>
                                    </w:rPr>
                                    <w:t>Податкові перевірки</w:t>
                                  </w:r>
                                </w:p>
                              </w:txbxContent>
                            </wps:txbx>
                            <wps:bodyPr anchor="t">
                              <a:noAutofit/>
                            </wps:bodyPr>
                          </wps:wsp>
                        </a:graphicData>
                      </a:graphic>
                    </wp:anchor>
                  </w:drawing>
                </mc:Choice>
                <mc:Fallback>
                  <w:pict>
                    <v:rect id="shape_0" ID="Text Box 2" path="m0,0l-2147483645,0l-2147483645,-2147483646l0,-2147483646xe" fillcolor="white" stroked="f" o:allowincell="f" style="position:absolute;margin-left:166.65pt;margin-top:4pt;width:134.95pt;height:169.65pt;mso-wrap-style:square;v-text-anchor:top" wp14:anchorId="3E0ADCD2">
                      <v:fill o:detectmouseclick="t" type="solid" color2="black"/>
                      <v:stroke color="#3465a4" weight="9360" joinstyle="miter" endcap="flat"/>
                      <v:textbox>
                        <w:txbxContent>
                          <w:p>
                            <w:pPr>
                              <w:pStyle w:val="Style27"/>
                              <w:rPr>
                                <w:sz w:val="14"/>
                                <w:szCs w:val="14"/>
                                <w:lang w:val="uk-UA"/>
                              </w:rPr>
                            </w:pPr>
                            <w:r>
                              <w:rPr>
                                <w:sz w:val="14"/>
                                <w:szCs w:val="14"/>
                                <w:lang w:val="uk-UA"/>
                              </w:rPr>
                              <w:t>Діловодство</w:t>
                            </w:r>
                          </w:p>
                          <w:p>
                            <w:pPr>
                              <w:pStyle w:val="Style27"/>
                              <w:rPr>
                                <w:sz w:val="14"/>
                                <w:szCs w:val="14"/>
                                <w:lang w:val="uk-UA"/>
                              </w:rPr>
                            </w:pPr>
                            <w:r>
                              <w:rPr>
                                <w:sz w:val="14"/>
                                <w:szCs w:val="14"/>
                                <w:lang w:val="ru-RU" w:bidi="en-US"/>
                              </w:rPr>
                              <w:t>Подання податкових документів</w:t>
                            </w:r>
                          </w:p>
                          <w:p>
                            <w:pPr>
                              <w:pStyle w:val="Style27"/>
                              <w:rPr>
                                <w:sz w:val="14"/>
                                <w:szCs w:val="14"/>
                                <w:lang w:val="uk-UA"/>
                              </w:rPr>
                            </w:pPr>
                            <w:r>
                              <w:rPr>
                                <w:sz w:val="14"/>
                                <w:szCs w:val="14"/>
                                <w:lang w:val="uk-UA"/>
                              </w:rPr>
                              <w:t>Поїздки до податкової інспекції</w:t>
                            </w:r>
                          </w:p>
                          <w:p>
                            <w:pPr>
                              <w:pStyle w:val="Style27"/>
                              <w:spacing w:before="240" w:after="160"/>
                              <w:rPr>
                                <w:sz w:val="14"/>
                                <w:szCs w:val="14"/>
                                <w:lang w:val="uk-UA"/>
                              </w:rPr>
                            </w:pPr>
                            <w:r>
                              <w:rPr>
                                <w:sz w:val="14"/>
                                <w:szCs w:val="14"/>
                                <w:lang w:val="uk-UA"/>
                              </w:rPr>
                              <w:t>Поїздки до банку, щоб</w:t>
                              <w:br/>
                              <w:t>сплатити податки</w:t>
                            </w:r>
                          </w:p>
                          <w:p>
                            <w:pPr>
                              <w:pStyle w:val="Style27"/>
                              <w:rPr>
                                <w:sz w:val="14"/>
                                <w:szCs w:val="14"/>
                                <w:lang w:val="ru-RU"/>
                              </w:rPr>
                            </w:pPr>
                            <w:r>
                              <w:rPr>
                                <w:sz w:val="14"/>
                                <w:szCs w:val="14"/>
                                <w:lang w:val="uk-UA"/>
                              </w:rPr>
                              <w:t>Час, витрачений на електронний банкінг</w:t>
                            </w:r>
                          </w:p>
                          <w:p>
                            <w:pPr>
                              <w:pStyle w:val="Style27"/>
                              <w:rPr>
                                <w:sz w:val="14"/>
                                <w:szCs w:val="14"/>
                                <w:lang w:val="ru-RU"/>
                              </w:rPr>
                            </w:pPr>
                            <w:r>
                              <w:rPr>
                                <w:sz w:val="14"/>
                                <w:szCs w:val="14"/>
                                <w:lang w:val="uk-UA"/>
                              </w:rPr>
                              <w:t>Інша діяльність, пов'язана з податками</w:t>
                            </w:r>
                          </w:p>
                          <w:p>
                            <w:pPr>
                              <w:pStyle w:val="Style27"/>
                              <w:rPr>
                                <w:sz w:val="14"/>
                                <w:szCs w:val="14"/>
                                <w:lang w:val="ru-RU"/>
                              </w:rPr>
                            </w:pPr>
                            <w:r>
                              <w:rPr>
                                <w:sz w:val="14"/>
                                <w:szCs w:val="14"/>
                                <w:lang w:val="uk-UA"/>
                              </w:rPr>
                              <w:t>Візити для подання податкової звітності</w:t>
                            </w:r>
                          </w:p>
                          <w:p>
                            <w:pPr>
                              <w:pStyle w:val="Style27"/>
                              <w:spacing w:before="0" w:after="160"/>
                              <w:rPr>
                                <w:sz w:val="14"/>
                                <w:szCs w:val="14"/>
                                <w:lang w:val="ru-RU"/>
                              </w:rPr>
                            </w:pPr>
                            <w:r>
                              <w:rPr>
                                <w:sz w:val="14"/>
                                <w:szCs w:val="14"/>
                                <w:lang w:val="uk-UA"/>
                              </w:rPr>
                              <w:t>Податкові перевірки</w:t>
                            </w:r>
                          </w:p>
                        </w:txbxContent>
                      </v:textbox>
                      <w10:wrap type="none"/>
                    </v:rect>
                  </w:pict>
                </mc:Fallback>
              </mc:AlternateContent>
              <w:drawing>
                <wp:inline distT="0" distB="0" distL="0" distR="0">
                  <wp:extent cx="3276600" cy="2188210"/>
                  <wp:effectExtent l="0" t="0" r="0" b="0"/>
                  <wp:docPr id="10" name="Об'єкт2"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r>
    </w:tbl>
    <w:p>
      <w:pPr>
        <w:pStyle w:val="Normal"/>
        <w:jc w:val="both"/>
        <w:rPr>
          <w:rFonts w:cs="Calibri" w:cstheme="minorHAnsi"/>
          <w:b/>
          <w:bCs/>
          <w:lang w:val="uk-UA"/>
        </w:rPr>
      </w:pPr>
      <w:r>
        <w:rPr>
          <w:rFonts w:cs="Calibri" w:cstheme="minorHAnsi"/>
          <w:b/>
          <w:bCs/>
          <w:lang w:val="uk-UA"/>
        </w:rPr>
      </w:r>
    </w:p>
    <w:p>
      <w:pPr>
        <w:pStyle w:val="ListParagraph"/>
        <w:numPr>
          <w:ilvl w:val="0"/>
          <w:numId w:val="2"/>
        </w:numPr>
        <w:jc w:val="both"/>
        <w:rPr>
          <w:rFonts w:cs="Calibri" w:cstheme="minorHAnsi"/>
          <w:lang w:val="uk-UA"/>
        </w:rPr>
      </w:pPr>
      <w:r>
        <w:rPr>
          <w:rFonts w:cs="Calibri" w:cstheme="minorHAnsi"/>
          <w:b/>
          <w:bCs/>
          <w:lang w:val="uk-UA"/>
        </w:rPr>
        <w:t>Витрати на дотримання податкового законодавства у грошовому еквіваленті в середньому становлять понад 100 тис. грн. на рік</w:t>
      </w:r>
      <w:r>
        <w:rPr>
          <w:rFonts w:cs="Calibri" w:cstheme="minorHAnsi"/>
          <w:lang w:val="uk-UA"/>
        </w:rPr>
        <w:t>. Для малих підприємств з оборотом менше 1 млн. грн. витрати становили понад 31 тис. грн. або щонайменше 3 відсотки від обороту. Для великого бізнесу витрати склали майже 900 тис. грн., або до 1% від обороту.</w:t>
      </w:r>
    </w:p>
    <w:p>
      <w:pPr>
        <w:pStyle w:val="ListParagraph"/>
        <w:numPr>
          <w:ilvl w:val="0"/>
          <w:numId w:val="2"/>
        </w:numPr>
        <w:jc w:val="both"/>
        <w:rPr>
          <w:rFonts w:cs="Calibri" w:cstheme="minorHAnsi"/>
          <w:lang w:val="uk-UA"/>
        </w:rPr>
      </w:pPr>
      <w:r>
        <w:rPr>
          <w:rFonts w:cs="Calibri" w:cstheme="minorHAnsi"/>
          <w:b/>
          <w:bCs/>
          <w:lang w:val="uk-UA"/>
        </w:rPr>
        <w:t>Респонденти свідчать, що податкові перевірки все частіше зосереджуються на великих платниках податків</w:t>
      </w:r>
      <w:r>
        <w:rPr>
          <w:rFonts w:cs="Calibri" w:cstheme="minorHAnsi"/>
          <w:lang w:val="uk-UA"/>
        </w:rPr>
        <w:t xml:space="preserve">. У той час, як 13,8% підприємств заявили про проходження податкових перевірок, 40,1% компаній, які мають понад 50 працівників, повідомили про податкові перевірки. Середня тривалість податкової перевірки становила лише 6,2 години. </w:t>
      </w:r>
    </w:p>
    <w:p>
      <w:pPr>
        <w:pStyle w:val="ListParagraph"/>
        <w:numPr>
          <w:ilvl w:val="0"/>
          <w:numId w:val="2"/>
        </w:numPr>
        <w:jc w:val="both"/>
        <w:rPr>
          <w:rFonts w:cs="Calibri" w:cstheme="minorHAnsi"/>
          <w:lang w:val="uk-UA"/>
        </w:rPr>
      </w:pPr>
      <w:r>
        <w:rPr>
          <w:rFonts w:cs="Calibri" w:cstheme="minorHAnsi"/>
          <w:b/>
          <w:bCs/>
          <w:lang w:val="uk-UA"/>
        </w:rPr>
        <w:t xml:space="preserve">Відповіді говорять про те, що не завжди виконуються адміністративні процедури податкових перевірок, причому їх дотримання є меншим у випадку малих підприємств. </w:t>
      </w:r>
      <w:r>
        <w:rPr>
          <w:rFonts w:cs="Calibri" w:cstheme="minorHAnsi"/>
          <w:lang w:val="uk-UA"/>
        </w:rPr>
        <w:t>Респонденти повідомили, що податкові інспектори пред'являли офіційний наказ про проведення перевірки лише у 54,6% випадків,</w:t>
      </w:r>
      <w:r>
        <w:rPr>
          <w:rFonts w:cs="Calibri" w:cstheme="minorHAnsi"/>
          <w:b/>
          <w:bCs/>
          <w:lang w:val="uk-UA"/>
        </w:rPr>
        <w:t xml:space="preserve"> </w:t>
      </w:r>
      <w:r>
        <w:rPr>
          <w:rFonts w:cs="Calibri" w:cstheme="minorHAnsi"/>
          <w:lang w:val="uk-UA"/>
        </w:rPr>
        <w:t>причому лише у 33% випадків для підприємств без найманих працівників порівняно з 81% випадків для великих підприємств.</w:t>
      </w:r>
    </w:p>
    <w:p>
      <w:pPr>
        <w:pStyle w:val="ListParagraph"/>
        <w:numPr>
          <w:ilvl w:val="0"/>
          <w:numId w:val="2"/>
        </w:numPr>
        <w:jc w:val="both"/>
        <w:rPr>
          <w:rFonts w:cs="Calibri" w:cstheme="minorHAnsi"/>
          <w:lang w:val="uk-UA"/>
        </w:rPr>
      </w:pPr>
      <w:r>
        <w:rPr>
          <w:rFonts w:cs="Calibri" w:cstheme="minorHAnsi"/>
          <w:b/>
          <w:bCs/>
          <w:lang w:val="uk-UA"/>
        </w:rPr>
        <w:t>Платники податків були задоволені ввічливістю працівників ДПС і дистанційною взаємодією (включаючи електронні сервіси), але зазначили, що працівники ДПС іноді були недоступні для надання допомоги або їхня допомога не була ефективною</w:t>
      </w:r>
      <w:r>
        <w:rPr>
          <w:rFonts w:cs="Calibri" w:cstheme="minorHAnsi"/>
          <w:lang w:val="uk-UA"/>
        </w:rPr>
        <w:t>. Ввічливість персоналу та дистанційна взаємодія з податковими органами отримали позитивну оцінку на рівні 63% та 58,8% відповідно. Майже 36% респондентів оцінили готовність персоналу ДПС допомогти як погану або дуже погану (див. Рисунок 2). Загальна ефективність роботи податкових інспекторів отримала неоднозначні відгуки: 41,8% респондентів оцінили її позитивно, 31% - негативно, а 24,6% не визначилися або відмовилися відповідати.</w:t>
      </w:r>
    </w:p>
    <w:p>
      <w:pPr>
        <w:pStyle w:val="Caption1"/>
        <w:rPr>
          <w:b/>
          <w:bCs/>
          <w:i w:val="false"/>
          <w:i w:val="false"/>
          <w:iCs w:val="false"/>
          <w:color w:val="auto"/>
          <w:sz w:val="36"/>
          <w:szCs w:val="36"/>
          <w:lang w:val="uk-UA"/>
        </w:rPr>
      </w:pPr>
      <w:r>
        <w:drawing>
          <wp:anchor behindDoc="0" distT="0" distB="0" distL="114300" distR="0" simplePos="0" locked="0" layoutInCell="0" allowOverlap="1" relativeHeight="15">
            <wp:simplePos x="0" y="0"/>
            <wp:positionH relativeFrom="margin">
              <wp:posOffset>-88900</wp:posOffset>
            </wp:positionH>
            <wp:positionV relativeFrom="paragraph">
              <wp:posOffset>285750</wp:posOffset>
            </wp:positionV>
            <wp:extent cx="6606540" cy="2679700"/>
            <wp:effectExtent l="0" t="0" r="0" b="0"/>
            <wp:wrapTopAndBottom/>
            <wp:docPr id="11" name="Picture 3"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graph of different colored bars&#10;&#10;Description automatically generated"/>
                    <pic:cNvPicPr>
                      <a:picLocks noChangeAspect="1" noChangeArrowheads="1"/>
                    </pic:cNvPicPr>
                  </pic:nvPicPr>
                  <pic:blipFill>
                    <a:blip r:embed="rId7"/>
                    <a:srcRect l="884" t="0" r="4588" b="0"/>
                    <a:stretch>
                      <a:fillRect/>
                    </a:stretch>
                  </pic:blipFill>
                  <pic:spPr bwMode="auto">
                    <a:xfrm>
                      <a:off x="0" y="0"/>
                      <a:ext cx="6606540" cy="2679700"/>
                    </a:xfrm>
                    <a:prstGeom prst="rect">
                      <a:avLst/>
                    </a:prstGeom>
                  </pic:spPr>
                </pic:pic>
              </a:graphicData>
            </a:graphic>
          </wp:anchor>
        </w:drawing>
        <mc:AlternateContent>
          <mc:Choice Requires="wps">
            <w:drawing>
              <wp:anchor behindDoc="0" distT="0" distB="0" distL="0" distR="2540" simplePos="0" locked="0" layoutInCell="1" allowOverlap="1" relativeHeight="25" wp14:anchorId="0F6A384D">
                <wp:simplePos x="0" y="0"/>
                <wp:positionH relativeFrom="column">
                  <wp:posOffset>136525</wp:posOffset>
                </wp:positionH>
                <wp:positionV relativeFrom="paragraph">
                  <wp:posOffset>332105</wp:posOffset>
                </wp:positionV>
                <wp:extent cx="6169025" cy="189865"/>
                <wp:effectExtent l="635" t="635" r="0" b="0"/>
                <wp:wrapNone/>
                <wp:docPr id="12" name="Text Box 2"/>
                <a:graphic xmlns:a="http://schemas.openxmlformats.org/drawingml/2006/main">
                  <a:graphicData uri="http://schemas.microsoft.com/office/word/2010/wordprocessingShape">
                    <wps:wsp>
                      <wps:cNvSpPr/>
                      <wps:spPr>
                        <a:xfrm>
                          <a:off x="0" y="0"/>
                          <a:ext cx="6168960" cy="189720"/>
                        </a:xfrm>
                        <a:prstGeom prst="rect">
                          <a:avLst/>
                        </a:prstGeom>
                        <a:solidFill>
                          <a:srgbClr val="ffffff"/>
                        </a:solidFill>
                        <a:ln w="9525">
                          <a:noFill/>
                        </a:ln>
                      </wps:spPr>
                      <wps:style>
                        <a:lnRef idx="0"/>
                        <a:fillRef idx="0"/>
                        <a:effectRef idx="0"/>
                        <a:fontRef idx="minor"/>
                      </wps:style>
                      <wps:txbx>
                        <w:txbxContent>
                          <w:p>
                            <w:pPr>
                              <w:pStyle w:val="111"/>
                              <w:spacing w:before="0" w:after="0"/>
                              <w:ind w:left="0"/>
                              <w:jc w:val="center"/>
                              <w:rPr>
                                <w:sz w:val="14"/>
                                <w:szCs w:val="14"/>
                                <w:lang w:val="uk-UA"/>
                              </w:rPr>
                            </w:pPr>
                            <w:bookmarkStart w:id="5" w:name="_Hlk185184791"/>
                            <w:r>
                              <w:rPr>
                                <w:color w:val="31611B"/>
                                <w:sz w:val="14"/>
                                <w:szCs w:val="14"/>
                                <w:lang w:val="uk-UA"/>
                              </w:rPr>
                              <w:t xml:space="preserve">■ </w:t>
                            </w:r>
                            <w:r>
                              <w:rPr>
                                <w:sz w:val="14"/>
                                <w:szCs w:val="14"/>
                                <w:lang w:val="uk-UA"/>
                              </w:rPr>
                              <w:t>Дуже добре</w:t>
                            </w:r>
                            <w:r>
                              <w:rPr>
                                <w:color w:val="31611B"/>
                                <w:sz w:val="14"/>
                                <w:szCs w:val="14"/>
                                <w:lang w:val="uk-UA"/>
                              </w:rPr>
                              <w:t xml:space="preserve">■ </w:t>
                            </w:r>
                            <w:r>
                              <w:rPr>
                                <w:sz w:val="14"/>
                                <w:szCs w:val="14"/>
                                <w:lang w:val="uk-UA"/>
                              </w:rPr>
                              <w:t xml:space="preserve"> Добре</w:t>
                            </w:r>
                            <w:r>
                              <w:rPr>
                                <w:color w:val="990305"/>
                                <w:sz w:val="14"/>
                                <w:szCs w:val="14"/>
                                <w:lang w:val="uk-UA"/>
                              </w:rPr>
                              <w:t xml:space="preserve">■ </w:t>
                            </w:r>
                            <w:r>
                              <w:rPr>
                                <w:sz w:val="14"/>
                                <w:szCs w:val="14"/>
                                <w:lang w:val="uk-UA"/>
                              </w:rPr>
                              <w:t xml:space="preserve"> Погано</w:t>
                            </w:r>
                            <w:r>
                              <w:rPr>
                                <w:color w:val="5F0101"/>
                                <w:sz w:val="14"/>
                                <w:szCs w:val="14"/>
                                <w:lang w:val="uk-UA"/>
                              </w:rPr>
                              <w:t xml:space="preserve">■ </w:t>
                            </w:r>
                            <w:r>
                              <w:rPr>
                                <w:sz w:val="14"/>
                                <w:szCs w:val="14"/>
                                <w:lang w:val="uk-UA"/>
                              </w:rPr>
                              <w:t xml:space="preserve"> Дуже погано</w:t>
                            </w:r>
                            <w:r>
                              <w:rPr>
                                <w:color w:val="BABABA"/>
                                <w:sz w:val="14"/>
                                <w:szCs w:val="14"/>
                                <w:lang w:val="uk-UA"/>
                              </w:rPr>
                              <w:t xml:space="preserve">■ </w:t>
                            </w:r>
                            <w:r>
                              <w:rPr>
                                <w:sz w:val="14"/>
                                <w:szCs w:val="14"/>
                                <w:lang w:val="uk-UA"/>
                              </w:rPr>
                              <w:t xml:space="preserve"> Не знаю</w:t>
                            </w:r>
                            <w:r>
                              <w:rPr>
                                <w:color w:val="595959"/>
                                <w:sz w:val="14"/>
                                <w:szCs w:val="14"/>
                                <w:lang w:val="uk-UA"/>
                              </w:rPr>
                              <w:t xml:space="preserve">■ </w:t>
                            </w:r>
                            <w:r>
                              <w:rPr>
                                <w:sz w:val="14"/>
                                <w:szCs w:val="14"/>
                                <w:lang w:val="uk-UA"/>
                              </w:rPr>
                              <w:t xml:space="preserve"> Відмовився відповідати</w:t>
                            </w:r>
                            <w:bookmarkEnd w:id="5"/>
                          </w:p>
                          <w:p>
                            <w:pPr>
                              <w:pStyle w:val="Style27"/>
                              <w:spacing w:before="0" w:after="160"/>
                              <w:rPr>
                                <w:sz w:val="18"/>
                                <w:szCs w:val="18"/>
                                <w:lang w:val="ru-RU"/>
                              </w:rPr>
                            </w:pPr>
                            <w:r>
                              <w:rPr/>
                            </w:r>
                          </w:p>
                        </w:txbxContent>
                      </wps:txbx>
                      <wps:bodyPr anchor="t">
                        <a:noAutofit/>
                      </wps:bodyPr>
                    </wps:wsp>
                  </a:graphicData>
                </a:graphic>
              </wp:anchor>
            </w:drawing>
          </mc:Choice>
          <mc:Fallback>
            <w:pict>
              <v:rect id="shape_0" ID="Text Box 2" path="m0,0l-2147483645,0l-2147483645,-2147483646l0,-2147483646xe" fillcolor="white" stroked="f" o:allowincell="f" style="position:absolute;margin-left:10.75pt;margin-top:26.15pt;width:485.7pt;height:14.9pt;mso-wrap-style:square;v-text-anchor:top" wp14:anchorId="0F6A384D">
                <v:fill o:detectmouseclick="t" type="solid" color2="black"/>
                <v:stroke color="#3465a4" weight="9360" joinstyle="miter" endcap="flat"/>
                <v:textbox>
                  <w:txbxContent>
                    <w:p>
                      <w:pPr>
                        <w:pStyle w:val="111"/>
                        <w:spacing w:before="0" w:after="0"/>
                        <w:ind w:left="0"/>
                        <w:jc w:val="center"/>
                        <w:rPr>
                          <w:sz w:val="14"/>
                          <w:szCs w:val="14"/>
                          <w:lang w:val="uk-UA"/>
                        </w:rPr>
                      </w:pPr>
                      <w:bookmarkStart w:id="6" w:name="_Hlk185184791"/>
                      <w:r>
                        <w:rPr>
                          <w:color w:val="31611B"/>
                          <w:sz w:val="14"/>
                          <w:szCs w:val="14"/>
                          <w:lang w:val="uk-UA"/>
                        </w:rPr>
                        <w:t xml:space="preserve">■ </w:t>
                      </w:r>
                      <w:r>
                        <w:rPr>
                          <w:sz w:val="14"/>
                          <w:szCs w:val="14"/>
                          <w:lang w:val="uk-UA"/>
                        </w:rPr>
                        <w:t>Дуже добре</w:t>
                      </w:r>
                      <w:r>
                        <w:rPr>
                          <w:color w:val="31611B"/>
                          <w:sz w:val="14"/>
                          <w:szCs w:val="14"/>
                          <w:lang w:val="uk-UA"/>
                        </w:rPr>
                        <w:t xml:space="preserve">■ </w:t>
                      </w:r>
                      <w:r>
                        <w:rPr>
                          <w:sz w:val="14"/>
                          <w:szCs w:val="14"/>
                          <w:lang w:val="uk-UA"/>
                        </w:rPr>
                        <w:t xml:space="preserve"> Добре</w:t>
                      </w:r>
                      <w:r>
                        <w:rPr>
                          <w:color w:val="990305"/>
                          <w:sz w:val="14"/>
                          <w:szCs w:val="14"/>
                          <w:lang w:val="uk-UA"/>
                        </w:rPr>
                        <w:t xml:space="preserve">■ </w:t>
                      </w:r>
                      <w:r>
                        <w:rPr>
                          <w:sz w:val="14"/>
                          <w:szCs w:val="14"/>
                          <w:lang w:val="uk-UA"/>
                        </w:rPr>
                        <w:t xml:space="preserve"> Погано</w:t>
                      </w:r>
                      <w:r>
                        <w:rPr>
                          <w:color w:val="5F0101"/>
                          <w:sz w:val="14"/>
                          <w:szCs w:val="14"/>
                          <w:lang w:val="uk-UA"/>
                        </w:rPr>
                        <w:t xml:space="preserve">■ </w:t>
                      </w:r>
                      <w:r>
                        <w:rPr>
                          <w:sz w:val="14"/>
                          <w:szCs w:val="14"/>
                          <w:lang w:val="uk-UA"/>
                        </w:rPr>
                        <w:t xml:space="preserve"> Дуже погано</w:t>
                      </w:r>
                      <w:r>
                        <w:rPr>
                          <w:color w:val="BABABA"/>
                          <w:sz w:val="14"/>
                          <w:szCs w:val="14"/>
                          <w:lang w:val="uk-UA"/>
                        </w:rPr>
                        <w:t xml:space="preserve">■ </w:t>
                      </w:r>
                      <w:r>
                        <w:rPr>
                          <w:sz w:val="14"/>
                          <w:szCs w:val="14"/>
                          <w:lang w:val="uk-UA"/>
                        </w:rPr>
                        <w:t xml:space="preserve"> Не знаю</w:t>
                      </w:r>
                      <w:r>
                        <w:rPr>
                          <w:color w:val="595959"/>
                          <w:sz w:val="14"/>
                          <w:szCs w:val="14"/>
                          <w:lang w:val="uk-UA"/>
                        </w:rPr>
                        <w:t xml:space="preserve">■ </w:t>
                      </w:r>
                      <w:r>
                        <w:rPr>
                          <w:sz w:val="14"/>
                          <w:szCs w:val="14"/>
                          <w:lang w:val="uk-UA"/>
                        </w:rPr>
                        <w:t xml:space="preserve"> Відмовився відповідати</w:t>
                      </w:r>
                      <w:bookmarkEnd w:id="6"/>
                    </w:p>
                    <w:p>
                      <w:pPr>
                        <w:pStyle w:val="Style27"/>
                        <w:spacing w:before="0" w:after="160"/>
                        <w:rPr>
                          <w:sz w:val="18"/>
                          <w:szCs w:val="18"/>
                          <w:lang w:val="ru-RU"/>
                        </w:rPr>
                      </w:pPr>
                      <w:r>
                        <w:rPr/>
                      </w:r>
                    </w:p>
                  </w:txbxContent>
                </v:textbox>
                <w10:wrap type="none"/>
              </v:rect>
            </w:pict>
          </mc:Fallback>
        </mc:AlternateContent>
        <mc:AlternateContent>
          <mc:Choice Requires="wps">
            <w:drawing>
              <wp:anchor behindDoc="0" distT="0" distB="0" distL="0" distR="0" simplePos="0" locked="0" layoutInCell="1" allowOverlap="1" relativeHeight="27" wp14:anchorId="37ADC744">
                <wp:simplePos x="0" y="0"/>
                <wp:positionH relativeFrom="column">
                  <wp:posOffset>326390</wp:posOffset>
                </wp:positionH>
                <wp:positionV relativeFrom="paragraph">
                  <wp:posOffset>2451100</wp:posOffset>
                </wp:positionV>
                <wp:extent cx="6193155" cy="462915"/>
                <wp:effectExtent l="0" t="0" r="0" b="0"/>
                <wp:wrapNone/>
                <wp:docPr id="13" name="Text Box 2"/>
                <a:graphic xmlns:a="http://schemas.openxmlformats.org/drawingml/2006/main">
                  <a:graphicData uri="http://schemas.microsoft.com/office/word/2010/wordprocessingShape">
                    <wps:wsp>
                      <wps:cNvSpPr/>
                      <wps:spPr>
                        <a:xfrm>
                          <a:off x="0" y="0"/>
                          <a:ext cx="6193080" cy="462960"/>
                        </a:xfrm>
                        <a:prstGeom prst="rect">
                          <a:avLst/>
                        </a:prstGeom>
                        <a:solidFill>
                          <a:srgbClr val="ffffff"/>
                        </a:solidFill>
                        <a:ln w="9525">
                          <a:noFill/>
                        </a:ln>
                      </wps:spPr>
                      <wps:style>
                        <a:lnRef idx="0"/>
                        <a:fillRef idx="0"/>
                        <a:effectRef idx="0"/>
                        <a:fontRef idx="minor"/>
                      </wps:style>
                      <wps:txbx>
                        <w:txbxContent>
                          <w:tbl>
                            <w:tblPr>
                              <w:tblW w:w="9417" w:type="dxa"/>
                              <w:jc w:val="left"/>
                              <w:tblInd w:w="0" w:type="dxa"/>
                              <w:tblLayout w:type="fixed"/>
                              <w:tblCellMar>
                                <w:top w:w="0" w:type="dxa"/>
                                <w:left w:w="10" w:type="dxa"/>
                                <w:bottom w:w="0" w:type="dxa"/>
                                <w:right w:w="10" w:type="dxa"/>
                              </w:tblCellMar>
                              <w:tblLook w:firstRow="1" w:noVBand="1" w:lastRow="0" w:firstColumn="1" w:lastColumn="0" w:noHBand="0" w:val="04a0"/>
                            </w:tblPr>
                            <w:tblGrid>
                              <w:gridCol w:w="1573"/>
                              <w:gridCol w:w="1575"/>
                              <w:gridCol w:w="1723"/>
                              <w:gridCol w:w="1353"/>
                              <w:gridCol w:w="1790"/>
                              <w:gridCol w:w="1402"/>
                            </w:tblGrid>
                            <w:tr>
                              <w:trPr>
                                <w:trHeight w:val="605" w:hRule="exact"/>
                              </w:trPr>
                              <w:tc>
                                <w:tcPr>
                                  <w:tcW w:w="1573" w:type="dxa"/>
                                  <w:tcBorders/>
                                  <w:shd w:color="auto" w:fill="auto" w:val="clear"/>
                                </w:tcPr>
                                <w:p>
                                  <w:pPr>
                                    <w:pStyle w:val="Style26"/>
                                    <w:spacing w:lineRule="auto" w:line="204" w:before="0" w:after="0"/>
                                    <w:jc w:val="center"/>
                                    <w:rPr>
                                      <w:sz w:val="14"/>
                                      <w:szCs w:val="14"/>
                                      <w:lang w:val="uk-UA"/>
                                    </w:rPr>
                                  </w:pPr>
                                  <w:r>
                                    <w:rPr>
                                      <w:rFonts w:eastAsia="Arial" w:cs="Arial" w:ascii="Arial" w:hAnsi="Arial"/>
                                      <w:color w:val="828282"/>
                                      <w:sz w:val="14"/>
                                      <w:szCs w:val="14"/>
                                      <w:lang w:val="uk-UA"/>
                                    </w:rPr>
                                    <w:t>Кваліфікація та професіоналізм персоналу Державної податкової служби</w:t>
                                  </w:r>
                                </w:p>
                              </w:tc>
                              <w:tc>
                                <w:tcPr>
                                  <w:tcW w:w="1575" w:type="dxa"/>
                                  <w:tcBorders/>
                                  <w:shd w:color="auto" w:fill="auto" w:val="clear"/>
                                </w:tcPr>
                                <w:p>
                                  <w:pPr>
                                    <w:pStyle w:val="Style26"/>
                                    <w:spacing w:before="0" w:after="0"/>
                                    <w:jc w:val="center"/>
                                    <w:rPr>
                                      <w:sz w:val="14"/>
                                      <w:szCs w:val="14"/>
                                      <w:lang w:val="uk-UA"/>
                                    </w:rPr>
                                  </w:pPr>
                                  <w:r>
                                    <w:rPr>
                                      <w:rFonts w:eastAsia="Arial" w:cs="Arial" w:ascii="Arial" w:hAnsi="Arial"/>
                                      <w:color w:val="828282"/>
                                      <w:sz w:val="14"/>
                                      <w:szCs w:val="14"/>
                                      <w:lang w:val="uk-UA"/>
                                    </w:rPr>
                                    <w:t>Готовність допомогти</w:t>
                                  </w:r>
                                </w:p>
                              </w:tc>
                              <w:tc>
                                <w:tcPr>
                                  <w:tcW w:w="1723" w:type="dxa"/>
                                  <w:tcBorders/>
                                  <w:shd w:color="auto" w:fill="auto" w:val="clear"/>
                                </w:tcPr>
                                <w:p>
                                  <w:pPr>
                                    <w:pStyle w:val="Style26"/>
                                    <w:spacing w:before="0" w:after="0"/>
                                    <w:rPr>
                                      <w:sz w:val="14"/>
                                      <w:szCs w:val="14"/>
                                      <w:lang w:val="uk-UA"/>
                                    </w:rPr>
                                  </w:pPr>
                                  <w:r>
                                    <w:rPr>
                                      <w:rFonts w:eastAsia="Arial" w:cs="Arial" w:ascii="Arial" w:hAnsi="Arial"/>
                                      <w:color w:val="828282"/>
                                      <w:sz w:val="14"/>
                                      <w:szCs w:val="14"/>
                                      <w:lang w:val="uk-UA"/>
                                    </w:rPr>
                                    <w:t>Ввічливість персоналу</w:t>
                                  </w:r>
                                </w:p>
                              </w:tc>
                              <w:tc>
                                <w:tcPr>
                                  <w:tcW w:w="1353" w:type="dxa"/>
                                  <w:tcBorders/>
                                  <w:shd w:color="auto" w:fill="auto" w:val="clear"/>
                                </w:tcPr>
                                <w:p>
                                  <w:pPr>
                                    <w:pStyle w:val="Style26"/>
                                    <w:spacing w:lineRule="auto" w:line="201" w:before="0" w:after="0"/>
                                    <w:jc w:val="center"/>
                                    <w:rPr>
                                      <w:sz w:val="14"/>
                                      <w:szCs w:val="14"/>
                                      <w:lang w:val="uk-UA"/>
                                    </w:rPr>
                                  </w:pPr>
                                  <w:r>
                                    <w:rPr>
                                      <w:rFonts w:eastAsia="Arial" w:cs="Arial" w:ascii="Arial" w:hAnsi="Arial"/>
                                      <w:color w:val="828282"/>
                                      <w:sz w:val="14"/>
                                      <w:szCs w:val="14"/>
                                      <w:lang w:val="uk-UA"/>
                                    </w:rPr>
                                    <w:t>Чесність і неупередженість</w:t>
                                  </w:r>
                                </w:p>
                              </w:tc>
                              <w:tc>
                                <w:tcPr>
                                  <w:tcW w:w="1790" w:type="dxa"/>
                                  <w:tcBorders/>
                                  <w:shd w:color="auto" w:fill="auto" w:val="clear"/>
                                </w:tcPr>
                                <w:p>
                                  <w:pPr>
                                    <w:pStyle w:val="Style26"/>
                                    <w:spacing w:lineRule="auto" w:line="201" w:before="0" w:after="0"/>
                                    <w:ind w:firstLine="20" w:left="160"/>
                                    <w:jc w:val="center"/>
                                    <w:rPr>
                                      <w:rFonts w:ascii="Arial" w:hAnsi="Arial" w:eastAsia="Arial" w:cs="Arial"/>
                                      <w:color w:val="828282"/>
                                      <w:sz w:val="14"/>
                                      <w:szCs w:val="14"/>
                                      <w:lang w:val="ru-RU"/>
                                    </w:rPr>
                                  </w:pPr>
                                  <w:r>
                                    <w:rPr>
                                      <w:rFonts w:eastAsia="Arial" w:cs="Arial" w:ascii="Arial" w:hAnsi="Arial"/>
                                      <w:color w:val="828282"/>
                                      <w:sz w:val="14"/>
                                      <w:szCs w:val="14"/>
                                      <w:lang w:val="uk-UA"/>
                                    </w:rPr>
                                    <w:t>Дистанційна взаємодія з податковими</w:t>
                                  </w:r>
                                </w:p>
                                <w:p>
                                  <w:pPr>
                                    <w:pStyle w:val="Style26"/>
                                    <w:spacing w:lineRule="auto" w:line="201" w:before="0" w:after="0"/>
                                    <w:ind w:firstLine="20" w:left="160"/>
                                    <w:jc w:val="center"/>
                                    <w:rPr>
                                      <w:sz w:val="14"/>
                                      <w:szCs w:val="14"/>
                                      <w:lang w:val="uk-UA"/>
                                    </w:rPr>
                                  </w:pPr>
                                  <w:r>
                                    <w:rPr>
                                      <w:rFonts w:eastAsia="Arial" w:cs="Arial" w:ascii="Arial" w:hAnsi="Arial"/>
                                      <w:color w:val="828282"/>
                                      <w:sz w:val="14"/>
                                      <w:szCs w:val="14"/>
                                      <w:lang w:val="uk-UA"/>
                                    </w:rPr>
                                    <w:t>органами</w:t>
                                  </w:r>
                                </w:p>
                              </w:tc>
                              <w:tc>
                                <w:tcPr>
                                  <w:tcW w:w="1402" w:type="dxa"/>
                                  <w:tcBorders/>
                                  <w:shd w:color="auto" w:fill="auto" w:val="clear"/>
                                </w:tcPr>
                                <w:p>
                                  <w:pPr>
                                    <w:pStyle w:val="Style26"/>
                                    <w:spacing w:lineRule="auto" w:line="204" w:before="0" w:after="0"/>
                                    <w:jc w:val="center"/>
                                    <w:rPr>
                                      <w:sz w:val="14"/>
                                      <w:szCs w:val="14"/>
                                      <w:lang w:val="uk-UA"/>
                                    </w:rPr>
                                  </w:pPr>
                                  <w:r>
                                    <w:rPr>
                                      <w:rFonts w:eastAsia="Arial" w:cs="Arial" w:ascii="Arial" w:hAnsi="Arial"/>
                                      <w:color w:val="828282"/>
                                      <w:sz w:val="14"/>
                                      <w:szCs w:val="14"/>
                                      <w:lang w:val="uk-UA"/>
                                    </w:rPr>
                                    <w:t>Загальна ефективність роботи податкових інспекторів</w:t>
                                  </w:r>
                                </w:p>
                              </w:tc>
                            </w:tr>
                          </w:tbl>
                          <w:p>
                            <w:pPr>
                              <w:pStyle w:val="Style27"/>
                              <w:spacing w:before="0" w:after="160"/>
                              <w:rPr>
                                <w:sz w:val="14"/>
                                <w:szCs w:val="14"/>
                                <w:lang w:val="uk-UA"/>
                              </w:rPr>
                            </w:pPr>
                            <w:r>
                              <w:rPr/>
                            </w:r>
                          </w:p>
                        </w:txbxContent>
                      </wps:txbx>
                      <wps:bodyPr anchor="t">
                        <a:noAutofit/>
                      </wps:bodyPr>
                    </wps:wsp>
                  </a:graphicData>
                </a:graphic>
              </wp:anchor>
            </w:drawing>
          </mc:Choice>
          <mc:Fallback>
            <w:pict>
              <v:rect id="shape_0" ID="Text Box 2" path="m0,0l-2147483645,0l-2147483645,-2147483646l0,-2147483646xe" fillcolor="white" stroked="f" o:allowincell="f" style="position:absolute;margin-left:25.7pt;margin-top:193pt;width:487.6pt;height:36.4pt;mso-wrap-style:none;v-text-anchor:middle" wp14:anchorId="37ADC744">
                <v:fill o:detectmouseclick="t" type="solid" color2="black"/>
                <v:stroke color="#3465a4" weight="9360" joinstyle="miter" endcap="flat"/>
                <v:textbox>
                  <w:txbxContent>
                    <w:tbl>
                      <w:tblPr>
                        <w:tblW w:w="9417" w:type="dxa"/>
                        <w:jc w:val="left"/>
                        <w:tblInd w:w="0" w:type="dxa"/>
                        <w:tblLayout w:type="fixed"/>
                        <w:tblCellMar>
                          <w:top w:w="0" w:type="dxa"/>
                          <w:left w:w="10" w:type="dxa"/>
                          <w:bottom w:w="0" w:type="dxa"/>
                          <w:right w:w="10" w:type="dxa"/>
                        </w:tblCellMar>
                        <w:tblLook w:firstRow="1" w:noVBand="1" w:lastRow="0" w:firstColumn="1" w:lastColumn="0" w:noHBand="0" w:val="04a0"/>
                      </w:tblPr>
                      <w:tblGrid>
                        <w:gridCol w:w="1573"/>
                        <w:gridCol w:w="1575"/>
                        <w:gridCol w:w="1723"/>
                        <w:gridCol w:w="1353"/>
                        <w:gridCol w:w="1790"/>
                        <w:gridCol w:w="1402"/>
                      </w:tblGrid>
                      <w:tr>
                        <w:trPr>
                          <w:trHeight w:val="605" w:hRule="exact"/>
                        </w:trPr>
                        <w:tc>
                          <w:tcPr>
                            <w:tcW w:w="1573" w:type="dxa"/>
                            <w:tcBorders/>
                            <w:shd w:color="auto" w:fill="auto" w:val="clear"/>
                          </w:tcPr>
                          <w:p>
                            <w:pPr>
                              <w:pStyle w:val="Style26"/>
                              <w:spacing w:lineRule="auto" w:line="204" w:before="0" w:after="0"/>
                              <w:jc w:val="center"/>
                              <w:rPr>
                                <w:sz w:val="14"/>
                                <w:szCs w:val="14"/>
                                <w:lang w:val="uk-UA"/>
                              </w:rPr>
                            </w:pPr>
                            <w:r>
                              <w:rPr>
                                <w:rFonts w:eastAsia="Arial" w:cs="Arial" w:ascii="Arial" w:hAnsi="Arial"/>
                                <w:color w:val="828282"/>
                                <w:sz w:val="14"/>
                                <w:szCs w:val="14"/>
                                <w:lang w:val="uk-UA"/>
                              </w:rPr>
                              <w:t>Кваліфікація та професіоналізм персоналу Державної податкової служби</w:t>
                            </w:r>
                          </w:p>
                        </w:tc>
                        <w:tc>
                          <w:tcPr>
                            <w:tcW w:w="1575" w:type="dxa"/>
                            <w:tcBorders/>
                            <w:shd w:color="auto" w:fill="auto" w:val="clear"/>
                          </w:tcPr>
                          <w:p>
                            <w:pPr>
                              <w:pStyle w:val="Style26"/>
                              <w:spacing w:before="0" w:after="0"/>
                              <w:jc w:val="center"/>
                              <w:rPr>
                                <w:sz w:val="14"/>
                                <w:szCs w:val="14"/>
                                <w:lang w:val="uk-UA"/>
                              </w:rPr>
                            </w:pPr>
                            <w:r>
                              <w:rPr>
                                <w:rFonts w:eastAsia="Arial" w:cs="Arial" w:ascii="Arial" w:hAnsi="Arial"/>
                                <w:color w:val="828282"/>
                                <w:sz w:val="14"/>
                                <w:szCs w:val="14"/>
                                <w:lang w:val="uk-UA"/>
                              </w:rPr>
                              <w:t>Готовність допомогти</w:t>
                            </w:r>
                          </w:p>
                        </w:tc>
                        <w:tc>
                          <w:tcPr>
                            <w:tcW w:w="1723" w:type="dxa"/>
                            <w:tcBorders/>
                            <w:shd w:color="auto" w:fill="auto" w:val="clear"/>
                          </w:tcPr>
                          <w:p>
                            <w:pPr>
                              <w:pStyle w:val="Style26"/>
                              <w:spacing w:before="0" w:after="0"/>
                              <w:rPr>
                                <w:sz w:val="14"/>
                                <w:szCs w:val="14"/>
                                <w:lang w:val="uk-UA"/>
                              </w:rPr>
                            </w:pPr>
                            <w:r>
                              <w:rPr>
                                <w:rFonts w:eastAsia="Arial" w:cs="Arial" w:ascii="Arial" w:hAnsi="Arial"/>
                                <w:color w:val="828282"/>
                                <w:sz w:val="14"/>
                                <w:szCs w:val="14"/>
                                <w:lang w:val="uk-UA"/>
                              </w:rPr>
                              <w:t>Ввічливість персоналу</w:t>
                            </w:r>
                          </w:p>
                        </w:tc>
                        <w:tc>
                          <w:tcPr>
                            <w:tcW w:w="1353" w:type="dxa"/>
                            <w:tcBorders/>
                            <w:shd w:color="auto" w:fill="auto" w:val="clear"/>
                          </w:tcPr>
                          <w:p>
                            <w:pPr>
                              <w:pStyle w:val="Style26"/>
                              <w:spacing w:lineRule="auto" w:line="201" w:before="0" w:after="0"/>
                              <w:jc w:val="center"/>
                              <w:rPr>
                                <w:sz w:val="14"/>
                                <w:szCs w:val="14"/>
                                <w:lang w:val="uk-UA"/>
                              </w:rPr>
                            </w:pPr>
                            <w:r>
                              <w:rPr>
                                <w:rFonts w:eastAsia="Arial" w:cs="Arial" w:ascii="Arial" w:hAnsi="Arial"/>
                                <w:color w:val="828282"/>
                                <w:sz w:val="14"/>
                                <w:szCs w:val="14"/>
                                <w:lang w:val="uk-UA"/>
                              </w:rPr>
                              <w:t>Чесність і неупередженість</w:t>
                            </w:r>
                          </w:p>
                        </w:tc>
                        <w:tc>
                          <w:tcPr>
                            <w:tcW w:w="1790" w:type="dxa"/>
                            <w:tcBorders/>
                            <w:shd w:color="auto" w:fill="auto" w:val="clear"/>
                          </w:tcPr>
                          <w:p>
                            <w:pPr>
                              <w:pStyle w:val="Style26"/>
                              <w:spacing w:lineRule="auto" w:line="201" w:before="0" w:after="0"/>
                              <w:ind w:firstLine="20" w:left="160"/>
                              <w:jc w:val="center"/>
                              <w:rPr>
                                <w:rFonts w:ascii="Arial" w:hAnsi="Arial" w:eastAsia="Arial" w:cs="Arial"/>
                                <w:color w:val="828282"/>
                                <w:sz w:val="14"/>
                                <w:szCs w:val="14"/>
                                <w:lang w:val="ru-RU"/>
                              </w:rPr>
                            </w:pPr>
                            <w:r>
                              <w:rPr>
                                <w:rFonts w:eastAsia="Arial" w:cs="Arial" w:ascii="Arial" w:hAnsi="Arial"/>
                                <w:color w:val="828282"/>
                                <w:sz w:val="14"/>
                                <w:szCs w:val="14"/>
                                <w:lang w:val="uk-UA"/>
                              </w:rPr>
                              <w:t>Дистанційна взаємодія з податковими</w:t>
                            </w:r>
                          </w:p>
                          <w:p>
                            <w:pPr>
                              <w:pStyle w:val="Style26"/>
                              <w:spacing w:lineRule="auto" w:line="201" w:before="0" w:after="0"/>
                              <w:ind w:firstLine="20" w:left="160"/>
                              <w:jc w:val="center"/>
                              <w:rPr>
                                <w:sz w:val="14"/>
                                <w:szCs w:val="14"/>
                                <w:lang w:val="uk-UA"/>
                              </w:rPr>
                            </w:pPr>
                            <w:r>
                              <w:rPr>
                                <w:rFonts w:eastAsia="Arial" w:cs="Arial" w:ascii="Arial" w:hAnsi="Arial"/>
                                <w:color w:val="828282"/>
                                <w:sz w:val="14"/>
                                <w:szCs w:val="14"/>
                                <w:lang w:val="uk-UA"/>
                              </w:rPr>
                              <w:t>органами</w:t>
                            </w:r>
                          </w:p>
                        </w:tc>
                        <w:tc>
                          <w:tcPr>
                            <w:tcW w:w="1402" w:type="dxa"/>
                            <w:tcBorders/>
                            <w:shd w:color="auto" w:fill="auto" w:val="clear"/>
                          </w:tcPr>
                          <w:p>
                            <w:pPr>
                              <w:pStyle w:val="Style26"/>
                              <w:spacing w:lineRule="auto" w:line="204" w:before="0" w:after="0"/>
                              <w:jc w:val="center"/>
                              <w:rPr>
                                <w:sz w:val="14"/>
                                <w:szCs w:val="14"/>
                                <w:lang w:val="uk-UA"/>
                              </w:rPr>
                            </w:pPr>
                            <w:r>
                              <w:rPr>
                                <w:rFonts w:eastAsia="Arial" w:cs="Arial" w:ascii="Arial" w:hAnsi="Arial"/>
                                <w:color w:val="828282"/>
                                <w:sz w:val="14"/>
                                <w:szCs w:val="14"/>
                                <w:lang w:val="uk-UA"/>
                              </w:rPr>
                              <w:t>Загальна ефективність роботи податкових інспекторів</w:t>
                            </w:r>
                          </w:p>
                        </w:tc>
                      </w:tr>
                    </w:tbl>
                    <w:p>
                      <w:pPr>
                        <w:pStyle w:val="Style27"/>
                        <w:spacing w:before="0" w:after="160"/>
                        <w:rPr>
                          <w:sz w:val="14"/>
                          <w:szCs w:val="14"/>
                          <w:lang w:val="uk-UA"/>
                        </w:rPr>
                      </w:pPr>
                      <w:r>
                        <w:rPr/>
                      </w:r>
                    </w:p>
                  </w:txbxContent>
                </v:textbox>
                <w10:wrap type="none"/>
              </v:rect>
            </w:pict>
          </mc:Fallback>
        </mc:AlternateContent>
      </w:r>
      <w:r>
        <w:rPr>
          <w:b/>
          <w:bCs/>
          <w:i w:val="false"/>
          <w:iCs w:val="false"/>
          <w:color w:val="auto"/>
          <w:sz w:val="22"/>
          <w:szCs w:val="22"/>
          <w:lang w:val="uk-UA"/>
        </w:rPr>
        <w:t xml:space="preserve">Рисунок 2. Задоволеність роботою ДПС </w:t>
      </w:r>
    </w:p>
    <w:p>
      <w:pPr>
        <w:pStyle w:val="ListParagraph"/>
        <w:numPr>
          <w:ilvl w:val="0"/>
          <w:numId w:val="2"/>
        </w:numPr>
        <w:jc w:val="both"/>
        <w:rPr>
          <w:rFonts w:cs="Calibri" w:cstheme="minorHAnsi"/>
          <w:lang w:val="uk-UA"/>
        </w:rPr>
      </w:pPr>
      <w:r>
        <w:rPr>
          <w:rFonts w:cs="Calibri" w:cstheme="minorHAnsi"/>
          <w:b/>
          <w:bCs/>
          <w:lang w:val="uk-UA"/>
        </w:rPr>
        <w:t xml:space="preserve">Близько 75% підприємств подавали податкову звітність в електронному вигляді через Електронний кабінет платника податків, але платники скаржилися на його незручність у користуванні та технічні збої. </w:t>
      </w:r>
      <w:r>
        <w:rPr>
          <w:rFonts w:cs="Calibri" w:cstheme="minorHAnsi"/>
          <w:lang w:val="uk-UA"/>
        </w:rPr>
        <w:t>Понад 20 відсотків респондентів поскаржилися на якість і своєчасність електронних повідомлень ДПС. 17,1 відсотка зазначили, що електронний кабінет не зберігає заповнені форми, а 15,2 відсотка мали проблеми з отриманням довідок онлайн (Рисунок 3).</w:t>
      </w:r>
    </w:p>
    <w:p>
      <w:pPr>
        <w:pStyle w:val="Normal"/>
        <w:rPr>
          <w:b/>
          <w:bCs/>
          <w:lang w:val="uk-UA"/>
        </w:rPr>
      </w:pPr>
      <w:r>
        <w:rPr>
          <w:b/>
          <w:bCs/>
          <w:lang w:val="uk-UA"/>
        </w:rPr>
        <w:t>Рисунок 3. Проблеми, з якими стикався бізнес під час подання податкової звітності в електронному вигляді</w:t>
      </w:r>
    </w:p>
    <w:p>
      <w:pPr>
        <w:pStyle w:val="Normal"/>
        <w:rPr>
          <w:b/>
          <w:bCs/>
          <w:lang w:val="uk-UA"/>
        </w:rPr>
      </w:pPr>
      <w:r>
        <w:rPr/>
        <mc:AlternateContent>
          <mc:Choice Requires="wps">
            <w:drawing>
              <wp:anchor behindDoc="0" distT="0" distB="3175" distL="0" distR="9525" simplePos="0" locked="0" layoutInCell="1" allowOverlap="1" relativeHeight="29" wp14:anchorId="7CFC95C2">
                <wp:simplePos x="0" y="0"/>
                <wp:positionH relativeFrom="column">
                  <wp:posOffset>-132080</wp:posOffset>
                </wp:positionH>
                <wp:positionV relativeFrom="paragraph">
                  <wp:posOffset>57785</wp:posOffset>
                </wp:positionV>
                <wp:extent cx="3934460" cy="2606675"/>
                <wp:effectExtent l="0" t="635" r="0" b="0"/>
                <wp:wrapNone/>
                <wp:docPr id="14" name="Text Box 2"/>
                <a:graphic xmlns:a="http://schemas.openxmlformats.org/drawingml/2006/main">
                  <a:graphicData uri="http://schemas.microsoft.com/office/word/2010/wordprocessingShape">
                    <wps:wsp>
                      <wps:cNvSpPr/>
                      <wps:spPr>
                        <a:xfrm>
                          <a:off x="0" y="0"/>
                          <a:ext cx="3934440" cy="2606760"/>
                        </a:xfrm>
                        <a:prstGeom prst="rect">
                          <a:avLst/>
                        </a:prstGeom>
                        <a:solidFill>
                          <a:srgbClr val="ffffff"/>
                        </a:solidFill>
                        <a:ln w="9525">
                          <a:noFill/>
                        </a:ln>
                      </wps:spPr>
                      <wps:style>
                        <a:lnRef idx="0"/>
                        <a:fillRef idx="0"/>
                        <a:effectRef idx="0"/>
                        <a:fontRef idx="minor"/>
                      </wps:style>
                      <wps:txbx>
                        <w:txbxContent>
                          <w:p>
                            <w:pPr>
                              <w:pStyle w:val="Style27"/>
                              <w:spacing w:lineRule="auto" w:line="240"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Логічні помилки при отриманні нової форми звітності, коли необхідно повторно надсилати документ після виправлення помилок</w:t>
                            </w:r>
                          </w:p>
                          <w:p>
                            <w:pPr>
                              <w:pStyle w:val="Style27"/>
                              <w:spacing w:lineRule="auto" w:line="240" w:before="0" w:after="8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Інформаційні повідомлення від ДПС надходять у незручному форматі</w:t>
                            </w:r>
                          </w:p>
                          <w:p>
                            <w:pPr>
                              <w:pStyle w:val="Style27"/>
                              <w:spacing w:lineRule="auto" w:line="240" w:before="0" w:after="8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 xml:space="preserve">Відсутність інформаційних повідомлень від ДПС про зміну старих або запровадження нових форм звітності </w:t>
                            </w:r>
                          </w:p>
                          <w:p>
                            <w:pPr>
                              <w:pStyle w:val="Style27"/>
                              <w:spacing w:lineRule="auto" w:line="240" w:before="0" w:after="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 xml:space="preserve">Електронний кабінет не зберігає заповнену форму </w:t>
                            </w:r>
                          </w:p>
                          <w:p>
                            <w:pPr>
                              <w:pStyle w:val="Style27"/>
                              <w:spacing w:lineRule="auto" w:line="240" w:before="12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 xml:space="preserve">Відсутність електронних форм на веб-порталі ДПС </w:t>
                            </w:r>
                          </w:p>
                          <w:p>
                            <w:pPr>
                              <w:pStyle w:val="Style27"/>
                              <w:spacing w:lineRule="auto" w:line="240"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Електронні форми податкової звітності не надходять до ДПС</w:t>
                            </w:r>
                          </w:p>
                          <w:p>
                            <w:pPr>
                              <w:pStyle w:val="Style27"/>
                              <w:spacing w:lineRule="auto" w:line="240"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Існує певна складність в отриманні онлайн-послуг</w:t>
                            </w:r>
                          </w:p>
                          <w:p>
                            <w:pPr>
                              <w:pStyle w:val="Style27"/>
                              <w:spacing w:lineRule="auto" w:line="240"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Інше (вкажіть)</w:t>
                            </w:r>
                          </w:p>
                          <w:p>
                            <w:pPr>
                              <w:pStyle w:val="Style27"/>
                              <w:spacing w:lineRule="auto" w:line="240"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Не стикалися з жодною із зазначених проблем</w:t>
                            </w:r>
                          </w:p>
                          <w:p>
                            <w:pPr>
                              <w:pStyle w:val="Style27"/>
                              <w:spacing w:lineRule="auto" w:line="240"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Не подавали в електронному форматі</w:t>
                            </w:r>
                          </w:p>
                          <w:p>
                            <w:pPr>
                              <w:pStyle w:val="Style27"/>
                              <w:spacing w:lineRule="auto" w:line="240"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Не знають</w:t>
                            </w:r>
                          </w:p>
                          <w:p>
                            <w:pPr>
                              <w:pStyle w:val="Style27"/>
                              <w:spacing w:lineRule="auto" w:line="240"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Відмовилися відповідати</w:t>
                            </w:r>
                          </w:p>
                          <w:p>
                            <w:pPr>
                              <w:pStyle w:val="Style27"/>
                              <w:spacing w:lineRule="auto" w:line="240" w:before="0" w:after="120"/>
                              <w:jc w:val="right"/>
                              <w:rPr>
                                <w:sz w:val="14"/>
                                <w:szCs w:val="14"/>
                                <w:lang w:val="uk-UA"/>
                              </w:rPr>
                            </w:pPr>
                            <w:r>
                              <w:rPr>
                                <w:rFonts w:eastAsia="Arial" w:cs="Arial" w:ascii="Arial" w:hAnsi="Arial"/>
                                <w:color w:val="2D2D2E"/>
                                <w:kern w:val="2"/>
                                <w:sz w:val="14"/>
                                <w:szCs w:val="14"/>
                                <w:lang w:val="uk-UA"/>
                                <w14:ligatures w14:val="standardContextual"/>
                              </w:rPr>
                              <w:t>Неприйняття електронного цифрового підпису (ЕЦП) або проблеми в системі ЕЦП</w:t>
                            </w:r>
                          </w:p>
                        </w:txbxContent>
                      </wps:txbx>
                      <wps:bodyPr anchor="t">
                        <a:noAutofit/>
                      </wps:bodyPr>
                    </wps:wsp>
                  </a:graphicData>
                </a:graphic>
              </wp:anchor>
            </w:drawing>
          </mc:Choice>
          <mc:Fallback>
            <w:pict>
              <v:rect id="shape_0" ID="Text Box 2" path="m0,0l-2147483645,0l-2147483645,-2147483646l0,-2147483646xe" fillcolor="white" stroked="f" o:allowincell="f" style="position:absolute;margin-left:-10.4pt;margin-top:4.55pt;width:309.75pt;height:205.2pt;mso-wrap-style:square;v-text-anchor:top" wp14:anchorId="7CFC95C2">
                <v:fill o:detectmouseclick="t" type="solid" color2="black"/>
                <v:stroke color="#3465a4" weight="9360" joinstyle="miter" endcap="flat"/>
                <v:textbox>
                  <w:txbxContent>
                    <w:p>
                      <w:pPr>
                        <w:pStyle w:val="Style27"/>
                        <w:spacing w:lineRule="auto" w:line="240"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Логічні помилки при отриманні нової форми звітності, коли необхідно повторно надсилати документ після виправлення помилок</w:t>
                      </w:r>
                    </w:p>
                    <w:p>
                      <w:pPr>
                        <w:pStyle w:val="Style27"/>
                        <w:spacing w:lineRule="auto" w:line="240" w:before="0" w:after="8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Інформаційні повідомлення від ДПС надходять у незручному форматі</w:t>
                      </w:r>
                    </w:p>
                    <w:p>
                      <w:pPr>
                        <w:pStyle w:val="Style27"/>
                        <w:spacing w:lineRule="auto" w:line="240" w:before="0" w:after="8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 xml:space="preserve">Відсутність інформаційних повідомлень від ДПС про зміну старих або запровадження нових форм звітності </w:t>
                      </w:r>
                    </w:p>
                    <w:p>
                      <w:pPr>
                        <w:pStyle w:val="Style27"/>
                        <w:spacing w:lineRule="auto" w:line="240" w:before="0" w:after="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 xml:space="preserve">Електронний кабінет не зберігає заповнену форму </w:t>
                      </w:r>
                    </w:p>
                    <w:p>
                      <w:pPr>
                        <w:pStyle w:val="Style27"/>
                        <w:spacing w:lineRule="auto" w:line="240" w:before="12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 xml:space="preserve">Відсутність електронних форм на веб-порталі ДПС </w:t>
                      </w:r>
                    </w:p>
                    <w:p>
                      <w:pPr>
                        <w:pStyle w:val="Style27"/>
                        <w:spacing w:lineRule="auto" w:line="240"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Електронні форми податкової звітності не надходять до ДПС</w:t>
                      </w:r>
                    </w:p>
                    <w:p>
                      <w:pPr>
                        <w:pStyle w:val="Style27"/>
                        <w:spacing w:lineRule="auto" w:line="240"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Існує певна складність в отриманні онлайн-послуг</w:t>
                      </w:r>
                    </w:p>
                    <w:p>
                      <w:pPr>
                        <w:pStyle w:val="Style27"/>
                        <w:spacing w:lineRule="auto" w:line="240"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Інше (вкажіть)</w:t>
                      </w:r>
                    </w:p>
                    <w:p>
                      <w:pPr>
                        <w:pStyle w:val="Style27"/>
                        <w:spacing w:lineRule="auto" w:line="240"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Не стикалися з жодною із зазначених проблем</w:t>
                      </w:r>
                    </w:p>
                    <w:p>
                      <w:pPr>
                        <w:pStyle w:val="Style27"/>
                        <w:spacing w:lineRule="auto" w:line="240"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Не подавали в електронному форматі</w:t>
                      </w:r>
                    </w:p>
                    <w:p>
                      <w:pPr>
                        <w:pStyle w:val="Style27"/>
                        <w:spacing w:lineRule="auto" w:line="240"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Не знають</w:t>
                      </w:r>
                    </w:p>
                    <w:p>
                      <w:pPr>
                        <w:pStyle w:val="Style27"/>
                        <w:spacing w:lineRule="auto" w:line="240"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Відмовилися відповідати</w:t>
                      </w:r>
                    </w:p>
                    <w:p>
                      <w:pPr>
                        <w:pStyle w:val="Style27"/>
                        <w:spacing w:lineRule="auto" w:line="240" w:before="0" w:after="120"/>
                        <w:jc w:val="right"/>
                        <w:rPr>
                          <w:sz w:val="14"/>
                          <w:szCs w:val="14"/>
                          <w:lang w:val="uk-UA"/>
                        </w:rPr>
                      </w:pPr>
                      <w:r>
                        <w:rPr>
                          <w:rFonts w:eastAsia="Arial" w:cs="Arial" w:ascii="Arial" w:hAnsi="Arial"/>
                          <w:color w:val="2D2D2E"/>
                          <w:kern w:val="2"/>
                          <w:sz w:val="14"/>
                          <w:szCs w:val="14"/>
                          <w:lang w:val="uk-UA"/>
                          <w14:ligatures w14:val="standardContextual"/>
                        </w:rPr>
                        <w:t>Неприйняття електронного цифрового підпису (ЕЦП) або проблеми в системі ЕЦП</w:t>
                      </w:r>
                    </w:p>
                  </w:txbxContent>
                </v:textbox>
                <w10:wrap type="none"/>
              </v:rect>
            </w:pict>
          </mc:Fallback>
        </mc:AlternateContent>
        <w:drawing>
          <wp:inline distT="0" distB="0" distL="0" distR="0">
            <wp:extent cx="5296535" cy="2802255"/>
            <wp:effectExtent l="0" t="0" r="0" b="0"/>
            <wp:docPr id="15"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A screenshot of a computer&#10;&#10;Description automatically generated"/>
                    <pic:cNvPicPr>
                      <a:picLocks noChangeAspect="1" noChangeArrowheads="1"/>
                    </pic:cNvPicPr>
                  </pic:nvPicPr>
                  <pic:blipFill>
                    <a:blip r:embed="rId8"/>
                    <a:stretch>
                      <a:fillRect/>
                    </a:stretch>
                  </pic:blipFill>
                  <pic:spPr bwMode="auto">
                    <a:xfrm>
                      <a:off x="0" y="0"/>
                      <a:ext cx="5296535" cy="2802255"/>
                    </a:xfrm>
                    <a:prstGeom prst="rect">
                      <a:avLst/>
                    </a:prstGeom>
                  </pic:spPr>
                </pic:pic>
              </a:graphicData>
            </a:graphic>
          </wp:inline>
        </w:drawing>
      </w:r>
    </w:p>
    <w:p>
      <w:pPr>
        <w:pStyle w:val="ListParagraph"/>
        <w:numPr>
          <w:ilvl w:val="0"/>
          <w:numId w:val="2"/>
        </w:numPr>
        <w:jc w:val="both"/>
        <w:rPr>
          <w:rFonts w:cs="Calibri" w:cstheme="minorHAnsi"/>
          <w:lang w:val="uk-UA"/>
        </w:rPr>
      </w:pPr>
      <w:r>
        <w:rPr>
          <w:rFonts w:cs="Calibri" w:cstheme="minorHAnsi"/>
          <w:b/>
          <w:bCs/>
          <w:lang w:val="uk-UA"/>
        </w:rPr>
        <w:t xml:space="preserve">Респонденти зазначили, що підприємства, подібні до їхнього, не декларують значну частку доходів та заробітної плати у </w:t>
      </w:r>
      <w:r>
        <w:rPr>
          <w:b/>
          <w:bCs/>
          <w:lang w:val="uk-UA"/>
        </w:rPr>
        <w:t>податковій звітності</w:t>
      </w:r>
      <w:r>
        <w:rPr>
          <w:rFonts w:cs="Calibri" w:cstheme="minorHAnsi"/>
          <w:b/>
          <w:bCs/>
          <w:lang w:val="uk-UA"/>
        </w:rPr>
        <w:t>.</w:t>
      </w:r>
      <w:r>
        <w:rPr>
          <w:rFonts w:cs="Calibri" w:cstheme="minorHAnsi"/>
          <w:lang w:val="uk-UA"/>
        </w:rPr>
        <w:t xml:space="preserve"> За оцінками респондентів, підприємства, подібні до їхнього, відображають у податковій звітності лише 61,1% фактичного річного доходу та 52,2% заробітної плати.</w:t>
      </w:r>
    </w:p>
    <w:p>
      <w:pPr>
        <w:pStyle w:val="ListParagraph"/>
        <w:numPr>
          <w:ilvl w:val="0"/>
          <w:numId w:val="2"/>
        </w:numPr>
        <w:jc w:val="both"/>
        <w:rPr>
          <w:rFonts w:cs="Calibri" w:cstheme="minorHAnsi"/>
          <w:lang w:val="uk-UA"/>
        </w:rPr>
      </w:pPr>
      <w:r>
        <w:rPr>
          <w:rFonts w:cs="Calibri" w:cstheme="minorHAnsi"/>
          <w:b/>
          <w:bCs/>
          <w:lang w:val="uk-UA"/>
        </w:rPr>
        <w:t xml:space="preserve">Відповіді свідчать, що вторгнення Росії в Україну мало руйнівний вплив на ділову активність. </w:t>
      </w:r>
      <w:r>
        <w:rPr>
          <w:rFonts w:cs="Calibri" w:cstheme="minorHAnsi"/>
          <w:lang w:val="uk-UA"/>
        </w:rPr>
        <w:t>Кожне десяте підприємство повідомило, що воно перемістило свою діяльність та/або працівників. На Сході України майже половина підприємств повідомила про переміщення.  Значна частина робочої сили переїхала. Особливо це стосується малих підприємств. 42,1% підприємств повідомили, що планують повністю повернутися на попереднє місце розташування після завершення вторгнення. 46,3% респондентів оцінили своє фінансово-економічне становище як погане. Малі підприємства та ті, що не мають найманих працівників, найбільш схильні вважати своє фінансове становище поганим. Більші підприємства частіше вважають своє фінансове становище задовільним або добрим.</w:t>
      </w:r>
    </w:p>
    <w:p>
      <w:pPr>
        <w:pStyle w:val="ListParagraph"/>
        <w:numPr>
          <w:ilvl w:val="0"/>
          <w:numId w:val="2"/>
        </w:numPr>
        <w:jc w:val="both"/>
        <w:rPr>
          <w:rFonts w:cs="Calibri" w:cstheme="minorHAnsi"/>
          <w:lang w:val="uk-UA"/>
        </w:rPr>
      </w:pPr>
      <w:r>
        <w:rPr>
          <w:rFonts w:cs="Calibri" w:cstheme="minorHAnsi"/>
          <w:b/>
          <w:bCs/>
          <w:lang w:val="uk-UA"/>
        </w:rPr>
        <w:t>Вторгнення, що триває, змінило основні перешкоди, з якими стикався бізнес у період 2021-2023 років, але одними з ключових викликів залишаються корупція і складність дотримання податкового законодавства</w:t>
      </w:r>
      <w:r>
        <w:rPr>
          <w:rFonts w:cs="Calibri" w:cstheme="minorHAnsi"/>
          <w:lang w:val="uk-UA"/>
        </w:rPr>
        <w:t>. Низька купівельна спроможність населення, проблеми з постачанням електроенергії та нестабільність тепер очолюють «першу десятку» перешкод у 2023 році, відтіснивши проблему «корупції в дозвільних органах» з першого на четверте місце (Рисунок 4).</w:t>
      </w:r>
    </w:p>
    <w:p>
      <w:pPr>
        <w:pStyle w:val="Normal"/>
        <w:jc w:val="both"/>
        <w:rPr>
          <w:b/>
          <w:bCs/>
          <w:lang w:val="uk-UA"/>
        </w:rPr>
      </w:pPr>
      <w:r>
        <w:rPr>
          <w:rFonts w:cs="Calibri" w:cstheme="minorHAnsi"/>
          <w:b/>
          <w:bCs/>
          <w:lang w:val="uk-UA"/>
        </w:rPr>
        <w:t xml:space="preserve">Рисунок 4. </w:t>
      </w:r>
      <w:r>
        <w:rPr>
          <w:b/>
          <w:bCs/>
          <w:lang w:val="uk-UA"/>
        </w:rPr>
        <w:t>Найсерйозніші перешкоди для здійснення господарської діяльності в Україні</w:t>
      </w:r>
    </w:p>
    <w:p>
      <w:pPr>
        <w:pStyle w:val="Normal"/>
        <w:jc w:val="both"/>
        <w:rPr>
          <w:rFonts w:cs="Calibri" w:cstheme="minorHAnsi"/>
          <w:b/>
          <w:bCs/>
          <w:lang w:val="uk-UA"/>
        </w:rPr>
      </w:pPr>
      <w:r>
        <w:rPr/>
        <mc:AlternateContent>
          <mc:Choice Requires="wps">
            <w:drawing>
              <wp:anchor behindDoc="0" distT="0" distB="0" distL="0" distR="1270" simplePos="0" locked="0" layoutInCell="1" allowOverlap="1" relativeHeight="31" wp14:anchorId="4A1F48B5">
                <wp:simplePos x="0" y="0"/>
                <wp:positionH relativeFrom="column">
                  <wp:posOffset>-238125</wp:posOffset>
                </wp:positionH>
                <wp:positionV relativeFrom="paragraph">
                  <wp:posOffset>131445</wp:posOffset>
                </wp:positionV>
                <wp:extent cx="2970530" cy="2598420"/>
                <wp:effectExtent l="0" t="0" r="0" b="0"/>
                <wp:wrapNone/>
                <wp:docPr id="16" name="Text Box 2"/>
                <a:graphic xmlns:a="http://schemas.openxmlformats.org/drawingml/2006/main">
                  <a:graphicData uri="http://schemas.microsoft.com/office/word/2010/wordprocessingShape">
                    <wps:wsp>
                      <wps:cNvSpPr/>
                      <wps:spPr>
                        <a:xfrm>
                          <a:off x="0" y="0"/>
                          <a:ext cx="2970360" cy="2598480"/>
                        </a:xfrm>
                        <a:prstGeom prst="rect">
                          <a:avLst/>
                        </a:prstGeom>
                        <a:solidFill>
                          <a:srgbClr val="ffffff"/>
                        </a:solidFill>
                        <a:ln w="9525">
                          <a:noFill/>
                        </a:ln>
                      </wps:spPr>
                      <wps:style>
                        <a:lnRef idx="0"/>
                        <a:fillRef idx="0"/>
                        <a:effectRef idx="0"/>
                        <a:fontRef idx="minor"/>
                      </wps:style>
                      <wps:txbx>
                        <w:txbxContent>
                          <w:p>
                            <w:pPr>
                              <w:pStyle w:val="82"/>
                              <w:spacing w:before="0" w:after="160"/>
                              <w:rPr>
                                <w:sz w:val="15"/>
                                <w:szCs w:val="15"/>
                                <w:lang w:val="uk-UA"/>
                              </w:rPr>
                            </w:pPr>
                            <w:r>
                              <w:rPr>
                                <w:color w:val="2D2D2E"/>
                                <w:sz w:val="15"/>
                                <w:szCs w:val="15"/>
                                <w:lang w:val="uk-UA"/>
                              </w:rPr>
                              <w:t>Високі податки</w:t>
                            </w:r>
                          </w:p>
                          <w:p>
                            <w:pPr>
                              <w:pStyle w:val="82"/>
                              <w:spacing w:lineRule="auto" w:line="220" w:before="0" w:after="160"/>
                              <w:rPr>
                                <w:sz w:val="15"/>
                                <w:szCs w:val="15"/>
                                <w:lang w:val="uk-UA"/>
                              </w:rPr>
                            </w:pPr>
                            <w:r>
                              <w:rPr>
                                <w:color w:val="2D2D2E"/>
                                <w:sz w:val="15"/>
                                <w:szCs w:val="15"/>
                                <w:lang w:val="uk-UA"/>
                              </w:rPr>
                              <w:t>Втрата споживчого попиту на продукцію бізнесу, необхідність переорієнтації бізнесу</w:t>
                            </w:r>
                          </w:p>
                          <w:p>
                            <w:pPr>
                              <w:pStyle w:val="82"/>
                              <w:spacing w:before="0" w:after="160"/>
                              <w:rPr>
                                <w:sz w:val="15"/>
                                <w:szCs w:val="15"/>
                                <w:lang w:val="uk-UA"/>
                              </w:rPr>
                            </w:pPr>
                            <w:r>
                              <w:rPr>
                                <w:color w:val="2D2D2E"/>
                                <w:sz w:val="15"/>
                                <w:szCs w:val="15"/>
                                <w:lang w:val="uk-UA"/>
                              </w:rPr>
                              <w:t>Труднощі з дотриманням податкового законодавства</w:t>
                            </w:r>
                          </w:p>
                          <w:p>
                            <w:pPr>
                              <w:pStyle w:val="82"/>
                              <w:spacing w:before="0" w:after="160"/>
                              <w:ind w:left="920"/>
                              <w:rPr>
                                <w:sz w:val="15"/>
                                <w:szCs w:val="15"/>
                                <w:lang w:val="uk-UA"/>
                              </w:rPr>
                            </w:pPr>
                            <w:r>
                              <w:rPr>
                                <w:color w:val="2D2D2E"/>
                                <w:sz w:val="15"/>
                                <w:szCs w:val="15"/>
                                <w:lang w:val="uk-UA"/>
                              </w:rPr>
                              <w:t>Брак коштів, труднощі з отриманням додаткового фінансування</w:t>
                            </w:r>
                          </w:p>
                          <w:p>
                            <w:pPr>
                              <w:pStyle w:val="82"/>
                              <w:spacing w:before="0" w:after="240"/>
                              <w:rPr>
                                <w:sz w:val="15"/>
                                <w:szCs w:val="15"/>
                                <w:lang w:val="uk-UA"/>
                              </w:rPr>
                            </w:pPr>
                            <w:r>
                              <w:rPr>
                                <w:color w:val="2D2D2E"/>
                                <w:sz w:val="15"/>
                                <w:szCs w:val="15"/>
                                <w:lang w:val="uk-UA"/>
                              </w:rPr>
                              <w:t>Складність законів та нормативно-правових актів</w:t>
                            </w:r>
                          </w:p>
                          <w:p>
                            <w:pPr>
                              <w:pStyle w:val="82"/>
                              <w:spacing w:before="0" w:after="160"/>
                              <w:rPr>
                                <w:sz w:val="15"/>
                                <w:szCs w:val="15"/>
                                <w:lang w:val="uk-UA"/>
                              </w:rPr>
                            </w:pPr>
                            <w:r>
                              <w:rPr>
                                <w:color w:val="2D2D2E"/>
                                <w:sz w:val="15"/>
                                <w:szCs w:val="15"/>
                                <w:lang w:val="uk-UA"/>
                              </w:rPr>
                              <w:t>Брак кваліфікованої робочої сили</w:t>
                            </w:r>
                          </w:p>
                          <w:p>
                            <w:pPr>
                              <w:pStyle w:val="82"/>
                              <w:spacing w:before="0" w:after="60"/>
                              <w:rPr>
                                <w:sz w:val="15"/>
                                <w:szCs w:val="15"/>
                                <w:lang w:val="uk-UA"/>
                              </w:rPr>
                            </w:pPr>
                            <w:r>
                              <w:rPr>
                                <w:color w:val="2D2D2E"/>
                                <w:sz w:val="15"/>
                                <w:szCs w:val="15"/>
                                <w:lang w:val="uk-UA"/>
                              </w:rPr>
                              <w:t>Корупція в дозвільних органах, органах місцевого самоврядування та інших органах державної влади</w:t>
                            </w:r>
                          </w:p>
                          <w:p>
                            <w:pPr>
                              <w:pStyle w:val="82"/>
                              <w:spacing w:before="0" w:after="160"/>
                              <w:ind w:left="920"/>
                              <w:rPr>
                                <w:sz w:val="15"/>
                                <w:szCs w:val="15"/>
                                <w:lang w:val="uk-UA"/>
                              </w:rPr>
                            </w:pPr>
                            <w:r>
                              <w:rPr>
                                <w:color w:val="2D2D2E"/>
                                <w:sz w:val="15"/>
                                <w:szCs w:val="15"/>
                                <w:lang w:val="uk-UA"/>
                              </w:rPr>
                              <w:t>Політичні ризики або політична нестабільність у країні чи регіоні</w:t>
                            </w:r>
                          </w:p>
                          <w:p>
                            <w:pPr>
                              <w:pStyle w:val="82"/>
                              <w:spacing w:before="0" w:after="240"/>
                              <w:rPr>
                                <w:sz w:val="15"/>
                                <w:szCs w:val="15"/>
                                <w:lang w:val="uk-UA"/>
                              </w:rPr>
                            </w:pPr>
                            <w:r>
                              <w:rPr>
                                <w:color w:val="2D2D2E"/>
                                <w:sz w:val="15"/>
                                <w:szCs w:val="15"/>
                                <w:lang w:val="uk-UA"/>
                              </w:rPr>
                              <w:t>Проблеми з електропостачанням</w:t>
                            </w:r>
                          </w:p>
                          <w:p>
                            <w:pPr>
                              <w:pStyle w:val="82"/>
                              <w:spacing w:before="0" w:after="240"/>
                              <w:rPr>
                                <w:color w:val="2D2D2E"/>
                                <w:sz w:val="15"/>
                                <w:szCs w:val="15"/>
                                <w:lang w:val="uk-UA"/>
                              </w:rPr>
                            </w:pPr>
                            <w:r>
                              <w:rPr>
                                <w:color w:val="2D2D2E"/>
                                <w:sz w:val="15"/>
                                <w:szCs w:val="15"/>
                                <w:lang w:val="uk-UA"/>
                              </w:rPr>
                              <w:t>Низька купівельна спроможність споживачів</w:t>
                            </w:r>
                          </w:p>
                        </w:txbxContent>
                      </wps:txbx>
                      <wps:bodyPr anchor="t">
                        <a:noAutofit/>
                      </wps:bodyPr>
                    </wps:wsp>
                  </a:graphicData>
                </a:graphic>
              </wp:anchor>
            </w:drawing>
          </mc:Choice>
          <mc:Fallback>
            <w:pict>
              <v:rect id="shape_0" ID="Text Box 2" path="m0,0l-2147483645,0l-2147483645,-2147483646l0,-2147483646xe" fillcolor="white" stroked="f" o:allowincell="f" style="position:absolute;margin-left:-18.75pt;margin-top:10.35pt;width:233.85pt;height:204.55pt;mso-wrap-style:square;v-text-anchor:top" wp14:anchorId="4A1F48B5">
                <v:fill o:detectmouseclick="t" type="solid" color2="black"/>
                <v:stroke color="#3465a4" weight="9360" joinstyle="miter" endcap="flat"/>
                <v:textbox>
                  <w:txbxContent>
                    <w:p>
                      <w:pPr>
                        <w:pStyle w:val="82"/>
                        <w:spacing w:before="0" w:after="160"/>
                        <w:rPr>
                          <w:sz w:val="15"/>
                          <w:szCs w:val="15"/>
                          <w:lang w:val="uk-UA"/>
                        </w:rPr>
                      </w:pPr>
                      <w:r>
                        <w:rPr>
                          <w:color w:val="2D2D2E"/>
                          <w:sz w:val="15"/>
                          <w:szCs w:val="15"/>
                          <w:lang w:val="uk-UA"/>
                        </w:rPr>
                        <w:t>Високі податки</w:t>
                      </w:r>
                    </w:p>
                    <w:p>
                      <w:pPr>
                        <w:pStyle w:val="82"/>
                        <w:spacing w:lineRule="auto" w:line="220" w:before="0" w:after="160"/>
                        <w:rPr>
                          <w:sz w:val="15"/>
                          <w:szCs w:val="15"/>
                          <w:lang w:val="uk-UA"/>
                        </w:rPr>
                      </w:pPr>
                      <w:r>
                        <w:rPr>
                          <w:color w:val="2D2D2E"/>
                          <w:sz w:val="15"/>
                          <w:szCs w:val="15"/>
                          <w:lang w:val="uk-UA"/>
                        </w:rPr>
                        <w:t>Втрата споживчого попиту на продукцію бізнесу, необхідність переорієнтації бізнесу</w:t>
                      </w:r>
                    </w:p>
                    <w:p>
                      <w:pPr>
                        <w:pStyle w:val="82"/>
                        <w:spacing w:before="0" w:after="160"/>
                        <w:rPr>
                          <w:sz w:val="15"/>
                          <w:szCs w:val="15"/>
                          <w:lang w:val="uk-UA"/>
                        </w:rPr>
                      </w:pPr>
                      <w:r>
                        <w:rPr>
                          <w:color w:val="2D2D2E"/>
                          <w:sz w:val="15"/>
                          <w:szCs w:val="15"/>
                          <w:lang w:val="uk-UA"/>
                        </w:rPr>
                        <w:t>Труднощі з дотриманням податкового законодавства</w:t>
                      </w:r>
                    </w:p>
                    <w:p>
                      <w:pPr>
                        <w:pStyle w:val="82"/>
                        <w:spacing w:before="0" w:after="160"/>
                        <w:ind w:left="920"/>
                        <w:rPr>
                          <w:sz w:val="15"/>
                          <w:szCs w:val="15"/>
                          <w:lang w:val="uk-UA"/>
                        </w:rPr>
                      </w:pPr>
                      <w:r>
                        <w:rPr>
                          <w:color w:val="2D2D2E"/>
                          <w:sz w:val="15"/>
                          <w:szCs w:val="15"/>
                          <w:lang w:val="uk-UA"/>
                        </w:rPr>
                        <w:t>Брак коштів, труднощі з отриманням додаткового фінансування</w:t>
                      </w:r>
                    </w:p>
                    <w:p>
                      <w:pPr>
                        <w:pStyle w:val="82"/>
                        <w:spacing w:before="0" w:after="240"/>
                        <w:rPr>
                          <w:sz w:val="15"/>
                          <w:szCs w:val="15"/>
                          <w:lang w:val="uk-UA"/>
                        </w:rPr>
                      </w:pPr>
                      <w:r>
                        <w:rPr>
                          <w:color w:val="2D2D2E"/>
                          <w:sz w:val="15"/>
                          <w:szCs w:val="15"/>
                          <w:lang w:val="uk-UA"/>
                        </w:rPr>
                        <w:t>Складність законів та нормативно-правових актів</w:t>
                      </w:r>
                    </w:p>
                    <w:p>
                      <w:pPr>
                        <w:pStyle w:val="82"/>
                        <w:spacing w:before="0" w:after="160"/>
                        <w:rPr>
                          <w:sz w:val="15"/>
                          <w:szCs w:val="15"/>
                          <w:lang w:val="uk-UA"/>
                        </w:rPr>
                      </w:pPr>
                      <w:r>
                        <w:rPr>
                          <w:color w:val="2D2D2E"/>
                          <w:sz w:val="15"/>
                          <w:szCs w:val="15"/>
                          <w:lang w:val="uk-UA"/>
                        </w:rPr>
                        <w:t>Брак кваліфікованої робочої сили</w:t>
                      </w:r>
                    </w:p>
                    <w:p>
                      <w:pPr>
                        <w:pStyle w:val="82"/>
                        <w:spacing w:before="0" w:after="60"/>
                        <w:rPr>
                          <w:sz w:val="15"/>
                          <w:szCs w:val="15"/>
                          <w:lang w:val="uk-UA"/>
                        </w:rPr>
                      </w:pPr>
                      <w:r>
                        <w:rPr>
                          <w:color w:val="2D2D2E"/>
                          <w:sz w:val="15"/>
                          <w:szCs w:val="15"/>
                          <w:lang w:val="uk-UA"/>
                        </w:rPr>
                        <w:t>Корупція в дозвільних органах, органах місцевого самоврядування та інших органах державної влади</w:t>
                      </w:r>
                    </w:p>
                    <w:p>
                      <w:pPr>
                        <w:pStyle w:val="82"/>
                        <w:spacing w:before="0" w:after="160"/>
                        <w:ind w:left="920"/>
                        <w:rPr>
                          <w:sz w:val="15"/>
                          <w:szCs w:val="15"/>
                          <w:lang w:val="uk-UA"/>
                        </w:rPr>
                      </w:pPr>
                      <w:r>
                        <w:rPr>
                          <w:color w:val="2D2D2E"/>
                          <w:sz w:val="15"/>
                          <w:szCs w:val="15"/>
                          <w:lang w:val="uk-UA"/>
                        </w:rPr>
                        <w:t>Політичні ризики або політична нестабільність у країні чи регіоні</w:t>
                      </w:r>
                    </w:p>
                    <w:p>
                      <w:pPr>
                        <w:pStyle w:val="82"/>
                        <w:spacing w:before="0" w:after="240"/>
                        <w:rPr>
                          <w:sz w:val="15"/>
                          <w:szCs w:val="15"/>
                          <w:lang w:val="uk-UA"/>
                        </w:rPr>
                      </w:pPr>
                      <w:r>
                        <w:rPr>
                          <w:color w:val="2D2D2E"/>
                          <w:sz w:val="15"/>
                          <w:szCs w:val="15"/>
                          <w:lang w:val="uk-UA"/>
                        </w:rPr>
                        <w:t>Проблеми з електропостачанням</w:t>
                      </w:r>
                    </w:p>
                    <w:p>
                      <w:pPr>
                        <w:pStyle w:val="82"/>
                        <w:spacing w:before="0" w:after="240"/>
                        <w:rPr>
                          <w:color w:val="2D2D2E"/>
                          <w:sz w:val="15"/>
                          <w:szCs w:val="15"/>
                          <w:lang w:val="uk-UA"/>
                        </w:rPr>
                      </w:pPr>
                      <w:r>
                        <w:rPr>
                          <w:color w:val="2D2D2E"/>
                          <w:sz w:val="15"/>
                          <w:szCs w:val="15"/>
                          <w:lang w:val="uk-UA"/>
                        </w:rPr>
                        <w:t>Низька купівельна спроможність споживачів</w:t>
                      </w:r>
                    </w:p>
                  </w:txbxContent>
                </v:textbox>
                <w10:wrap type="none"/>
              </v:rect>
            </w:pict>
          </mc:Fallback>
        </mc:AlternateContent>
        <w:drawing>
          <wp:inline distT="0" distB="0" distL="0" distR="0">
            <wp:extent cx="5943600" cy="2926715"/>
            <wp:effectExtent l="0" t="0" r="0" b="0"/>
            <wp:docPr id="17" name="Image4"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descr="A graph with numbers and text&#10;&#10;Description automatically generated with medium confidence"/>
                    <pic:cNvPicPr>
                      <a:picLocks noChangeAspect="1" noChangeArrowheads="1"/>
                    </pic:cNvPicPr>
                  </pic:nvPicPr>
                  <pic:blipFill>
                    <a:blip r:embed="rId9"/>
                    <a:stretch>
                      <a:fillRect/>
                    </a:stretch>
                  </pic:blipFill>
                  <pic:spPr bwMode="auto">
                    <a:xfrm>
                      <a:off x="0" y="0"/>
                      <a:ext cx="5943600" cy="2926715"/>
                    </a:xfrm>
                    <a:prstGeom prst="rect">
                      <a:avLst/>
                    </a:prstGeom>
                  </pic:spPr>
                </pic:pic>
              </a:graphicData>
            </a:graphic>
          </wp:inline>
        </w:drawing>
      </w:r>
    </w:p>
    <w:p>
      <w:pPr>
        <w:pStyle w:val="ListParagraph"/>
        <w:numPr>
          <w:ilvl w:val="0"/>
          <w:numId w:val="2"/>
        </w:numPr>
        <w:jc w:val="both"/>
        <w:rPr>
          <w:rFonts w:cs="Calibri" w:cstheme="minorHAnsi"/>
          <w:lang w:val="uk-UA"/>
        </w:rPr>
      </w:pPr>
      <w:r>
        <w:rPr>
          <w:rFonts w:cs="Calibri" w:cstheme="minorHAnsi"/>
          <w:b/>
          <w:bCs/>
          <w:lang w:val="uk-UA"/>
        </w:rPr>
        <w:t>Респонденти визначили сфери, які потребують покращення з точки зору податкового адміністрування</w:t>
      </w:r>
      <w:r>
        <w:rPr>
          <w:rFonts w:cs="Calibri" w:cstheme="minorHAnsi"/>
          <w:lang w:val="uk-UA"/>
        </w:rPr>
        <w:t>. Найчастіше згадуються такі сфери: стабільність податкового законодавства; в</w:t>
      </w:r>
      <w:r>
        <w:rPr>
          <w:lang w:val="uk-UA"/>
        </w:rPr>
        <w:t>досконалення електронних Кабінетів платників податків шляхом надання можливості надсилати автоматизовані повідомлення</w:t>
      </w:r>
      <w:r>
        <w:rPr>
          <w:rFonts w:cs="Calibri" w:cstheme="minorHAnsi"/>
          <w:lang w:val="uk-UA"/>
        </w:rPr>
        <w:t xml:space="preserve">; покращення інтеграції податкової звітності з комерційними інструментами управління бізнесом; поліпшення адміністративної підтримки з боку ДПС; боротьба з корупцією та неофіційними платежами; покращення доступу до підтримки для </w:t>
      </w:r>
      <w:r>
        <w:rPr>
          <w:lang w:val="uk-UA"/>
        </w:rPr>
        <w:t>підприємств, що постраждали від вторгнення</w:t>
      </w:r>
      <w:r>
        <w:rPr>
          <w:rFonts w:cs="Calibri" w:cstheme="minorHAnsi"/>
          <w:lang w:val="uk-UA"/>
        </w:rPr>
        <w:t>.</w:t>
      </w:r>
    </w:p>
    <w:p>
      <w:pPr>
        <w:pStyle w:val="Normal"/>
        <w:suppressAutoHyphens w:val="false"/>
        <w:rPr>
          <w:rFonts w:ascii="Calibri Light" w:hAnsi="Calibri Light" w:eastAsia="" w:cs="Times New Roman" w:asciiTheme="majorHAnsi" w:cstheme="majorBidi" w:eastAsiaTheme="majorEastAsia" w:hAnsiTheme="majorHAnsi"/>
          <w:color w:themeColor="accent1" w:themeShade="bf" w:val="2F5496"/>
          <w:sz w:val="26"/>
          <w:szCs w:val="26"/>
          <w:lang w:val="uk-UA"/>
        </w:rPr>
      </w:pPr>
      <w:r>
        <w:rPr>
          <w:rFonts w:eastAsia="" w:cs="Times New Roman" w:cstheme="majorBidi" w:eastAsiaTheme="majorEastAsia" w:ascii="Calibri Light" w:hAnsi="Calibri Light"/>
          <w:color w:themeColor="accent1" w:themeShade="bf" w:val="2F5496"/>
          <w:sz w:val="26"/>
          <w:szCs w:val="26"/>
          <w:lang w:val="uk-UA"/>
        </w:rPr>
      </w:r>
      <w:r>
        <w:br w:type="page"/>
      </w:r>
    </w:p>
    <w:p>
      <w:pPr>
        <w:pStyle w:val="Heading2"/>
        <w:spacing w:before="0" w:after="0"/>
        <w:rPr>
          <w:lang w:val="uk-UA"/>
        </w:rPr>
      </w:pPr>
      <w:bookmarkStart w:id="7" w:name="_Toc185882872"/>
      <w:r>
        <w:rPr>
          <w:lang w:val="uk-UA"/>
        </w:rPr>
        <w:t>Вступ</w:t>
      </w:r>
      <w:bookmarkEnd w:id="7"/>
      <w:r>
        <w:rPr>
          <w:lang w:val="uk-UA"/>
        </w:rPr>
        <w:t xml:space="preserve"> </w:t>
      </w:r>
    </w:p>
    <w:p>
      <w:pPr>
        <w:pStyle w:val="Normal"/>
        <w:rPr>
          <w:lang w:val="uk-UA"/>
        </w:rPr>
      </w:pPr>
      <w:r>
        <w:rPr>
          <w:lang w:val="uk-UA"/>
        </w:rPr>
      </w:r>
    </w:p>
    <w:p>
      <w:pPr>
        <w:pStyle w:val="ListParagraph"/>
        <w:numPr>
          <w:ilvl w:val="0"/>
          <w:numId w:val="2"/>
        </w:numPr>
        <w:spacing w:lineRule="auto" w:line="254"/>
        <w:jc w:val="both"/>
        <w:rPr>
          <w:rFonts w:cs="Calibri" w:cstheme="minorHAnsi"/>
          <w:lang w:val="uk-UA"/>
        </w:rPr>
      </w:pPr>
      <w:r>
        <w:rPr>
          <w:rFonts w:cs="Calibri" w:cstheme="minorHAnsi"/>
          <w:b/>
          <w:bCs/>
          <w:lang w:val="uk-UA"/>
        </w:rPr>
        <w:t>Опитування щодо сприйняття платників податків дає уявлення про досвід платників податків при заповненні податкових декларацій та сплаті податків, а також оцінює витрати платників податків на дотримання вимог Державної податкової служби (ДПС)</w:t>
      </w:r>
      <w:r>
        <w:rPr>
          <w:rFonts w:cs="Calibri" w:cstheme="minorHAnsi"/>
          <w:lang w:val="uk-UA"/>
        </w:rPr>
        <w:t>. Метою опитування є інформаційне забезпечення реформ, які можуть зменшити витрати на дотримання податкового законодавства та підвищити рівень задоволеності послугами ДПС. Опитування слугуватиме базою для вимірювання прогресу у впровадженні реформ. Воно було проведено компаніями UDA Consulting (Туреччина) та Info Sapiens Consulting (Україна) за контрактом і за фінансової підтримки Світового банку. Методологія дослідження ґрунтується на методології Світового банку щодо оцінки витрат, пов'язаних з дотриманням податкового законодавства.</w:t>
      </w:r>
      <w:r>
        <w:rPr>
          <w:rStyle w:val="FootnoteReference"/>
          <w:rFonts w:cs="Calibri" w:cstheme="minorHAnsi"/>
        </w:rPr>
        <w:footnoteReference w:id="3"/>
      </w:r>
      <w:r>
        <w:rPr>
          <w:rFonts w:cs="Calibri" w:cstheme="minorHAnsi"/>
          <w:lang w:val="uk-UA"/>
        </w:rPr>
        <w:t xml:space="preserve">  </w:t>
      </w:r>
    </w:p>
    <w:p>
      <w:pPr>
        <w:pStyle w:val="ListParagraph"/>
        <w:numPr>
          <w:ilvl w:val="0"/>
          <w:numId w:val="2"/>
        </w:numPr>
        <w:spacing w:lineRule="auto" w:line="254"/>
        <w:jc w:val="both"/>
        <w:rPr>
          <w:rFonts w:cs="Calibri" w:cstheme="minorHAnsi"/>
          <w:lang w:val="uk-UA"/>
        </w:rPr>
      </w:pPr>
      <w:r>
        <w:rPr>
          <w:rFonts w:cs="Calibri" w:cstheme="minorHAnsi"/>
          <w:b/>
          <w:bCs/>
          <w:lang w:val="uk-UA"/>
        </w:rPr>
        <w:t>Дані були зібрані за допомогою веб-опитування.</w:t>
      </w:r>
      <w:r>
        <w:rPr>
          <w:rFonts w:cs="Calibri" w:cstheme="minorHAnsi"/>
          <w:lang w:val="uk-UA"/>
        </w:rPr>
        <w:t xml:space="preserve"> </w:t>
      </w:r>
      <w:r>
        <w:rPr>
          <w:rFonts w:cs="Calibri" w:cstheme="minorHAnsi"/>
          <w:color w:val="000000"/>
          <w:lang w:val="uk-UA"/>
        </w:rPr>
        <w:t>Питання в анкеті</w:t>
      </w:r>
      <w:r>
        <w:rPr>
          <w:lang w:val="uk-UA"/>
        </w:rPr>
        <w:t xml:space="preserve"> стосувались досвіду дотримання податкового законодавства керівниками, власниками та бухгалтерами підприємств і охоплювали широке коло тем, починаючи від загальної інформації про бізнес</w:t>
      </w:r>
      <w:r>
        <w:rPr>
          <w:rFonts w:cs="Calibri" w:cstheme="minorHAnsi"/>
          <w:lang w:val="uk-UA"/>
        </w:rPr>
        <w:t xml:space="preserve"> (структура власності, демографічні дані працівників, географічне покриття), практики податкового обліку (розподіл часу та ресурсів на ведення бухгалтерського і податкового обліку, використання програмного забезпечення та аутсорсингу, сприйняття складності дотримання податкового законодавства) і закінчуючи досвідом платників податків щодо послуг ДПС (частота, характер і вплив податкових перевірок, використання неформальних платежів й ефективність послуг податкового органу). </w:t>
      </w:r>
      <w:r>
        <w:rPr>
          <w:lang w:val="uk-UA"/>
        </w:rPr>
        <w:t xml:space="preserve">Анкета містила </w:t>
      </w:r>
      <w:r>
        <w:rPr>
          <w:rFonts w:cs="Calibri" w:cstheme="minorHAnsi"/>
          <w:lang w:val="uk-UA"/>
        </w:rPr>
        <w:t xml:space="preserve">поєднання </w:t>
      </w:r>
      <w:r>
        <w:rPr>
          <w:lang w:val="uk-UA"/>
        </w:rPr>
        <w:t>питань щодо фактів</w:t>
      </w:r>
      <w:r>
        <w:rPr>
          <w:rFonts w:cs="Calibri" w:cstheme="minorHAnsi"/>
          <w:lang w:val="uk-UA"/>
        </w:rPr>
        <w:t xml:space="preserve">, питань з множинними варіантами відповідей, рейтингових шкал та </w:t>
      </w:r>
      <w:r>
        <w:rPr>
          <w:lang w:val="uk-UA"/>
        </w:rPr>
        <w:t>питань відкритого типу</w:t>
      </w:r>
      <w:r>
        <w:rPr>
          <w:rFonts w:cs="Calibri" w:cstheme="minorHAnsi"/>
          <w:lang w:val="uk-UA"/>
        </w:rPr>
        <w:t xml:space="preserve">, що дозволило зібрати як кількісні, так і якісні дані. </w:t>
      </w:r>
      <w:r>
        <w:rPr>
          <w:lang w:val="uk-UA"/>
        </w:rPr>
        <w:t>Такий підхід забезпечує комплексне розуміння ситуації з дотриманням податкового законодавства в Україні й враховує як об'єктивні дані, так і суб'єктивні погляди.</w:t>
      </w:r>
    </w:p>
    <w:p>
      <w:pPr>
        <w:pStyle w:val="ListParagraph"/>
        <w:numPr>
          <w:ilvl w:val="0"/>
          <w:numId w:val="2"/>
        </w:numPr>
        <w:spacing w:lineRule="auto" w:line="254"/>
        <w:jc w:val="both"/>
        <w:rPr>
          <w:rFonts w:cs="Calibri" w:cstheme="minorHAnsi"/>
          <w:lang w:val="uk-UA"/>
        </w:rPr>
      </w:pPr>
      <w:r>
        <w:rPr>
          <w:b/>
          <w:bCs/>
          <w:lang w:val="uk-UA"/>
        </w:rPr>
        <w:t>Цільовою аудиторією опитування були всі платники податків, зареєстровані в системі ДПС</w:t>
      </w:r>
      <w:r>
        <w:rPr>
          <w:lang w:val="uk-UA"/>
        </w:rPr>
        <w:t xml:space="preserve">. ДПС розіслала посилання на опитування серед усіх платників податків по всій Україні. Посилання не дозволяло співвідносити відповіді з конкретними респондентами. Вибірка на етапі збору даних не проводилася. У квітні-травні 2024 року в опитуванні взяли участь 3 169 зареєстрованих платників податків. Рівень участі в опитуванні значно відрізняється по областях (Рисунок 5). </w:t>
      </w:r>
    </w:p>
    <w:p>
      <w:pPr>
        <w:pStyle w:val="Normal"/>
        <w:jc w:val="both"/>
        <w:rPr>
          <w:b/>
          <w:bCs/>
          <w:lang w:val="uk-UA"/>
        </w:rPr>
      </w:pPr>
      <w:r>
        <w:rPr>
          <w:b/>
          <w:bCs/>
          <w:lang w:val="uk-UA"/>
        </w:rPr>
        <w:t>Рисунок 5</w:t>
      </w:r>
      <w:r>
        <w:rPr>
          <w:lang w:val="uk-UA"/>
        </w:rPr>
        <w:t xml:space="preserve">. </w:t>
      </w:r>
      <w:r>
        <w:rPr>
          <w:b/>
          <w:bCs/>
          <w:lang w:val="uk-UA"/>
        </w:rPr>
        <w:t xml:space="preserve">Кількість відповідей на опитування у розрізі областей </w:t>
      </w:r>
    </w:p>
    <w:p>
      <w:pPr>
        <w:pStyle w:val="Normal"/>
        <w:jc w:val="both"/>
        <w:rPr>
          <w:b/>
          <w:bCs/>
          <w:lang w:val="uk-UA"/>
        </w:rPr>
      </w:pPr>
      <w:r>
        <w:rPr/>
        <w:drawing>
          <wp:inline distT="0" distB="0" distL="0" distR="0">
            <wp:extent cx="4272915" cy="2260600"/>
            <wp:effectExtent l="0" t="0" r="0" b="0"/>
            <wp:docPr id="18" name="slide2" descr="Dash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 descr="Dashboard 1"/>
                    <pic:cNvPicPr>
                      <a:picLocks noChangeAspect="1" noChangeArrowheads="1"/>
                    </pic:cNvPicPr>
                  </pic:nvPicPr>
                  <pic:blipFill>
                    <a:blip r:embed="rId10"/>
                    <a:stretch>
                      <a:fillRect/>
                    </a:stretch>
                  </pic:blipFill>
                  <pic:spPr bwMode="auto">
                    <a:xfrm>
                      <a:off x="0" y="0"/>
                      <a:ext cx="4272915" cy="2260600"/>
                    </a:xfrm>
                    <a:prstGeom prst="rect">
                      <a:avLst/>
                    </a:prstGeom>
                  </pic:spPr>
                </pic:pic>
              </a:graphicData>
            </a:graphic>
          </wp:inline>
        </w:drawing>
      </w:r>
    </w:p>
    <w:p>
      <w:pPr>
        <w:pStyle w:val="ListParagraph"/>
        <w:numPr>
          <w:ilvl w:val="0"/>
          <w:numId w:val="2"/>
        </w:numPr>
        <w:spacing w:lineRule="auto" w:line="254"/>
        <w:jc w:val="both"/>
        <w:rPr>
          <w:rFonts w:cs="Calibri" w:cstheme="minorHAnsi"/>
          <w:lang w:val="uk-UA"/>
        </w:rPr>
      </w:pPr>
      <w:r>
        <w:rPr>
          <w:rFonts w:cs="Calibri" w:cstheme="minorHAnsi"/>
          <w:b/>
          <w:bCs/>
          <w:color w:val="000000"/>
          <w:lang w:val="uk-UA"/>
        </w:rPr>
        <w:t>Обговорення у фокус-групах доповнило результати опитування</w:t>
      </w:r>
      <w:r>
        <w:rPr>
          <w:rFonts w:cs="Calibri" w:cstheme="minorHAnsi"/>
          <w:color w:val="000000"/>
          <w:lang w:val="uk-UA"/>
        </w:rPr>
        <w:t xml:space="preserve">. </w:t>
      </w:r>
      <w:r>
        <w:rPr>
          <w:lang w:val="uk-UA"/>
        </w:rPr>
        <w:t xml:space="preserve">У червні-липні 2024 року </w:t>
      </w:r>
      <w:r>
        <w:rPr>
          <w:rFonts w:cs="Calibri" w:cstheme="minorHAnsi"/>
          <w:color w:val="000000"/>
          <w:lang w:val="uk-UA"/>
        </w:rPr>
        <w:t xml:space="preserve">дослідницька </w:t>
      </w:r>
      <w:r>
        <w:rPr>
          <w:lang w:val="uk-UA"/>
        </w:rPr>
        <w:t xml:space="preserve">група </w:t>
      </w:r>
      <w:r>
        <w:rPr>
          <w:rFonts w:cs="Calibri" w:cstheme="minorHAnsi"/>
          <w:color w:val="000000"/>
          <w:lang w:val="uk-UA"/>
        </w:rPr>
        <w:t xml:space="preserve">провела </w:t>
      </w:r>
      <w:r>
        <w:rPr>
          <w:lang w:val="uk-UA"/>
        </w:rPr>
        <w:t xml:space="preserve">вісім обговорень у фокус-групах (ФГ) з представниками бізнесу, обізнаними в питаннях бухгалтерського обліку та податкової системи. Для перевірки попередніх результатів опитування було організовано дві фокус-групи. ФГ охоплювали такі питання: податковий облік, включаючи подання податкової звітності; сплату податків; якість обслуговування платників податків та сприйняття податкових органів; пропозиції щодо того, як податкова адміністрація може покращити свої послуги з точки зору платників податків. ФГ були заплановані та проведені в режимі онлайн, а з метою забезпечення змістовних і продуктивних дискусій їх модерування проводили підготовлені фасилітатори. Результати обговорень у ФГ в цілому підтвердили результати опитування.  </w:t>
      </w:r>
    </w:p>
    <w:p>
      <w:pPr>
        <w:pStyle w:val="ListParagraph"/>
        <w:numPr>
          <w:ilvl w:val="0"/>
          <w:numId w:val="2"/>
        </w:numPr>
        <w:spacing w:lineRule="auto" w:line="254"/>
        <w:jc w:val="both"/>
        <w:rPr>
          <w:rFonts w:cs="Calibri" w:cstheme="minorHAnsi"/>
          <w:lang w:val="uk-UA"/>
        </w:rPr>
      </w:pPr>
      <w:r>
        <w:rPr>
          <w:rFonts w:cs="Calibri" w:cstheme="minorHAnsi"/>
          <w:b/>
          <w:bCs/>
          <w:lang w:val="uk-UA"/>
        </w:rPr>
        <w:t xml:space="preserve">Дані були оброблені з урахуванням відсутності відповідей. </w:t>
      </w:r>
      <w:r>
        <w:rPr>
          <w:rFonts w:cs="Calibri" w:cstheme="minorHAnsi"/>
          <w:lang w:val="uk-UA"/>
        </w:rPr>
        <w:t xml:space="preserve">Високий відсоток відсутності відповідей є типовим для веб-опитувань. Проблема відсутності відповідей була вирішена за допомогою калібрування (пост-стратифікації) по секторах, типах юридичних осіб і регіонах для побудови вагових коефіцієнтів відповідно до відомого розподілу населення. Відсутність відповідей на запитання була вирішена за допомогою методу </w:t>
      </w:r>
      <w:r>
        <w:rPr>
          <w:lang w:val="uk-UA"/>
        </w:rPr>
        <w:t>підстановки</w:t>
      </w:r>
      <w:r>
        <w:rPr>
          <w:rFonts w:cs="Calibri" w:cstheme="minorHAnsi"/>
          <w:lang w:val="uk-UA"/>
        </w:rPr>
        <w:t xml:space="preserve"> даних (Методологія більш детально описана у Додатку 1).</w:t>
      </w:r>
      <w:bookmarkStart w:id="8" w:name="_Toc176253268"/>
      <w:bookmarkStart w:id="9" w:name="_Toc167126471"/>
    </w:p>
    <w:p>
      <w:pPr>
        <w:pStyle w:val="ListParagraph"/>
        <w:spacing w:lineRule="auto" w:line="254"/>
        <w:ind w:left="360"/>
        <w:jc w:val="both"/>
        <w:rPr>
          <w:rFonts w:cs="Calibri" w:cstheme="minorHAnsi"/>
          <w:lang w:val="uk-UA"/>
        </w:rPr>
      </w:pPr>
      <w:r>
        <w:rPr>
          <w:rFonts w:cs="Calibri" w:cstheme="minorHAnsi"/>
          <w:lang w:val="uk-UA"/>
        </w:rPr>
      </w:r>
    </w:p>
    <w:p>
      <w:pPr>
        <w:pStyle w:val="Heading2"/>
        <w:rPr>
          <w:lang w:val="uk-UA"/>
        </w:rPr>
      </w:pPr>
      <w:bookmarkStart w:id="10" w:name="_Toc185882873"/>
      <w:r>
        <w:rPr>
          <w:lang w:val="uk-UA"/>
        </w:rPr>
        <w:t>Результати опитування</w:t>
      </w:r>
      <w:bookmarkEnd w:id="8"/>
      <w:bookmarkEnd w:id="9"/>
      <w:bookmarkEnd w:id="10"/>
    </w:p>
    <w:p>
      <w:pPr>
        <w:pStyle w:val="ListParagraph"/>
        <w:numPr>
          <w:ilvl w:val="0"/>
          <w:numId w:val="2"/>
        </w:numPr>
        <w:jc w:val="both"/>
        <w:rPr>
          <w:rFonts w:cs="Calibri" w:cstheme="minorHAnsi"/>
          <w:lang w:val="uk-UA"/>
        </w:rPr>
      </w:pPr>
      <w:r>
        <w:rPr>
          <w:rFonts w:eastAsia="Calibri" w:cs="Calibri" w:cstheme="minorHAnsi"/>
          <w:b/>
          <w:bCs/>
          <w:lang w:val="uk-UA"/>
        </w:rPr>
        <w:t xml:space="preserve">У цьому розділі надано підсумок результатів опитування. </w:t>
      </w:r>
      <w:r>
        <w:rPr>
          <w:rFonts w:eastAsia="Calibri" w:cs="Calibri" w:cstheme="minorHAnsi"/>
          <w:lang w:val="uk-UA"/>
        </w:rPr>
        <w:t>Результати опитування представлені у дев'яти розділах: демографічні та бізнес-характеристики респондентів; вплив російського вторгнення на ділову активність; практика податкового обліку; неформальні платежі на подібних підприємствах; податкові перевірки; штрафи та оскарження; якість послуг, що надаються ДПС, і сприйняття податкових органів; сприйняття загального та спрощеного режимів оподаткування; практика дотримання податкового законодавства.</w:t>
      </w:r>
      <w:r>
        <w:rPr>
          <w:rFonts w:eastAsia="Calibri" w:cs="Calibri" w:cstheme="minorHAnsi"/>
          <w:b/>
          <w:bCs/>
          <w:lang w:val="uk-UA"/>
        </w:rPr>
        <w:t xml:space="preserve"> </w:t>
      </w:r>
    </w:p>
    <w:p>
      <w:pPr>
        <w:pStyle w:val="ListParagraph"/>
        <w:ind w:left="360"/>
        <w:jc w:val="both"/>
        <w:rPr>
          <w:rFonts w:cs="Calibri" w:cstheme="minorHAnsi"/>
          <w:lang w:val="uk-UA"/>
        </w:rPr>
      </w:pPr>
      <w:r>
        <w:rPr>
          <w:rFonts w:cs="Calibri" w:cstheme="minorHAnsi"/>
          <w:lang w:val="uk-UA"/>
        </w:rPr>
      </w:r>
    </w:p>
    <w:p>
      <w:pPr>
        <w:pStyle w:val="Heading3"/>
        <w:rPr>
          <w:lang w:val="uk-UA"/>
        </w:rPr>
      </w:pPr>
      <w:bookmarkStart w:id="11" w:name="_Toc185882874"/>
      <w:r>
        <w:rPr>
          <w:lang w:val="uk-UA"/>
        </w:rPr>
        <w:t>Респонденти</w:t>
      </w:r>
      <w:bookmarkEnd w:id="11"/>
    </w:p>
    <w:p>
      <w:pPr>
        <w:pStyle w:val="ListParagraph"/>
        <w:numPr>
          <w:ilvl w:val="0"/>
          <w:numId w:val="2"/>
        </w:numPr>
        <w:jc w:val="both"/>
        <w:rPr>
          <w:rFonts w:cs="Calibri" w:cstheme="minorHAnsi"/>
          <w:lang w:val="uk-UA"/>
        </w:rPr>
      </w:pPr>
      <w:r>
        <w:rPr>
          <w:rFonts w:eastAsia="Calibri" w:cs="Calibri" w:cstheme="minorHAnsi"/>
          <w:b/>
          <w:bCs/>
          <w:lang w:val="uk-UA"/>
        </w:rPr>
        <w:t>Вибірка респондентів представляє платників податків з усіх секторів економіки, регіонів та всіх організаційно-правових форм</w:t>
      </w:r>
      <w:r>
        <w:rPr>
          <w:rFonts w:eastAsia="Calibri" w:cs="Calibri" w:cstheme="minorHAnsi"/>
          <w:lang w:val="uk-UA"/>
        </w:rPr>
        <w:t>. Із загальної кількості 3 169 респондентів 60,2% повідомили, що не мають найманих працівників, 37,2% мають до 50 працівників, а 2,6% - понад 50 працівників. 2 447 респондентів (74,1%) ідентифікували себе як фізичні особи-підприємці. Юридичні особи становлять 25,9% респондентів (Таблиця 1).</w:t>
      </w:r>
      <w:bookmarkStart w:id="12" w:name="_Ref175745723"/>
    </w:p>
    <w:p>
      <w:pPr>
        <w:pStyle w:val="Normal"/>
        <w:rPr>
          <w:b/>
          <w:bCs/>
          <w:i/>
          <w:i/>
          <w:iCs/>
          <w:lang w:val="uk-UA"/>
        </w:rPr>
      </w:pPr>
      <w:r>
        <w:rPr>
          <w:b/>
          <w:bCs/>
          <w:lang w:val="uk-UA"/>
        </w:rPr>
        <w:t>Таблиця</w:t>
      </w:r>
      <w:bookmarkEnd w:id="12"/>
      <w:r>
        <w:rPr>
          <w:b/>
          <w:bCs/>
          <w:lang w:val="uk-UA"/>
        </w:rPr>
        <w:t xml:space="preserve"> 1. Кількість та відсоток респондентів за профілем</w:t>
      </w:r>
    </w:p>
    <w:tbl>
      <w:tblPr>
        <w:tblStyle w:val="GridTable4Accent1"/>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982"/>
        <w:gridCol w:w="2682"/>
        <w:gridCol w:w="2686"/>
      </w:tblGrid>
      <w:tr>
        <w:trPr>
          <w:tblHeader w:val="true"/>
          <w:trHeight w:val="315" w:hRule="atLeast"/>
          <w:cnfStyle w:val="100000000000" w:firstRow="1" w:lastRow="0" w:firstColumn="0" w:lastColumn="0" w:oddVBand="0" w:evenVBand="0" w:oddHBand="0" w:evenHBand="0" w:firstRowFirstColumn="0" w:firstRowLastColumn="0" w:lastRowFirstColumn="0" w:lastRowLastColumn="0"/>
        </w:trPr>
        <w:tc>
          <w:tcPr>
            <w:tcW w:w="3982"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bCs/>
                <w:color w:themeColor="background1" w:val="FFFFFF"/>
                <w:kern w:val="2"/>
                <w:sz w:val="18"/>
                <w:szCs w:val="18"/>
                <w:lang w:val="uk-UA" w:eastAsia="en-GB" w:bidi="ar-SA"/>
              </w:rPr>
              <w:t>Цей бізнес/ компанія відноситься до наступної категорії</w:t>
            </w:r>
          </w:p>
        </w:tc>
        <w:tc>
          <w:tcPr>
            <w:tcW w:w="2682"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b/>
                <w:bCs/>
                <w:color w:themeColor="background1" w:val="FFFFFF"/>
                <w:kern w:val="2"/>
                <w:sz w:val="18"/>
                <w:szCs w:val="18"/>
                <w:lang w:val="uk-UA" w:eastAsia="en-GB" w:bidi="ar-SA"/>
              </w:rPr>
              <w:t>Кількість спостережень</w:t>
            </w:r>
          </w:p>
        </w:tc>
        <w:tc>
          <w:tcPr>
            <w:tcW w:w="2686"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b/>
                <w:bCs/>
                <w:color w:themeColor="background1" w:val="FFFFFF"/>
                <w:kern w:val="2"/>
                <w:sz w:val="18"/>
                <w:szCs w:val="18"/>
                <w:lang w:val="uk-UA" w:eastAsia="en-GB" w:bidi="ar-SA"/>
              </w:rPr>
              <w:t>Відсоток</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982"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Фізичні особи-підприємці</w:t>
            </w:r>
          </w:p>
        </w:tc>
        <w:tc>
          <w:tcPr>
            <w:tcW w:w="268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2 447</w:t>
            </w:r>
          </w:p>
        </w:tc>
        <w:tc>
          <w:tcPr>
            <w:tcW w:w="268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74,1</w:t>
            </w:r>
          </w:p>
        </w:tc>
      </w:tr>
      <w:tr>
        <w:trPr>
          <w:trHeight w:val="300" w:hRule="atLeast"/>
        </w:trPr>
        <w:tc>
          <w:tcPr>
            <w:tcW w:w="398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Юридичні особи</w:t>
            </w:r>
          </w:p>
        </w:tc>
        <w:tc>
          <w:tcPr>
            <w:tcW w:w="268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722</w:t>
            </w:r>
          </w:p>
        </w:tc>
        <w:tc>
          <w:tcPr>
            <w:tcW w:w="268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25,9</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982"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Всього</w:t>
            </w:r>
          </w:p>
        </w:tc>
        <w:tc>
          <w:tcPr>
            <w:tcW w:w="268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3 169</w:t>
            </w:r>
          </w:p>
        </w:tc>
        <w:tc>
          <w:tcPr>
            <w:tcW w:w="268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100</w:t>
            </w:r>
          </w:p>
        </w:tc>
      </w:tr>
      <w:tr>
        <w:trPr>
          <w:trHeight w:val="315" w:hRule="atLeast"/>
        </w:trPr>
        <w:tc>
          <w:tcPr>
            <w:tcW w:w="398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b/>
                <w:szCs w:val="18"/>
                <w:lang w:val="uk-UA"/>
              </w:rPr>
            </w:pPr>
            <w:r>
              <w:rPr>
                <w:rFonts w:eastAsia="SimSun" w:cs="Calibri" w:cstheme="minorHAnsi"/>
                <w:b/>
                <w:bCs/>
                <w:kern w:val="2"/>
                <w:sz w:val="18"/>
                <w:szCs w:val="18"/>
                <w:lang w:val="uk-UA" w:eastAsia="en-GB" w:bidi="ar-SA"/>
              </w:rPr>
              <w:t>Загалом працівників</w:t>
            </w:r>
          </w:p>
        </w:tc>
        <w:tc>
          <w:tcPr>
            <w:tcW w:w="268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bCs/>
                <w:szCs w:val="18"/>
                <w:lang w:val="uk-UA"/>
              </w:rPr>
            </w:pPr>
            <w:r>
              <w:rPr>
                <w:rFonts w:eastAsia="SimSun" w:cs="Calibri" w:cstheme="minorHAnsi"/>
                <w:b/>
                <w:bCs/>
                <w:sz w:val="18"/>
                <w:szCs w:val="18"/>
                <w:lang w:val="uk-UA" w:eastAsia="en-GB" w:bidi="ar-SA"/>
              </w:rPr>
            </w:r>
          </w:p>
        </w:tc>
        <w:tc>
          <w:tcPr>
            <w:tcW w:w="268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sz w:val="18"/>
                <w:szCs w:val="18"/>
                <w:lang w:val="uk-UA" w:eastAsia="en-GB" w:bidi="ar-SA"/>
              </w:rPr>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982"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0</w:t>
            </w:r>
          </w:p>
        </w:tc>
        <w:tc>
          <w:tcPr>
            <w:tcW w:w="268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2 128</w:t>
            </w:r>
          </w:p>
        </w:tc>
        <w:tc>
          <w:tcPr>
            <w:tcW w:w="268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60,2</w:t>
            </w:r>
          </w:p>
        </w:tc>
      </w:tr>
      <w:tr>
        <w:trPr>
          <w:trHeight w:val="300" w:hRule="atLeast"/>
        </w:trPr>
        <w:tc>
          <w:tcPr>
            <w:tcW w:w="398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до 50 працівників</w:t>
            </w:r>
          </w:p>
        </w:tc>
        <w:tc>
          <w:tcPr>
            <w:tcW w:w="268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909</w:t>
            </w:r>
          </w:p>
        </w:tc>
        <w:tc>
          <w:tcPr>
            <w:tcW w:w="268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37,2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982"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понад 50 працівників</w:t>
            </w:r>
            <w:r>
              <w:rPr>
                <w:rStyle w:val="FootnoteReference"/>
                <w:rFonts w:eastAsia="SimSun" w:cs="Calibri" w:cstheme="minorHAnsi"/>
                <w:b w:val="false"/>
                <w:bCs/>
                <w:kern w:val="2"/>
                <w:sz w:val="18"/>
                <w:szCs w:val="18"/>
                <w:lang w:val="uk-UA" w:eastAsia="en-GB" w:bidi="ar-SA"/>
              </w:rPr>
              <w:footnoteReference w:id="4"/>
            </w:r>
          </w:p>
        </w:tc>
        <w:tc>
          <w:tcPr>
            <w:tcW w:w="268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75</w:t>
            </w:r>
          </w:p>
        </w:tc>
        <w:tc>
          <w:tcPr>
            <w:tcW w:w="268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2,6</w:t>
            </w:r>
          </w:p>
        </w:tc>
      </w:tr>
      <w:tr>
        <w:trPr>
          <w:trHeight w:val="300" w:hRule="atLeast"/>
        </w:trPr>
        <w:tc>
          <w:tcPr>
            <w:tcW w:w="398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Всього</w:t>
            </w:r>
          </w:p>
        </w:tc>
        <w:tc>
          <w:tcPr>
            <w:tcW w:w="268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3 112</w:t>
            </w:r>
          </w:p>
        </w:tc>
        <w:tc>
          <w:tcPr>
            <w:tcW w:w="268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100</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3982"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b/>
                <w:szCs w:val="18"/>
                <w:lang w:val="uk-UA"/>
              </w:rPr>
            </w:pPr>
            <w:r>
              <w:rPr>
                <w:rFonts w:eastAsia="SimSun" w:cs="Calibri" w:cstheme="minorHAnsi"/>
                <w:b/>
                <w:bCs/>
                <w:kern w:val="2"/>
                <w:sz w:val="18"/>
                <w:szCs w:val="18"/>
                <w:lang w:val="uk-UA" w:eastAsia="en-GB" w:bidi="ar-SA"/>
              </w:rPr>
              <w:t>Вид економічної діяльності</w:t>
            </w:r>
          </w:p>
        </w:tc>
        <w:tc>
          <w:tcPr>
            <w:tcW w:w="268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b/>
                <w:bCs/>
                <w:szCs w:val="18"/>
                <w:lang w:val="uk-UA"/>
              </w:rPr>
            </w:pPr>
            <w:r>
              <w:rPr>
                <w:rFonts w:eastAsia="SimSun" w:cs="Calibri" w:cstheme="minorHAnsi"/>
                <w:b/>
                <w:bCs/>
                <w:sz w:val="18"/>
                <w:szCs w:val="18"/>
                <w:lang w:val="uk-UA" w:eastAsia="en-GB" w:bidi="ar-SA"/>
              </w:rPr>
            </w:r>
          </w:p>
        </w:tc>
        <w:tc>
          <w:tcPr>
            <w:tcW w:w="268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sz w:val="18"/>
                <w:szCs w:val="18"/>
                <w:lang w:val="uk-UA" w:eastAsia="en-GB" w:bidi="ar-SA"/>
              </w:rPr>
            </w:r>
          </w:p>
        </w:tc>
      </w:tr>
      <w:tr>
        <w:trPr>
          <w:trHeight w:val="300" w:hRule="atLeast"/>
        </w:trPr>
        <w:tc>
          <w:tcPr>
            <w:tcW w:w="398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Послуги</w:t>
            </w:r>
          </w:p>
        </w:tc>
        <w:tc>
          <w:tcPr>
            <w:tcW w:w="268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2 762</w:t>
            </w:r>
          </w:p>
        </w:tc>
        <w:tc>
          <w:tcPr>
            <w:tcW w:w="268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90</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982"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Сільське господарство</w:t>
            </w:r>
          </w:p>
        </w:tc>
        <w:tc>
          <w:tcPr>
            <w:tcW w:w="268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183</w:t>
            </w:r>
          </w:p>
        </w:tc>
        <w:tc>
          <w:tcPr>
            <w:tcW w:w="268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3,71</w:t>
            </w:r>
          </w:p>
        </w:tc>
      </w:tr>
      <w:tr>
        <w:trPr>
          <w:trHeight w:val="300" w:hRule="atLeast"/>
        </w:trPr>
        <w:tc>
          <w:tcPr>
            <w:tcW w:w="398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Промисловість</w:t>
            </w:r>
          </w:p>
        </w:tc>
        <w:tc>
          <w:tcPr>
            <w:tcW w:w="268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189</w:t>
            </w:r>
          </w:p>
        </w:tc>
        <w:tc>
          <w:tcPr>
            <w:tcW w:w="268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6,03</w:t>
            </w:r>
          </w:p>
        </w:tc>
      </w:tr>
    </w:tbl>
    <w:p>
      <w:pPr>
        <w:pStyle w:val="Normal"/>
        <w:rPr>
          <w:lang w:val="uk-UA"/>
        </w:rPr>
      </w:pPr>
      <w:r>
        <w:rPr>
          <w:lang w:val="uk-UA"/>
        </w:rPr>
      </w:r>
    </w:p>
    <w:p>
      <w:pPr>
        <w:pStyle w:val="ListParagraph"/>
        <w:numPr>
          <w:ilvl w:val="0"/>
          <w:numId w:val="2"/>
        </w:numPr>
        <w:jc w:val="both"/>
        <w:rPr>
          <w:rFonts w:cs="Calibri" w:cstheme="minorHAnsi"/>
          <w:lang w:val="uk-UA"/>
        </w:rPr>
      </w:pPr>
      <w:r>
        <w:rPr>
          <w:rFonts w:eastAsia="Calibri" w:cs="Calibri" w:cstheme="minorHAnsi"/>
          <w:b/>
          <w:bCs/>
          <w:lang w:val="uk-UA"/>
        </w:rPr>
        <w:t>Респонденти опитування походять з різних верств населення</w:t>
      </w:r>
      <w:r>
        <w:rPr>
          <w:rFonts w:eastAsia="Calibri" w:cs="Calibri" w:cstheme="minorHAnsi"/>
          <w:lang w:val="uk-UA"/>
        </w:rPr>
        <w:t>. Більшість респондентів є власниками бізнесу (85,1%). Серед респондентів-власників бізнесу була менша кількість жінок: 70,7 відсотка респондентів-жінок є власниками бізнесу, порівняно з 94,3 відсотка респондентів-чоловіків. Майже половина респондентів (47,2%) повідомили, що займаються податковими питаннями протягом 10-ти років або більше. Серед</w:t>
      </w:r>
      <w:r>
        <w:rPr>
          <w:rFonts w:eastAsia="Calibri" w:cs="Calibri" w:cstheme="minorHAnsi"/>
          <w:shd w:fill="FFFFFF" w:val="clear"/>
          <w:lang w:val="uk-UA"/>
        </w:rPr>
        <w:t xml:space="preserve"> респондентів </w:t>
      </w:r>
      <w:r>
        <w:rPr>
          <w:rFonts w:eastAsia="Calibri" w:cs="Calibri" w:cstheme="minorHAnsi"/>
          <w:lang w:val="uk-UA"/>
        </w:rPr>
        <w:t>з таких секторів, як постачання електроенергії, газу, пари та кондиційованого повітря й операції з нерухомим майном, помітно вища частка респондентів з досвідом понад 10 років (98,7% і 69,7% відповідно). На противагу цьому, частка респондентів з 10-річним досвідом роботи з податковими питаннями була значно нижчою у секторах тимчасового розміщення й організації харчування (лише 26,2% опитаних).</w:t>
      </w:r>
    </w:p>
    <w:p>
      <w:pPr>
        <w:pStyle w:val="ListParagraph"/>
        <w:numPr>
          <w:ilvl w:val="0"/>
          <w:numId w:val="2"/>
        </w:numPr>
        <w:jc w:val="both"/>
        <w:rPr>
          <w:rFonts w:eastAsia="Calibri" w:cs="Calibri" w:cstheme="minorHAnsi"/>
          <w:lang w:val="uk-UA"/>
        </w:rPr>
      </w:pPr>
      <w:r>
        <w:rPr>
          <w:rFonts w:eastAsia="Calibri" w:cs="Calibri" w:cstheme="minorHAnsi"/>
          <w:b/>
          <w:bCs/>
          <w:lang w:val="uk-UA"/>
        </w:rPr>
        <w:t xml:space="preserve">Понад дві третини респондентів (68,2%) користуються системою єдиного податку без ПДВ. </w:t>
      </w:r>
      <w:r>
        <w:rPr>
          <w:rFonts w:eastAsia="Calibri" w:cs="Calibri" w:cstheme="minorHAnsi"/>
          <w:lang w:val="uk-UA"/>
        </w:rPr>
        <w:t xml:space="preserve">Результати суттєво відрізняються залежно від регіону, розміру компанії, типу компанії, статі респондентів та галузі. У Рівненській (86,8%) та Київській областях (73,1%) найвищий рівень використання спрощеної системи оподаткування без ПДВ. Деякі сектори є більш схильними до використання спрощеної системи оподаткування без ПДВ, зокрема, інформаційно-телекомунікаційний (88,9%), а також оптова і роздрібна торгівля (70,2%).  </w:t>
      </w:r>
    </w:p>
    <w:p>
      <w:pPr>
        <w:pStyle w:val="ListParagraph"/>
        <w:numPr>
          <w:ilvl w:val="0"/>
          <w:numId w:val="2"/>
        </w:numPr>
        <w:jc w:val="both"/>
        <w:rPr>
          <w:rFonts w:cs="Calibri" w:cstheme="minorHAnsi"/>
          <w:lang w:val="uk-UA"/>
        </w:rPr>
      </w:pPr>
      <w:r>
        <w:rPr>
          <w:rFonts w:eastAsia="Calibri" w:cs="Calibri" w:cstheme="minorHAnsi"/>
          <w:b/>
          <w:bCs/>
          <w:lang w:val="uk-UA"/>
        </w:rPr>
        <w:t>Лише 4,1% респондентів повідомили, що їхній бізнес перебуває в процесі закриття</w:t>
      </w:r>
      <w:r>
        <w:rPr>
          <w:rFonts w:eastAsia="Calibri" w:cs="Calibri" w:cstheme="minorHAnsi"/>
          <w:lang w:val="uk-UA"/>
        </w:rPr>
        <w:t xml:space="preserve">. Найбільша частка підприємств, що перебувають у процесі закриття, була у секторі постачання електроенергії, газу, пари та кондиційованого повітря (9%), за ним йшла сфера надання інших видів послуг (7,6%) і будівництво (6,5%). Натомість у таких секторах, як транспорт і зв'язок, діяльність домогосподарств та діяльність екстериторіальних організацій і органів, не було жодного підприємства, що перебуває у процесі закриття. </w:t>
      </w:r>
    </w:p>
    <w:p>
      <w:pPr>
        <w:pStyle w:val="ListParagraph"/>
        <w:numPr>
          <w:ilvl w:val="0"/>
          <w:numId w:val="2"/>
        </w:numPr>
        <w:jc w:val="both"/>
        <w:rPr>
          <w:rFonts w:cs="Calibri" w:cstheme="minorHAnsi"/>
          <w:lang w:val="uk-UA"/>
        </w:rPr>
      </w:pPr>
      <w:r>
        <w:rPr>
          <w:rFonts w:eastAsia="Calibri" w:cs="Calibri" w:cstheme="minorHAnsi"/>
          <w:b/>
          <w:bCs/>
          <w:lang w:val="uk-UA"/>
        </w:rPr>
        <w:t>Респонденти зазначили, що загальна кількість працівників зменшилася в середньому з 21,3 на одне підприємство у 2021 році до 19,4 у 2023 році</w:t>
      </w:r>
      <w:r>
        <w:rPr>
          <w:rFonts w:eastAsia="Calibri" w:cs="Calibri" w:cstheme="minorHAnsi"/>
          <w:lang w:val="uk-UA"/>
        </w:rPr>
        <w:t>. Ця тенденція простежується в багатьох регіонах, з помітним зниженням у таких областях, як Житомирська</w:t>
      </w:r>
      <w:r>
        <w:rPr>
          <w:rFonts w:eastAsia="Calibri" w:cs="Calibri" w:cstheme="minorHAnsi"/>
          <w:lang w:val="ru-RU"/>
        </w:rPr>
        <w:t xml:space="preserve"> </w:t>
      </w:r>
      <w:r>
        <w:rPr>
          <w:rFonts w:eastAsia="Calibri" w:cs="Calibri" w:cstheme="minorHAnsi"/>
          <w:lang w:val="uk-UA"/>
        </w:rPr>
        <w:t>(з 112,3 до 92,2), Харківська (з 32,1 до 22,5), Херсонська та Запорізька (з 20,2 до 13,1). Однак у деяких регіонах, таких як Одеська область, середня кількість працівників зросла з 25,4 у 2021 році до 34,0 у 2023 році, тоді як в інших, таких як Рівненська та Івано-Франківська, вона залишилася відносно стабільною. Середня кількість жінок серед працівників зменшилася непропорційно: з 6,7 у 2021 році до 5 у 2023 році, тобто на 25,4% (Таблиця 2).</w:t>
      </w:r>
    </w:p>
    <w:p>
      <w:pPr>
        <w:pStyle w:val="Normal"/>
        <w:rPr>
          <w:b/>
          <w:bCs/>
          <w:lang w:val="uk-UA"/>
        </w:rPr>
      </w:pPr>
      <w:r>
        <w:rPr>
          <w:b/>
          <w:bCs/>
          <w:lang w:val="uk-UA"/>
        </w:rPr>
        <w:t>Таблиця 2. Середня кількість працівників у 2021 та 2023 роках</w:t>
      </w:r>
    </w:p>
    <w:tbl>
      <w:tblPr>
        <w:tblStyle w:val="GridTable4Accent1"/>
        <w:tblW w:w="863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365"/>
        <w:gridCol w:w="1039"/>
        <w:gridCol w:w="1530"/>
        <w:gridCol w:w="1081"/>
        <w:gridCol w:w="1620"/>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b/>
                <w:bCs/>
                <w:color w:themeColor="background1" w:val="FFFFFF"/>
                <w:sz w:val="18"/>
                <w:lang w:eastAsia="en-GB" w:bidi="ar-SA"/>
              </w:rPr>
            </w:r>
          </w:p>
        </w:tc>
        <w:tc>
          <w:tcPr>
            <w:tcW w:w="1039"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ind w:right="281"/>
              <w:jc w:val="both"/>
              <w:cnfStyle w:val="100000000000" w:firstRow="1"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b/>
                <w:bCs/>
                <w:color w:themeColor="background1" w:val="FFFFFF"/>
                <w:kern w:val="2"/>
                <w:sz w:val="18"/>
                <w:szCs w:val="18"/>
                <w:lang w:val="uk-UA" w:eastAsia="en-GB" w:bidi="ar-SA"/>
              </w:rPr>
              <w:t>2021</w:t>
            </w:r>
          </w:p>
        </w:tc>
        <w:tc>
          <w:tcPr>
            <w:tcW w:w="1530"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ind w:right="281"/>
              <w:jc w:val="both"/>
              <w:cnfStyle w:val="100000000000" w:firstRow="1"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b/>
                <w:bCs/>
                <w:color w:themeColor="background1" w:val="FFFFFF"/>
                <w:kern w:val="2"/>
                <w:sz w:val="18"/>
                <w:szCs w:val="18"/>
                <w:lang w:val="uk-UA" w:eastAsia="en-GB" w:bidi="ar-SA"/>
              </w:rPr>
              <w:t>2021 (жінки)</w:t>
            </w:r>
          </w:p>
        </w:tc>
        <w:tc>
          <w:tcPr>
            <w:tcW w:w="1081"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ind w:right="281"/>
              <w:jc w:val="both"/>
              <w:cnfStyle w:val="100000000000" w:firstRow="1"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b/>
                <w:bCs/>
                <w:color w:themeColor="background1" w:val="FFFFFF"/>
                <w:kern w:val="2"/>
                <w:sz w:val="18"/>
                <w:szCs w:val="18"/>
                <w:lang w:val="uk-UA" w:eastAsia="en-GB" w:bidi="ar-SA"/>
              </w:rPr>
              <w:t>2023</w:t>
            </w:r>
          </w:p>
        </w:tc>
        <w:tc>
          <w:tcPr>
            <w:tcW w:w="1620"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ind w:right="281"/>
              <w:jc w:val="both"/>
              <w:cnfStyle w:val="100000000000" w:firstRow="1"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b/>
                <w:bCs/>
                <w:color w:themeColor="background1" w:val="FFFFFF"/>
                <w:kern w:val="2"/>
                <w:sz w:val="18"/>
                <w:szCs w:val="18"/>
                <w:lang w:val="uk-UA" w:eastAsia="en-GB" w:bidi="ar-SA"/>
              </w:rPr>
              <w:t>2021 (жінки)</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Вінницька область</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28,5</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3,2</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24,5</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2,9</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Волинська область</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36,0</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2,9</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33,7</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2,5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Дніпропетровська область</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22,2</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11,4</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23,4</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9,4</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Житомирська область</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112,3</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20,5</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92,2</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3,3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Івано-Франківська область</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4,3</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2,2</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4,9</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2,4</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Київська область</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11,6</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4,8</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10,6</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4,7</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Кіровоградська область</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5,2</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2,2</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4,7</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2,7</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Львівська область</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8,3</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3,9</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8,5</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4,3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Миколаївська область</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22,8</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8,2</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22,1</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3,4</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Одеська область</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25,4</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12,8</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34,0</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4,4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Полтавська область</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12,7</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4,7</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10,8</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4,8</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Рівненська область</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6,5</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3,0</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6,9</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3,1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Сумська область</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17,7</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8,0</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17,0</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9,1</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Тернопільська область</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5,3</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2,8</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5,3</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2,8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Харківська область</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32,1</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5,4</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22,5</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4,5</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Хмельницька область</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22,6</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3,1</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16,8</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3,2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Черкаська область</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18,8</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13,8</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16,4</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13,8</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Чернігівська область</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22,6</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12,9</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23,0</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9,8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М. Київ</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19,8</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5,8</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18,0</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4,9</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Донецька і Луганська</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15,2</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4,2</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9,7</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3,1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Херсонська і Запорізька</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20,2</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7,2</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13,1</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7,9</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Закарпатська і Чернівецька</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4,7</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1,9</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4,7</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22"/>
                <w:lang w:val="uk-UA" w:eastAsia="en-GB" w:bidi="ar-SA"/>
              </w:rPr>
              <w:t>2,0</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lang w:val="uk-UA"/>
              </w:rPr>
            </w:pPr>
            <w:r>
              <w:rPr>
                <w:rFonts w:eastAsia="Calibri" w:cs="Calibri" w:cstheme="minorHAnsi"/>
                <w:b w:val="false"/>
                <w:bCs/>
                <w:kern w:val="2"/>
                <w:sz w:val="18"/>
                <w:szCs w:val="18"/>
                <w:lang w:val="uk-UA" w:eastAsia="en-GB" w:bidi="ar-SA"/>
              </w:rPr>
              <w:t>Загалом</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21,3</w:t>
            </w:r>
          </w:p>
        </w:tc>
        <w:tc>
          <w:tcPr>
            <w:tcW w:w="1530" w:type="dxa"/>
            <w:tcBorders/>
            <w:shd w:color="auto" w:fill="D9E2F3" w:themeFill="accent1" w:themeFillTint="33" w:val="clear"/>
          </w:tcPr>
          <w:p>
            <w:pPr>
              <w:pStyle w:val="Normal"/>
              <w:keepNext w:val="true"/>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18"/>
                <w:lang w:val="uk-UA" w:eastAsia="en-GB" w:bidi="ar-SA"/>
              </w:rPr>
              <w:t>6,7</w:t>
            </w:r>
          </w:p>
        </w:tc>
        <w:tc>
          <w:tcPr>
            <w:tcW w:w="1081" w:type="dxa"/>
            <w:tcBorders/>
            <w:shd w:color="auto" w:fill="D9E2F3" w:themeFill="accent1" w:themeFillTint="33" w:val="clear"/>
          </w:tcPr>
          <w:p>
            <w:pPr>
              <w:pStyle w:val="Normal"/>
              <w:keepNext w:val="true"/>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lang w:val="uk-UA"/>
              </w:rPr>
            </w:pPr>
            <w:r>
              <w:rPr>
                <w:rFonts w:eastAsia="Calibri" w:cs="Calibri" w:cstheme="minorHAnsi"/>
                <w:kern w:val="2"/>
                <w:sz w:val="18"/>
                <w:szCs w:val="18"/>
                <w:lang w:val="uk-UA" w:eastAsia="en-GB" w:bidi="ar-SA"/>
              </w:rPr>
              <w:t>19,4</w:t>
            </w:r>
          </w:p>
        </w:tc>
        <w:tc>
          <w:tcPr>
            <w:tcW w:w="1620" w:type="dxa"/>
            <w:tcBorders/>
            <w:shd w:color="auto" w:fill="D9E2F3" w:themeFill="accent1" w:themeFillTint="33" w:val="clear"/>
          </w:tcPr>
          <w:p>
            <w:pPr>
              <w:pStyle w:val="Normal"/>
              <w:keepNext w:val="true"/>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lang w:val="uk-UA"/>
              </w:rPr>
            </w:pPr>
            <w:r>
              <w:rPr>
                <w:rFonts w:eastAsia="Calibri" w:cs="Calibri" w:cstheme="minorHAnsi"/>
                <w:kern w:val="2"/>
                <w:sz w:val="18"/>
                <w:szCs w:val="18"/>
                <w:lang w:val="uk-UA" w:eastAsia="en-GB" w:bidi="ar-SA"/>
              </w:rPr>
              <w:t>5,0</w:t>
            </w:r>
          </w:p>
        </w:tc>
      </w:tr>
    </w:tbl>
    <w:p>
      <w:pPr>
        <w:pStyle w:val="Normal"/>
        <w:rPr>
          <w:b/>
          <w:bCs/>
          <w:lang w:val="uk-UA"/>
        </w:rPr>
      </w:pPr>
      <w:r>
        <w:rPr>
          <w:b/>
          <w:bCs/>
          <w:lang w:val="uk-UA"/>
        </w:rPr>
      </w:r>
    </w:p>
    <w:p>
      <w:pPr>
        <w:pStyle w:val="ListParagraph"/>
        <w:numPr>
          <w:ilvl w:val="0"/>
          <w:numId w:val="2"/>
        </w:numPr>
        <w:jc w:val="both"/>
        <w:rPr>
          <w:rFonts w:cs="Calibri" w:cstheme="minorHAnsi"/>
          <w:lang w:val="uk-UA"/>
        </w:rPr>
      </w:pPr>
      <w:r>
        <w:rPr>
          <w:rFonts w:eastAsia="Calibri" w:cs="Calibri" w:cstheme="minorHAnsi"/>
          <w:b/>
          <w:bCs/>
          <w:lang w:val="uk-UA"/>
        </w:rPr>
        <w:t xml:space="preserve">Діяльність більшості респондентів наприкінці 2023 року обмежувалася однією областю України (62,9%). </w:t>
      </w:r>
      <w:r>
        <w:rPr>
          <w:rFonts w:eastAsia="Calibri" w:cs="Calibri" w:cstheme="minorHAnsi"/>
          <w:lang w:val="uk-UA"/>
        </w:rPr>
        <w:t>23,3% підприємств здійснювали діяльність у декількох регіонах. Підприємства з кількістю працівників до 50 осіб переважно працювали в одному регіоні (68,6%). Серед підприємств із кількістю працівників понад 50 осіб 32,4% працювали в декількох регіонах, а 12,2% - як у декількох регіонах України, так і за кордоном. 67,5% підприємств, власницями яких є жінки, здійснювали діяльність в одному регіоні, порівняно з 59,5% підприємств, власниками яких є чоловіки.</w:t>
      </w:r>
    </w:p>
    <w:p>
      <w:pPr>
        <w:pStyle w:val="ListParagraph"/>
        <w:numPr>
          <w:ilvl w:val="0"/>
          <w:numId w:val="2"/>
        </w:numPr>
        <w:jc w:val="both"/>
        <w:rPr>
          <w:rFonts w:cs="Calibri" w:cstheme="minorHAnsi"/>
          <w:lang w:val="uk-UA"/>
        </w:rPr>
      </w:pPr>
      <w:r>
        <w:rPr>
          <w:rFonts w:eastAsia="Calibri" w:cs="Calibri" w:cstheme="minorHAnsi"/>
          <w:b/>
          <w:bCs/>
          <w:lang w:val="uk-UA"/>
        </w:rPr>
        <w:t xml:space="preserve">Чотири з п'яти підприємств повідомили, що здійснюють діяльність за місцем реєстрації на момент опитування </w:t>
      </w:r>
      <w:r>
        <w:rPr>
          <w:rFonts w:eastAsia="Calibri" w:cs="Calibri" w:cstheme="minorHAnsi"/>
          <w:lang w:val="uk-UA"/>
        </w:rPr>
        <w:t xml:space="preserve">(81,6%). Цей показник був найвищим серед підприємств Житомирської області (87,5%), а найнижчим - серед підприємств Донецької та Луганської областей (59,4%). Великі підприємства, які мали понад 50 працівників, працювали за місцем реєстрації частіше (98,4%), ніж підприємства без найманих працівників (77,6%). </w:t>
      </w:r>
    </w:p>
    <w:p>
      <w:pPr>
        <w:pStyle w:val="Heading3"/>
        <w:rPr>
          <w:rFonts w:eastAsia="Calibri"/>
          <w:lang w:val="uk-UA"/>
        </w:rPr>
      </w:pPr>
      <w:bookmarkStart w:id="13" w:name="_Toc185882875"/>
      <w:r>
        <w:rPr>
          <w:rFonts w:eastAsia="Calibri"/>
          <w:lang w:val="uk-UA"/>
        </w:rPr>
        <w:t>Вплив російського вторгнення</w:t>
      </w:r>
      <w:bookmarkEnd w:id="13"/>
    </w:p>
    <w:p>
      <w:pPr>
        <w:pStyle w:val="ListParagraph"/>
        <w:numPr>
          <w:ilvl w:val="0"/>
          <w:numId w:val="2"/>
        </w:numPr>
        <w:jc w:val="both"/>
        <w:rPr>
          <w:rFonts w:cs="Calibri" w:cstheme="minorHAnsi"/>
          <w:lang w:val="uk-UA"/>
        </w:rPr>
      </w:pPr>
      <w:r>
        <w:rPr>
          <w:rFonts w:eastAsia="Calibri" w:cs="Calibri" w:cstheme="minorHAnsi"/>
          <w:b/>
          <w:bCs/>
          <w:lang w:val="uk-UA"/>
        </w:rPr>
        <w:t>Лише 3,5% підприємств перереєстрували свій бізнес в іншому регіоні через вторгнення Росії в Україну, але близько 10% перенесли свій бізнес та/або працівників в інший регіон</w:t>
      </w:r>
      <w:r>
        <w:rPr>
          <w:rFonts w:eastAsia="Calibri" w:cs="Calibri" w:cstheme="minorHAnsi"/>
          <w:lang w:val="uk-UA"/>
        </w:rPr>
        <w:t>. У регіональному розрізі найвищі показники перереєстрації спостерігаються в Донецькій і Луганській областях (11,8%), Хмельницькій області (9,3%) та Київській області (8,3%). У таких областях, як Житомирська, Івано-Франківська, Кіровоградська та Чернігівська, рівень перереєстрації становить 0%. Кожне десяте підприємство перенесло свій бізнес та/ або працівників до іншого регіону з 2022 року. Майже половина підприємств Донецької та Луганської областей були змушені переїхати з 2022 року (45,7%), за ними йдуть 22,7% підприємств Харківської області. Інформаційно-телекомунікаційна галузь демонструє найвищі показники щодо переїзду (18,6% з 2022 року), тоді як сільське, лісове та рибне господарство мають найнижчі показники (5,4% з 2022 року).</w:t>
      </w:r>
    </w:p>
    <w:p>
      <w:pPr>
        <w:pStyle w:val="ListParagraph"/>
        <w:numPr>
          <w:ilvl w:val="0"/>
          <w:numId w:val="2"/>
        </w:numPr>
        <w:jc w:val="both"/>
        <w:rPr>
          <w:rFonts w:cs="Calibri" w:cstheme="minorHAnsi"/>
          <w:lang w:val="uk-UA"/>
        </w:rPr>
      </w:pPr>
      <w:r>
        <w:rPr>
          <w:rFonts w:eastAsia="Calibri" w:cs="Calibri" w:cstheme="minorHAnsi"/>
          <w:b/>
          <w:bCs/>
          <w:lang w:val="uk-UA"/>
        </w:rPr>
        <w:t>Більшість підприємств, які переїхали, планують повернутися на попереднє місце розташування, але не всі з них повернуть всю свою діяльність та працівників</w:t>
      </w:r>
      <w:r>
        <w:rPr>
          <w:rFonts w:eastAsia="Calibri" w:cs="Calibri" w:cstheme="minorHAnsi"/>
          <w:lang w:val="uk-UA"/>
        </w:rPr>
        <w:t xml:space="preserve">. Серед респондентів, які були змушені переїхати, 42,1% планують повністю повернути як діяльність, так і працівників, 5,0% планують повернути діяльність, але лише частково повернути працівників, а 11,1% мають намір частково повернути і те, і інше. 18,2% не планують повертатися, а 20,1% не визначилися з відповіддю. Розмір бізнесу суттєво впливає на плани: великі підприємства з кількістю працівників понад 50 осіб переважно планують повністю повернутися (65,4%), тоді як серед приватних підприємців таких лише 35%. </w:t>
      </w:r>
    </w:p>
    <w:p>
      <w:pPr>
        <w:pStyle w:val="Heading3"/>
        <w:rPr>
          <w:lang w:val="uk-UA"/>
        </w:rPr>
      </w:pPr>
      <w:bookmarkStart w:id="14" w:name="_Toc185882876"/>
      <w:r>
        <w:rPr>
          <w:lang w:val="uk-UA"/>
        </w:rPr>
        <w:t>Податковий облік</w:t>
      </w:r>
      <w:bookmarkEnd w:id="14"/>
    </w:p>
    <w:p>
      <w:pPr>
        <w:pStyle w:val="ListParagraph"/>
        <w:numPr>
          <w:ilvl w:val="0"/>
          <w:numId w:val="2"/>
        </w:numPr>
        <w:jc w:val="both"/>
        <w:rPr>
          <w:rFonts w:cs="Calibri" w:cstheme="minorHAnsi"/>
          <w:lang w:val="uk-UA"/>
        </w:rPr>
      </w:pPr>
      <w:r>
        <w:rPr>
          <w:b/>
          <w:lang w:val="uk-UA"/>
        </w:rPr>
        <w:t xml:space="preserve">Більшість українських підприємств сплачують єдиний соціальний внесок (80% </w:t>
      </w:r>
      <w:r>
        <w:rPr>
          <w:b/>
          <w:bCs/>
          <w:lang w:val="uk-UA"/>
        </w:rPr>
        <w:t xml:space="preserve">респондентів), єдиний податок </w:t>
      </w:r>
      <w:r>
        <w:rPr>
          <w:b/>
          <w:lang w:val="uk-UA"/>
        </w:rPr>
        <w:t xml:space="preserve">(77,4%), податок на доходи фізичних осіб (ПДФО) та військовий збір (59,4%). </w:t>
      </w:r>
      <w:r>
        <w:rPr>
          <w:rFonts w:eastAsia="Calibri" w:cs="Calibri" w:cstheme="minorHAnsi"/>
          <w:lang w:val="uk-UA"/>
        </w:rPr>
        <w:t>Підприємства також повідомили, що сплачували податок на прибуток підприємств (ППП, 23,3%), плату за землю (23%) та податок на додану вартість (ПДВ, 22,3%). Серед регіонів Київська область вирізняється високим відсотком підприємств, що сплачують ПДФО (70,7%) та ППП (33,9%). Кіровоградська область демонструє значну частку підприємств, що сплачують ППП (29,2%) та ПДВ (76,9%). На противагу цьому, такі регіони, як Волинська область, демонструють нижчу участь у більшості податкових категорій, за винятком єдиного податку (80,4%). Більші підприємства з кількістю працівників понад 50 осіб демонструють найвищі показники сплати за кількома податковими категоріями, включаючи ПДФО (100%), ПДВ (95,5%) та плату за землю (64,7%). Менші підприємства, особливо ті, що не мають найманих працівників, мають простіший податковий режим, сплачуючи єдиний податок (93,1%) та збір за місця для паркування транспортних засобів (7,8%).</w:t>
      </w:r>
    </w:p>
    <w:p>
      <w:pPr>
        <w:pStyle w:val="ListParagraph"/>
        <w:numPr>
          <w:ilvl w:val="0"/>
          <w:numId w:val="2"/>
        </w:numPr>
        <w:jc w:val="both"/>
        <w:rPr>
          <w:rFonts w:cs="Calibri" w:cstheme="minorHAnsi"/>
          <w:lang w:val="uk-UA"/>
        </w:rPr>
      </w:pPr>
      <w:r>
        <w:rPr>
          <w:rFonts w:eastAsia="Calibri" w:cs="Calibri" w:cstheme="minorHAnsi"/>
          <w:b/>
          <w:bCs/>
          <w:lang w:val="uk-UA"/>
        </w:rPr>
        <w:t>Підприємства повідомили про різноманітні види діяльності, пов'язані з податковим обліком.</w:t>
      </w:r>
      <w:r>
        <w:rPr>
          <w:rFonts w:eastAsia="Calibri" w:cs="Calibri" w:cstheme="minorHAnsi"/>
          <w:lang w:val="uk-UA"/>
        </w:rPr>
        <w:t xml:space="preserve"> Найпоширенішими видами діяльності з податкового обліку серед українських платників податків є "подання податкових документів" та "діловодство": 83,6% та 73% респондентів, відповідно, повідомили про виконання цих завдань (Рисунок 6). Податкові перевірки були менш поширеними, лише 11,8% респондентів повідомили про участь у них. Візити до податкових інспекцій з метою подання податкової звітності були ще менш поширеним явищем, про що повідомили 9% респондентів.</w:t>
      </w:r>
    </w:p>
    <w:p>
      <w:pPr>
        <w:pStyle w:val="Normal"/>
        <w:spacing w:before="120" w:after="120"/>
        <w:rPr>
          <w:rFonts w:eastAsia="Calibri" w:cs="Calibri" w:cstheme="minorHAnsi"/>
          <w:b/>
          <w:bCs/>
          <w:lang w:val="uk-UA"/>
        </w:rPr>
      </w:pPr>
      <w:r>
        <w:rPr>
          <w:rFonts w:eastAsia="Calibri" w:cs="Calibri" w:cstheme="minorHAnsi"/>
          <w:b/>
          <w:bCs/>
          <w:lang w:val="uk-UA"/>
        </w:rPr>
        <w:t>Рисунок 6. Види діяльності у 2023 році</w:t>
      </w:r>
    </w:p>
    <w:p>
      <w:pPr>
        <w:pStyle w:val="Normal"/>
        <w:spacing w:before="120" w:after="120"/>
        <w:rPr>
          <w:rFonts w:eastAsia="Calibri" w:cs="Calibri" w:cstheme="minorHAnsi"/>
          <w:b/>
          <w:bCs/>
          <w:lang w:val="uk-UA"/>
        </w:rPr>
      </w:pPr>
      <w:r>
        <w:rPr/>
        <mc:AlternateContent>
          <mc:Choice Requires="wps">
            <w:drawing>
              <wp:anchor behindDoc="0" distT="0" distB="0" distL="0" distR="0" simplePos="0" locked="0" layoutInCell="1" allowOverlap="1" relativeHeight="33" wp14:anchorId="62B3D14D">
                <wp:simplePos x="0" y="0"/>
                <wp:positionH relativeFrom="column">
                  <wp:posOffset>-363855</wp:posOffset>
                </wp:positionH>
                <wp:positionV relativeFrom="paragraph">
                  <wp:posOffset>107950</wp:posOffset>
                </wp:positionV>
                <wp:extent cx="1818640" cy="2325370"/>
                <wp:effectExtent l="0" t="0" r="0" b="0"/>
                <wp:wrapNone/>
                <wp:docPr id="19" name="Text Box 2"/>
                <a:graphic xmlns:a="http://schemas.openxmlformats.org/drawingml/2006/main">
                  <a:graphicData uri="http://schemas.microsoft.com/office/word/2010/wordprocessingShape">
                    <wps:wsp>
                      <wps:cNvSpPr/>
                      <wps:spPr>
                        <a:xfrm>
                          <a:off x="0" y="0"/>
                          <a:ext cx="1818720" cy="2325240"/>
                        </a:xfrm>
                        <a:prstGeom prst="rect">
                          <a:avLst/>
                        </a:prstGeom>
                        <a:solidFill>
                          <a:srgbClr val="ffffff"/>
                        </a:solidFill>
                        <a:ln w="9525">
                          <a:noFill/>
                        </a:ln>
                      </wps:spPr>
                      <wps:style>
                        <a:lnRef idx="0"/>
                        <a:fillRef idx="0"/>
                        <a:effectRef idx="0"/>
                        <a:fontRef idx="minor"/>
                      </wps:style>
                      <wps:txbx>
                        <w:txbxContent>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Подання податкових документів</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Час, необхідний для електронного банкінгу</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Діловодство</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Інша діяльність, пов'язана з оподаткуванням</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Поїздки до податкової інспекції</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 xml:space="preserve">Податкові перевірки </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Візити для подання податкової звітності</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Поїздки до банку, щоб сплатити податки</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Не знаю</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Відмовились надати відповідь</w:t>
                            </w:r>
                          </w:p>
                          <w:p>
                            <w:pPr>
                              <w:pStyle w:val="Style27"/>
                              <w:spacing w:before="0" w:after="120"/>
                              <w:jc w:val="right"/>
                              <w:rPr>
                                <w:sz w:val="14"/>
                                <w:szCs w:val="14"/>
                                <w:lang w:val="uk-UA"/>
                              </w:rPr>
                            </w:pPr>
                            <w:r>
                              <w:rPr/>
                            </w:r>
                          </w:p>
                        </w:txbxContent>
                      </wps:txbx>
                      <wps:bodyPr anchor="t">
                        <a:noAutofit/>
                      </wps:bodyPr>
                    </wps:wsp>
                  </a:graphicData>
                </a:graphic>
              </wp:anchor>
            </w:drawing>
          </mc:Choice>
          <mc:Fallback>
            <w:pict>
              <v:rect id="shape_0" ID="Text Box 2" path="m0,0l-2147483645,0l-2147483645,-2147483646l0,-2147483646xe" fillcolor="white" stroked="f" o:allowincell="f" style="position:absolute;margin-left:-28.65pt;margin-top:8.5pt;width:143.15pt;height:183.05pt;mso-wrap-style:square;v-text-anchor:top" wp14:anchorId="62B3D14D">
                <v:fill o:detectmouseclick="t" type="solid" color2="black"/>
                <v:stroke color="#3465a4" weight="9360" joinstyle="miter" endcap="flat"/>
                <v:textbox>
                  <w:txbxContent>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Подання податкових документів</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Час, необхідний для електронного банкінгу</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Діловодство</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Інша діяльність, пов'язана з оподаткуванням</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Поїздки до податкової інспекції</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 xml:space="preserve">Податкові перевірки </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Візити для подання податкової звітності</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Поїздки до банку, щоб сплатити податки</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Не знаю</w:t>
                      </w:r>
                    </w:p>
                    <w:p>
                      <w:pPr>
                        <w:pStyle w:val="Style27"/>
                        <w:spacing w:before="0" w:after="120"/>
                        <w:jc w:val="right"/>
                        <w:rPr>
                          <w:rFonts w:ascii="Arial" w:hAnsi="Arial" w:eastAsia="Arial" w:cs="Arial"/>
                          <w:color w:val="2D2D2E"/>
                          <w:kern w:val="2"/>
                          <w:sz w:val="14"/>
                          <w:szCs w:val="14"/>
                          <w:lang w:val="uk-UA"/>
                          <w14:ligatures w14:val="standardContextual"/>
                        </w:rPr>
                      </w:pPr>
                      <w:r>
                        <w:rPr>
                          <w:rFonts w:eastAsia="Arial" w:cs="Arial" w:ascii="Arial" w:hAnsi="Arial"/>
                          <w:color w:val="2D2D2E"/>
                          <w:kern w:val="2"/>
                          <w:sz w:val="14"/>
                          <w:szCs w:val="14"/>
                          <w:lang w:val="uk-UA"/>
                          <w14:ligatures w14:val="standardContextual"/>
                        </w:rPr>
                        <w:t>Відмовились надати відповідь</w:t>
                      </w:r>
                    </w:p>
                    <w:p>
                      <w:pPr>
                        <w:pStyle w:val="Style27"/>
                        <w:spacing w:before="0" w:after="120"/>
                        <w:jc w:val="right"/>
                        <w:rPr>
                          <w:sz w:val="14"/>
                          <w:szCs w:val="14"/>
                          <w:lang w:val="uk-UA"/>
                        </w:rPr>
                      </w:pPr>
                      <w:r>
                        <w:rPr/>
                      </w:r>
                    </w:p>
                  </w:txbxContent>
                </v:textbox>
                <w10:wrap type="none"/>
              </v:rect>
            </w:pict>
          </mc:Fallback>
        </mc:AlternateContent>
        <w:drawing>
          <wp:inline distT="0" distB="0" distL="0" distR="0">
            <wp:extent cx="6062345" cy="2671445"/>
            <wp:effectExtent l="0" t="0" r="0" b="0"/>
            <wp:docPr id="20"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
                    <pic:cNvPicPr>
                      <a:picLocks noChangeAspect="1" noChangeArrowheads="1"/>
                    </pic:cNvPicPr>
                  </pic:nvPicPr>
                  <pic:blipFill>
                    <a:blip r:embed="rId11"/>
                    <a:stretch>
                      <a:fillRect/>
                    </a:stretch>
                  </pic:blipFill>
                  <pic:spPr bwMode="auto">
                    <a:xfrm>
                      <a:off x="0" y="0"/>
                      <a:ext cx="6062345" cy="2671445"/>
                    </a:xfrm>
                    <a:prstGeom prst="rect">
                      <a:avLst/>
                    </a:prstGeom>
                  </pic:spPr>
                </pic:pic>
              </a:graphicData>
            </a:graphic>
          </wp:inline>
        </w:drawing>
      </w:r>
    </w:p>
    <w:p>
      <w:pPr>
        <w:pStyle w:val="ListParagraph"/>
        <w:numPr>
          <w:ilvl w:val="0"/>
          <w:numId w:val="2"/>
        </w:numPr>
        <w:jc w:val="both"/>
        <w:rPr>
          <w:rFonts w:cs="Calibri" w:cstheme="minorHAnsi"/>
          <w:lang w:val="uk-UA"/>
        </w:rPr>
      </w:pPr>
      <w:r>
        <w:rPr>
          <w:rFonts w:eastAsia="Calibri" w:cs="Calibri" w:cstheme="minorHAnsi"/>
          <w:b/>
          <w:bCs/>
          <w:lang w:val="uk-UA"/>
        </w:rPr>
        <w:t>Найпоширенішим підходом до ведення бухгалтерського та податкового обліку у 2023 році було особисте ведення бухгалтерії власниками або керівниками підприємств, про що повідомили 63,6% респондентів</w:t>
      </w:r>
      <w:r>
        <w:rPr>
          <w:rFonts w:eastAsia="Calibri" w:cs="Calibri" w:cstheme="minorHAnsi"/>
          <w:lang w:val="uk-UA"/>
        </w:rPr>
        <w:t xml:space="preserve">. Серед підприємств без найманих працівників 87,9% власників або керівників вели бухгалтерський облік особисто, тоді як серед підприємств з кількістю працівників до 50 осіб таких було лише 32,8% (Таблиця 3). На великих підприємствах з кількістю працівників понад 50 осіб цей показник знизився до 0%, оскільки для виконання цих завдань вони покладаються на своїх фахових співробітників. Юридичні особи здебільшого покладаються на власних співробітників (69,6%), зовнішніх спеціалістів (12,7%) або на поєднання внутрішніх і зовнішніх послуг (11,1%). Підприємства повідомили, що більшість персоналу, відповідального за бухгалтерський і податковий облік, - жінки (Рисунок 7). </w:t>
      </w:r>
    </w:p>
    <w:p>
      <w:pPr>
        <w:pStyle w:val="Normal"/>
        <w:spacing w:before="120" w:after="120"/>
        <w:rPr>
          <w:b/>
          <w:bCs/>
          <w:lang w:val="uk-UA"/>
        </w:rPr>
      </w:pPr>
      <w:r>
        <w:rPr>
          <w:b/>
          <w:bCs/>
          <w:lang w:val="uk-UA"/>
        </w:rPr>
        <w:t>Таблиця 3. Хто відповідав за бухгалтерський та податковий облік у 2023 році</w:t>
      </w:r>
    </w:p>
    <w:tbl>
      <w:tblPr>
        <w:tblStyle w:val="GridTable4Accent1"/>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93"/>
        <w:gridCol w:w="1477"/>
        <w:gridCol w:w="1206"/>
        <w:gridCol w:w="1206"/>
        <w:gridCol w:w="868"/>
      </w:tblGrid>
      <w:tr>
        <w:trPr>
          <w:tblHeader w:val="true"/>
          <w:trHeight w:val="300" w:hRule="atLeast"/>
          <w:cnfStyle w:val="100000000000" w:firstRow="1" w:lastRow="0" w:firstColumn="0" w:lastColumn="0" w:oddVBand="0" w:evenVBand="0" w:oddHBand="0"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000000"/>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bCs/>
                <w:color w:themeColor="background1" w:val="FFFFFF"/>
                <w:kern w:val="2"/>
                <w:sz w:val="18"/>
                <w:szCs w:val="18"/>
                <w:lang w:val="uk-UA" w:eastAsia="en-GB" w:bidi="ar-SA"/>
              </w:rPr>
            </w:r>
          </w:p>
        </w:tc>
        <w:tc>
          <w:tcPr>
            <w:tcW w:w="1477" w:type="dxa"/>
            <w:tcBorders>
              <w:top w:val="single" w:sz="4" w:space="0" w:color="549E39"/>
              <w:left w:val="single" w:sz="4" w:space="0" w:color="549E39"/>
              <w:bottom w:val="single" w:sz="4" w:space="0" w:color="000000"/>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b/>
                <w:bCs/>
                <w:color w:themeColor="background1" w:val="FFFFFF"/>
                <w:kern w:val="2"/>
                <w:sz w:val="18"/>
                <w:szCs w:val="18"/>
                <w:lang w:val="uk-UA" w:eastAsia="en-GB" w:bidi="ar-SA"/>
              </w:rPr>
              <w:t>Без найманих працівників</w:t>
            </w:r>
          </w:p>
        </w:tc>
        <w:tc>
          <w:tcPr>
            <w:tcW w:w="1206" w:type="dxa"/>
            <w:tcBorders>
              <w:top w:val="single" w:sz="4" w:space="0" w:color="549E39"/>
              <w:left w:val="single" w:sz="4" w:space="0" w:color="549E39"/>
              <w:bottom w:val="single" w:sz="4" w:space="0" w:color="000000"/>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b/>
                <w:bCs/>
                <w:color w:themeColor="background1" w:val="FFFFFF"/>
                <w:kern w:val="2"/>
                <w:sz w:val="18"/>
                <w:szCs w:val="18"/>
                <w:lang w:val="uk-UA" w:eastAsia="en-GB" w:bidi="ar-SA"/>
              </w:rPr>
              <w:t>до 50 працівників</w:t>
            </w:r>
          </w:p>
        </w:tc>
        <w:tc>
          <w:tcPr>
            <w:tcW w:w="1206" w:type="dxa"/>
            <w:tcBorders>
              <w:top w:val="single" w:sz="4" w:space="0" w:color="549E39"/>
              <w:left w:val="single" w:sz="4" w:space="0" w:color="549E39"/>
              <w:bottom w:val="single" w:sz="4" w:space="0" w:color="000000"/>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b/>
                <w:bCs/>
                <w:color w:themeColor="background1" w:val="FFFFFF"/>
                <w:kern w:val="2"/>
                <w:sz w:val="18"/>
                <w:szCs w:val="18"/>
                <w:lang w:val="uk-UA" w:eastAsia="en-GB" w:bidi="ar-SA"/>
              </w:rPr>
              <w:t>Понад 50 працівників</w:t>
            </w:r>
          </w:p>
        </w:tc>
        <w:tc>
          <w:tcPr>
            <w:tcW w:w="868" w:type="dxa"/>
            <w:tcBorders>
              <w:top w:val="single" w:sz="4" w:space="0" w:color="549E39"/>
              <w:left w:val="single" w:sz="4" w:space="0" w:color="549E39"/>
              <w:bottom w:val="single" w:sz="4" w:space="0" w:color="000000"/>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b/>
                <w:bCs/>
                <w:color w:themeColor="background1" w:val="FFFFFF"/>
                <w:kern w:val="2"/>
                <w:sz w:val="18"/>
                <w:szCs w:val="18"/>
                <w:lang w:val="uk-UA" w:eastAsia="en-GB" w:bidi="ar-SA"/>
              </w:rPr>
              <w:t>Загалом</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9350" w:type="dxa"/>
            <w:gridSpan w:val="5"/>
            <w:cnfStyle w:val="001000000000" w:firstRow="0" w:lastRow="0" w:firstColumn="1" w:lastColumn="0" w:oddVBand="0" w:evenVBand="0" w:oddHBand="0" w:evenHBand="0" w:firstRowFirstColumn="0" w:firstRowLastColumn="0" w:lastRowFirstColumn="0" w:lastRowLastColumn="0"/>
            <w:tcBorders>
              <w:top w:val="single" w:sz="4" w:space="0" w:color="000000"/>
            </w:tcBorders>
            <w:shd w:color="auto" w:fill="4472C4" w:themeFill="accent1" w:val="clear"/>
          </w:tcPr>
          <w:p>
            <w:pPr>
              <w:pStyle w:val="Normal"/>
              <w:widowControl/>
              <w:spacing w:lineRule="auto" w:line="240" w:before="0" w:after="0"/>
              <w:jc w:val="center"/>
              <w:rPr>
                <w:rFonts w:ascii="Calibri" w:hAnsi="Calibri" w:cs="Calibri" w:asciiTheme="minorHAnsi" w:cstheme="minorHAnsi" w:hAnsiTheme="minorHAnsi"/>
                <w:color w:themeColor="background1" w:val="FFFFFF"/>
                <w:szCs w:val="18"/>
                <w:lang w:val="uk-UA"/>
              </w:rPr>
            </w:pPr>
            <w:r>
              <w:rPr>
                <w:rFonts w:eastAsia="SimSun" w:cs="Calibri" w:cstheme="minorHAnsi"/>
                <w:b/>
                <w:bCs w:val="false"/>
                <w:color w:themeColor="background1" w:val="FFFFFF"/>
                <w:kern w:val="2"/>
                <w:sz w:val="18"/>
                <w:szCs w:val="18"/>
                <w:lang w:val="uk-UA" w:eastAsia="en-GB" w:bidi="ar-SA"/>
              </w:rPr>
              <w:t>На загальнодержавному рівні</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Тільки власні співробітники</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0,1</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43,6</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93,2</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18,7</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ФОП (особисто)</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87,9</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32,8</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65,1</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Лише зовнішні спеціалісти/ аутсорсингова компанія</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7</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10,2</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Як власні співробітники, так і зовнішні спеціалісти/ аутсорсингові компанії</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1,6</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8,5</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6,8</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4,3</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Не потрібно вести бухгалтерський облік відповідно до обраної системи оподаткування</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2,4</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2</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2,2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Не знає</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0,4</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0,7</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0,5</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Відмовився відповідати</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0,5</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2,2</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Всього</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100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100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100</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100</w:t>
            </w:r>
          </w:p>
        </w:tc>
      </w:tr>
      <w:tr>
        <w:trPr>
          <w:trHeight w:val="300" w:hRule="exac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9350" w:type="dxa"/>
            <w:gridSpan w:val="5"/>
            <w:cnfStyle w:val="001000000000" w:firstRow="0" w:lastRow="0" w:firstColumn="1" w:lastColumn="0" w:oddVBand="0" w:evenVBand="0" w:oddHBand="0" w:evenHBand="0" w:firstRowFirstColumn="0" w:firstRowLastColumn="0" w:lastRowFirstColumn="0" w:lastRowLastColumn="0"/>
            <w:tcBorders/>
            <w:shd w:color="auto" w:fill="4472C4" w:themeFill="accent1" w:val="clear"/>
          </w:tcPr>
          <w:p>
            <w:pPr>
              <w:pStyle w:val="Normal"/>
              <w:widowControl/>
              <w:spacing w:lineRule="auto" w:line="240" w:before="0" w:after="0"/>
              <w:jc w:val="center"/>
              <w:rPr>
                <w:rFonts w:ascii="Calibri" w:hAnsi="Calibri" w:cs="Calibri" w:asciiTheme="minorHAnsi" w:cstheme="minorHAnsi" w:hAnsiTheme="minorHAnsi"/>
                <w:b/>
                <w:bCs w:val="false"/>
                <w:color w:themeColor="background1" w:val="FFFFFF"/>
                <w:szCs w:val="18"/>
                <w:lang w:val="uk-UA"/>
              </w:rPr>
            </w:pPr>
            <w:r>
              <w:rPr>
                <w:rFonts w:eastAsia="SimSun" w:cs="Calibri" w:cstheme="minorHAnsi"/>
                <w:b/>
                <w:bCs w:val="false"/>
                <w:color w:themeColor="background1" w:val="FFFFFF"/>
                <w:kern w:val="2"/>
                <w:sz w:val="18"/>
                <w:szCs w:val="18"/>
                <w:lang w:val="uk-UA" w:eastAsia="en-GB" w:bidi="ar-SA"/>
              </w:rPr>
              <w:t>Якщо суб’єкт господарювання - фізична особа-підприємець</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Тільки власні співробітники</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7,11</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sz w:val="18"/>
                <w:lang w:eastAsia="en-GB" w:bidi="ar-SA"/>
              </w:rPr>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1,46</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ФОП (особисто)</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88,09</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78,51</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sz w:val="18"/>
                <w:lang w:eastAsia="en-GB" w:bidi="ar-SA"/>
              </w:rPr>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86,12</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Лише зовнішні спеціалісти/ аутсорсингова компанія</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6,95</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8,41</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sz w:val="18"/>
                <w:lang w:eastAsia="en-GB" w:bidi="ar-SA"/>
              </w:rPr>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7,25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Як власні співробітники, так і зовнішні спеціалісти/ аутсорсингові компанії</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1,57</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3,37</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sz w:val="18"/>
                <w:lang w:eastAsia="en-GB" w:bidi="ar-SA"/>
              </w:rPr>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1,94</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Не потрібно вести бухгалтерський облік відповідно до обраної системи оподаткування</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2,44</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2,38</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sz w:val="18"/>
                <w:lang w:eastAsia="en-GB" w:bidi="ar-SA"/>
              </w:rPr>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2,43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Не знає</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0,44</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sz w:val="18"/>
                <w:lang w:eastAsia="en-GB" w:bidi="ar-SA"/>
              </w:rPr>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0,35</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Відмовився відповідати</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0,51</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0,23</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sz w:val="18"/>
                <w:lang w:eastAsia="en-GB" w:bidi="ar-SA"/>
              </w:rPr>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0,45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Всього</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100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100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100</w:t>
            </w:r>
          </w:p>
        </w:tc>
      </w:tr>
      <w:tr>
        <w:trPr>
          <w:trHeight w:val="300" w:hRule="exac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r>
          </w:p>
        </w:tc>
      </w:tr>
      <w:tr>
        <w:trPr>
          <w:trHeight w:val="359" w:hRule="atLeast"/>
          <w:cnfStyle w:val="000000100000" w:firstRow="0" w:lastRow="0" w:firstColumn="0" w:lastColumn="0" w:oddVBand="0" w:evenVBand="0" w:oddHBand="1" w:evenHBand="0" w:firstRowFirstColumn="0" w:firstRowLastColumn="0" w:lastRowFirstColumn="0" w:lastRowLastColumn="0"/>
        </w:trPr>
        <w:tc>
          <w:tcPr>
            <w:tcW w:w="9350" w:type="dxa"/>
            <w:gridSpan w:val="5"/>
            <w:cnfStyle w:val="001000000000" w:firstRow="0" w:lastRow="0" w:firstColumn="1" w:lastColumn="0" w:oddVBand="0" w:evenVBand="0" w:oddHBand="0" w:evenHBand="0" w:firstRowFirstColumn="0" w:firstRowLastColumn="0" w:lastRowFirstColumn="0" w:lastRowLastColumn="0"/>
            <w:tcBorders/>
            <w:shd w:color="auto" w:fill="4472C4" w:themeFill="accent1" w:val="clear"/>
          </w:tcPr>
          <w:p>
            <w:pPr>
              <w:pStyle w:val="Normal"/>
              <w:widowControl/>
              <w:spacing w:lineRule="auto" w:line="240" w:before="0" w:after="0"/>
              <w:jc w:val="center"/>
              <w:rPr>
                <w:rFonts w:ascii="Calibri" w:hAnsi="Calibri" w:cs="Calibri" w:asciiTheme="minorHAnsi" w:cstheme="minorHAnsi" w:hAnsiTheme="minorHAnsi"/>
                <w:color w:themeColor="background1" w:val="FFFFFF"/>
                <w:szCs w:val="18"/>
                <w:lang w:val="uk-UA"/>
              </w:rPr>
            </w:pPr>
            <w:r>
              <w:rPr>
                <w:rFonts w:eastAsia="SimSun" w:cs="Calibri" w:cstheme="minorHAnsi"/>
                <w:b/>
                <w:bCs w:val="false"/>
                <w:color w:themeColor="background1" w:val="FFFFFF"/>
                <w:kern w:val="2"/>
                <w:sz w:val="18"/>
                <w:szCs w:val="18"/>
                <w:lang w:val="uk-UA" w:eastAsia="en-GB" w:bidi="ar-SA"/>
              </w:rPr>
              <w:t>Якщо суб’єкт господарювання - юридична особа</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Тільки власні співробітники</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31,62</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69,81</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93,15</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72,15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8482" w:type="dxa"/>
            <w:gridSpan w:val="4"/>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ФОП (особисто)</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sz w:val="18"/>
                <w:lang w:eastAsia="en-GB" w:bidi="ar-SA"/>
              </w:rPr>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Лише зовнішні спеціалісти/ аутсорсингова компанія</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68,38</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11,5</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10,5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Як власні співробітники, так і зовнішні спеціалісти/ аутсорсингові компанії</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12,12</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6,85</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11,51</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Не потрібно вести бухгалтерський облік відповідно до обраної системи оподаткування</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1,66</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1,47</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Не знає</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1,25</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1,11</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Відмовився відповідати</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3,67</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0</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3,26</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Всього</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100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100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100</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kern w:val="2"/>
                <w:sz w:val="18"/>
                <w:szCs w:val="18"/>
                <w:lang w:val="uk-UA" w:eastAsia="en-GB" w:bidi="ar-SA"/>
              </w:rPr>
              <w:t>100</w:t>
            </w:r>
          </w:p>
        </w:tc>
      </w:tr>
    </w:tbl>
    <w:p>
      <w:pPr>
        <w:pStyle w:val="Normal"/>
        <w:rPr>
          <w:b/>
          <w:bCs/>
          <w:lang w:val="uk-UA"/>
        </w:rPr>
      </w:pPr>
      <w:r>
        <w:rPr>
          <w:b/>
          <w:bCs/>
          <w:lang w:val="uk-UA"/>
        </w:rPr>
      </w:r>
    </w:p>
    <w:p>
      <w:pPr>
        <w:pStyle w:val="Normal"/>
        <w:rPr>
          <w:b/>
          <w:bCs/>
          <w:lang w:val="uk-UA"/>
        </w:rPr>
      </w:pPr>
      <w:r>
        <w:rPr>
          <w:b/>
          <w:bCs/>
          <w:lang w:val="uk-UA"/>
        </w:rPr>
        <w:t>Рисунок 7. Скільки загалом у вас працівників, які відповідали за ведення бухгалтерського та/ або податкового обліку на вашому підприємстві у 2023 році?</w:t>
      </w:r>
    </w:p>
    <w:p>
      <w:pPr>
        <w:pStyle w:val="Normal"/>
        <w:rPr>
          <w:b/>
          <w:bCs/>
          <w:lang w:val="uk-UA"/>
        </w:rPr>
      </w:pPr>
      <w:r>
        <w:rPr/>
        <mc:AlternateContent>
          <mc:Choice Requires="wps">
            <w:drawing>
              <wp:anchor behindDoc="0" distT="0" distB="8890" distL="0" distR="5080" simplePos="0" locked="0" layoutInCell="1" allowOverlap="1" relativeHeight="35" wp14:anchorId="38D1B079">
                <wp:simplePos x="0" y="0"/>
                <wp:positionH relativeFrom="column">
                  <wp:posOffset>47625</wp:posOffset>
                </wp:positionH>
                <wp:positionV relativeFrom="paragraph">
                  <wp:posOffset>1497330</wp:posOffset>
                </wp:positionV>
                <wp:extent cx="5709285" cy="866775"/>
                <wp:effectExtent l="635" t="635" r="0" b="0"/>
                <wp:wrapNone/>
                <wp:docPr id="21" name="Text Box 2"/>
                <a:graphic xmlns:a="http://schemas.openxmlformats.org/drawingml/2006/main">
                  <a:graphicData uri="http://schemas.microsoft.com/office/word/2010/wordprocessingShape">
                    <wps:wsp>
                      <wps:cNvSpPr/>
                      <wps:spPr>
                        <a:xfrm>
                          <a:off x="0" y="0"/>
                          <a:ext cx="5709240" cy="866880"/>
                        </a:xfrm>
                        <a:prstGeom prst="rect">
                          <a:avLst/>
                        </a:prstGeom>
                        <a:solidFill>
                          <a:srgbClr val="ffffff"/>
                        </a:solidFill>
                        <a:ln w="9525">
                          <a:noFill/>
                        </a:ln>
                      </wps:spPr>
                      <wps:style>
                        <a:lnRef idx="0"/>
                        <a:fillRef idx="0"/>
                        <a:effectRef idx="0"/>
                        <a:fontRef idx="minor"/>
                      </wps:style>
                      <wps:txbx>
                        <w:txbxContent>
                          <w:tbl>
                            <w:tblPr>
                              <w:tblW w:w="8472" w:type="dxa"/>
                              <w:jc w:val="left"/>
                              <w:tblInd w:w="0" w:type="dxa"/>
                              <w:tblLayout w:type="fixed"/>
                              <w:tblCellMar>
                                <w:top w:w="0" w:type="dxa"/>
                                <w:left w:w="10" w:type="dxa"/>
                                <w:bottom w:w="0" w:type="dxa"/>
                                <w:right w:w="10" w:type="dxa"/>
                              </w:tblCellMar>
                              <w:tblLook w:firstRow="1" w:noVBand="1" w:lastRow="0" w:firstColumn="1" w:lastColumn="0" w:noHBand="0" w:val="04a0"/>
                            </w:tblPr>
                            <w:tblGrid>
                              <w:gridCol w:w="1625"/>
                              <w:gridCol w:w="1555"/>
                              <w:gridCol w:w="1420"/>
                              <w:gridCol w:w="1211"/>
                              <w:gridCol w:w="1498"/>
                              <w:gridCol w:w="1162"/>
                            </w:tblGrid>
                            <w:tr>
                              <w:trPr>
                                <w:trHeight w:val="1938" w:hRule="exact"/>
                              </w:trPr>
                              <w:tc>
                                <w:tcPr>
                                  <w:tcW w:w="1625" w:type="dxa"/>
                                  <w:tcBorders/>
                                  <w:shd w:color="auto" w:fill="auto" w:val="clear"/>
                                </w:tcPr>
                                <w:p>
                                  <w:pPr>
                                    <w:pStyle w:val="Style26"/>
                                    <w:spacing w:lineRule="auto" w:line="307" w:before="0" w:after="0"/>
                                    <w:jc w:val="center"/>
                                    <w:rPr>
                                      <w:sz w:val="14"/>
                                      <w:szCs w:val="14"/>
                                      <w:lang w:val="uk-UA"/>
                                    </w:rPr>
                                  </w:pPr>
                                  <w:r>
                                    <w:rPr>
                                      <w:rFonts w:eastAsia="Arial" w:cs="Arial" w:ascii="Arial" w:hAnsi="Arial"/>
                                      <w:sz w:val="14"/>
                                      <w:szCs w:val="14"/>
                                      <w:lang w:val="uk-UA"/>
                                    </w:rPr>
                                    <w:t>Загальна кількість працівників, відповідальних за ведення бухгалтерського та/ або податкового обліку</w:t>
                                  </w:r>
                                </w:p>
                              </w:tc>
                              <w:tc>
                                <w:tcPr>
                                  <w:tcW w:w="1555" w:type="dxa"/>
                                  <w:tcBorders/>
                                  <w:shd w:color="auto" w:fill="auto" w:val="clear"/>
                                </w:tcPr>
                                <w:p>
                                  <w:pPr>
                                    <w:pStyle w:val="Style26"/>
                                    <w:spacing w:lineRule="auto" w:line="307" w:before="0" w:after="0"/>
                                    <w:jc w:val="center"/>
                                    <w:rPr>
                                      <w:sz w:val="14"/>
                                      <w:szCs w:val="14"/>
                                      <w:lang w:val="uk-UA"/>
                                    </w:rPr>
                                  </w:pPr>
                                  <w:r>
                                    <w:rPr>
                                      <w:rFonts w:eastAsia="Arial" w:cs="Arial" w:ascii="Arial" w:hAnsi="Arial"/>
                                      <w:sz w:val="14"/>
                                      <w:szCs w:val="14"/>
                                      <w:lang w:val="uk-UA"/>
                                    </w:rPr>
                                    <w:t>Кількість жінок, відповідальних  за ведення бухгалтерського та/ або податкового обліку</w:t>
                                  </w:r>
                                </w:p>
                              </w:tc>
                              <w:tc>
                                <w:tcPr>
                                  <w:tcW w:w="1420" w:type="dxa"/>
                                  <w:tcBorders/>
                                  <w:shd w:color="auto" w:fill="auto" w:val="clear"/>
                                </w:tcPr>
                                <w:p>
                                  <w:pPr>
                                    <w:pStyle w:val="Style26"/>
                                    <w:spacing w:lineRule="auto" w:line="304" w:before="0" w:after="0"/>
                                    <w:jc w:val="center"/>
                                    <w:rPr>
                                      <w:sz w:val="14"/>
                                      <w:szCs w:val="14"/>
                                      <w:lang w:val="uk-UA"/>
                                    </w:rPr>
                                  </w:pPr>
                                  <w:r>
                                    <w:rPr>
                                      <w:rFonts w:eastAsia="Arial" w:cs="Arial" w:ascii="Arial" w:hAnsi="Arial"/>
                                      <w:sz w:val="14"/>
                                      <w:szCs w:val="14"/>
                                      <w:lang w:val="uk-UA"/>
                                    </w:rPr>
                                    <w:t>Загальна кількість працівників, відповідальних за ведення бухгалтерського обліку</w:t>
                                  </w:r>
                                </w:p>
                              </w:tc>
                              <w:tc>
                                <w:tcPr>
                                  <w:tcW w:w="1211" w:type="dxa"/>
                                  <w:tcBorders/>
                                  <w:shd w:color="auto" w:fill="auto" w:val="clear"/>
                                </w:tcPr>
                                <w:p>
                                  <w:pPr>
                                    <w:pStyle w:val="Style26"/>
                                    <w:spacing w:lineRule="auto" w:line="307" w:before="0" w:after="0"/>
                                    <w:jc w:val="center"/>
                                    <w:rPr>
                                      <w:rFonts w:ascii="Arial" w:hAnsi="Arial" w:eastAsia="Arial" w:cs="Arial"/>
                                      <w:sz w:val="14"/>
                                      <w:szCs w:val="14"/>
                                      <w:lang w:val="uk-UA"/>
                                    </w:rPr>
                                  </w:pPr>
                                  <w:r>
                                    <w:rPr>
                                      <w:rFonts w:eastAsia="Arial" w:cs="Arial" w:ascii="Arial" w:hAnsi="Arial"/>
                                      <w:sz w:val="14"/>
                                      <w:szCs w:val="14"/>
                                      <w:lang w:val="uk-UA"/>
                                    </w:rPr>
                                    <w:t>Кількість жінок, відповідальних за ведення бухгалтерського обліку</w:t>
                                  </w:r>
                                </w:p>
                              </w:tc>
                              <w:tc>
                                <w:tcPr>
                                  <w:tcW w:w="1498" w:type="dxa"/>
                                  <w:tcBorders/>
                                  <w:shd w:color="auto" w:fill="auto" w:val="clear"/>
                                </w:tcPr>
                                <w:p>
                                  <w:pPr>
                                    <w:pStyle w:val="Style26"/>
                                    <w:spacing w:lineRule="auto" w:line="307" w:before="0" w:after="0"/>
                                    <w:jc w:val="center"/>
                                    <w:rPr>
                                      <w:rFonts w:ascii="Arial" w:hAnsi="Arial" w:eastAsia="Arial" w:cs="Arial"/>
                                      <w:sz w:val="14"/>
                                      <w:szCs w:val="14"/>
                                      <w:lang w:val="uk-UA"/>
                                    </w:rPr>
                                  </w:pPr>
                                  <w:r>
                                    <w:rPr>
                                      <w:rFonts w:eastAsia="Arial" w:cs="Arial" w:ascii="Arial" w:hAnsi="Arial"/>
                                      <w:sz w:val="14"/>
                                      <w:szCs w:val="14"/>
                                      <w:lang w:val="uk-UA"/>
                                    </w:rPr>
                                    <w:t>Загальна кількість  працівників, відповідальних за ведення податкового обліку</w:t>
                                  </w:r>
                                </w:p>
                              </w:tc>
                              <w:tc>
                                <w:tcPr>
                                  <w:tcW w:w="1162" w:type="dxa"/>
                                  <w:tcBorders/>
                                  <w:shd w:color="auto" w:fill="auto" w:val="clear"/>
                                </w:tcPr>
                                <w:p>
                                  <w:pPr>
                                    <w:pStyle w:val="Style26"/>
                                    <w:spacing w:lineRule="auto" w:line="307" w:before="0" w:after="0"/>
                                    <w:jc w:val="center"/>
                                    <w:rPr>
                                      <w:rFonts w:ascii="Arial" w:hAnsi="Arial" w:eastAsia="Arial" w:cs="Arial"/>
                                      <w:sz w:val="14"/>
                                      <w:szCs w:val="14"/>
                                      <w:lang w:val="uk-UA"/>
                                    </w:rPr>
                                  </w:pPr>
                                  <w:r>
                                    <w:rPr>
                                      <w:rFonts w:eastAsia="Arial" w:cs="Arial" w:ascii="Arial" w:hAnsi="Arial"/>
                                      <w:sz w:val="14"/>
                                      <w:szCs w:val="14"/>
                                      <w:lang w:val="uk-UA"/>
                                    </w:rPr>
                                    <w:t>Кількість жінок, відповідальних за ведення податкового обліку</w:t>
                                  </w:r>
                                </w:p>
                              </w:tc>
                            </w:tr>
                          </w:tbl>
                          <w:p>
                            <w:pPr>
                              <w:pStyle w:val="Style27"/>
                              <w:spacing w:before="0" w:after="160"/>
                              <w:rPr>
                                <w:sz w:val="14"/>
                                <w:szCs w:val="14"/>
                                <w:lang w:val="ru-RU"/>
                              </w:rPr>
                            </w:pPr>
                            <w:r>
                              <w:rPr/>
                            </w:r>
                          </w:p>
                        </w:txbxContent>
                      </wps:txbx>
                      <wps:bodyPr anchor="t">
                        <a:noAutofit/>
                      </wps:bodyPr>
                    </wps:wsp>
                  </a:graphicData>
                </a:graphic>
              </wp:anchor>
            </w:drawing>
          </mc:Choice>
          <mc:Fallback>
            <w:pict>
              <v:rect id="shape_0" ID="Text Box 2" path="m0,0l-2147483645,0l-2147483645,-2147483646l0,-2147483646xe" fillcolor="white" stroked="f" o:allowincell="f" style="position:absolute;margin-left:3.75pt;margin-top:117.9pt;width:449.5pt;height:68.2pt;mso-wrap-style:none;v-text-anchor:middle" wp14:anchorId="38D1B079">
                <v:fill o:detectmouseclick="t" type="solid" color2="black"/>
                <v:stroke color="#3465a4" weight="9360" joinstyle="miter" endcap="flat"/>
                <v:textbox>
                  <w:txbxContent>
                    <w:tbl>
                      <w:tblPr>
                        <w:tblW w:w="8472" w:type="dxa"/>
                        <w:jc w:val="left"/>
                        <w:tblInd w:w="0" w:type="dxa"/>
                        <w:tblLayout w:type="fixed"/>
                        <w:tblCellMar>
                          <w:top w:w="0" w:type="dxa"/>
                          <w:left w:w="10" w:type="dxa"/>
                          <w:bottom w:w="0" w:type="dxa"/>
                          <w:right w:w="10" w:type="dxa"/>
                        </w:tblCellMar>
                        <w:tblLook w:firstRow="1" w:noVBand="1" w:lastRow="0" w:firstColumn="1" w:lastColumn="0" w:noHBand="0" w:val="04a0"/>
                      </w:tblPr>
                      <w:tblGrid>
                        <w:gridCol w:w="1625"/>
                        <w:gridCol w:w="1555"/>
                        <w:gridCol w:w="1420"/>
                        <w:gridCol w:w="1211"/>
                        <w:gridCol w:w="1498"/>
                        <w:gridCol w:w="1162"/>
                      </w:tblGrid>
                      <w:tr>
                        <w:trPr>
                          <w:trHeight w:val="1938" w:hRule="exact"/>
                        </w:trPr>
                        <w:tc>
                          <w:tcPr>
                            <w:tcW w:w="1625" w:type="dxa"/>
                            <w:tcBorders/>
                            <w:shd w:color="auto" w:fill="auto" w:val="clear"/>
                          </w:tcPr>
                          <w:p>
                            <w:pPr>
                              <w:pStyle w:val="Style26"/>
                              <w:spacing w:lineRule="auto" w:line="307" w:before="0" w:after="0"/>
                              <w:jc w:val="center"/>
                              <w:rPr>
                                <w:sz w:val="14"/>
                                <w:szCs w:val="14"/>
                                <w:lang w:val="uk-UA"/>
                              </w:rPr>
                            </w:pPr>
                            <w:r>
                              <w:rPr>
                                <w:rFonts w:eastAsia="Arial" w:cs="Arial" w:ascii="Arial" w:hAnsi="Arial"/>
                                <w:sz w:val="14"/>
                                <w:szCs w:val="14"/>
                                <w:lang w:val="uk-UA"/>
                              </w:rPr>
                              <w:t>Загальна кількість працівників, відповідальних за ведення бухгалтерського та/ або податкового обліку</w:t>
                            </w:r>
                          </w:p>
                        </w:tc>
                        <w:tc>
                          <w:tcPr>
                            <w:tcW w:w="1555" w:type="dxa"/>
                            <w:tcBorders/>
                            <w:shd w:color="auto" w:fill="auto" w:val="clear"/>
                          </w:tcPr>
                          <w:p>
                            <w:pPr>
                              <w:pStyle w:val="Style26"/>
                              <w:spacing w:lineRule="auto" w:line="307" w:before="0" w:after="0"/>
                              <w:jc w:val="center"/>
                              <w:rPr>
                                <w:sz w:val="14"/>
                                <w:szCs w:val="14"/>
                                <w:lang w:val="uk-UA"/>
                              </w:rPr>
                            </w:pPr>
                            <w:r>
                              <w:rPr>
                                <w:rFonts w:eastAsia="Arial" w:cs="Arial" w:ascii="Arial" w:hAnsi="Arial"/>
                                <w:sz w:val="14"/>
                                <w:szCs w:val="14"/>
                                <w:lang w:val="uk-UA"/>
                              </w:rPr>
                              <w:t>Кількість жінок, відповідальних  за ведення бухгалтерського та/ або податкового обліку</w:t>
                            </w:r>
                          </w:p>
                        </w:tc>
                        <w:tc>
                          <w:tcPr>
                            <w:tcW w:w="1420" w:type="dxa"/>
                            <w:tcBorders/>
                            <w:shd w:color="auto" w:fill="auto" w:val="clear"/>
                          </w:tcPr>
                          <w:p>
                            <w:pPr>
                              <w:pStyle w:val="Style26"/>
                              <w:spacing w:lineRule="auto" w:line="304" w:before="0" w:after="0"/>
                              <w:jc w:val="center"/>
                              <w:rPr>
                                <w:sz w:val="14"/>
                                <w:szCs w:val="14"/>
                                <w:lang w:val="uk-UA"/>
                              </w:rPr>
                            </w:pPr>
                            <w:r>
                              <w:rPr>
                                <w:rFonts w:eastAsia="Arial" w:cs="Arial" w:ascii="Arial" w:hAnsi="Arial"/>
                                <w:sz w:val="14"/>
                                <w:szCs w:val="14"/>
                                <w:lang w:val="uk-UA"/>
                              </w:rPr>
                              <w:t>Загальна кількість працівників, відповідальних за ведення бухгалтерського обліку</w:t>
                            </w:r>
                          </w:p>
                        </w:tc>
                        <w:tc>
                          <w:tcPr>
                            <w:tcW w:w="1211" w:type="dxa"/>
                            <w:tcBorders/>
                            <w:shd w:color="auto" w:fill="auto" w:val="clear"/>
                          </w:tcPr>
                          <w:p>
                            <w:pPr>
                              <w:pStyle w:val="Style26"/>
                              <w:spacing w:lineRule="auto" w:line="307" w:before="0" w:after="0"/>
                              <w:jc w:val="center"/>
                              <w:rPr>
                                <w:rFonts w:ascii="Arial" w:hAnsi="Arial" w:eastAsia="Arial" w:cs="Arial"/>
                                <w:sz w:val="14"/>
                                <w:szCs w:val="14"/>
                                <w:lang w:val="uk-UA"/>
                              </w:rPr>
                            </w:pPr>
                            <w:r>
                              <w:rPr>
                                <w:rFonts w:eastAsia="Arial" w:cs="Arial" w:ascii="Arial" w:hAnsi="Arial"/>
                                <w:sz w:val="14"/>
                                <w:szCs w:val="14"/>
                                <w:lang w:val="uk-UA"/>
                              </w:rPr>
                              <w:t>Кількість жінок, відповідальних за ведення бухгалтерського обліку</w:t>
                            </w:r>
                          </w:p>
                        </w:tc>
                        <w:tc>
                          <w:tcPr>
                            <w:tcW w:w="1498" w:type="dxa"/>
                            <w:tcBorders/>
                            <w:shd w:color="auto" w:fill="auto" w:val="clear"/>
                          </w:tcPr>
                          <w:p>
                            <w:pPr>
                              <w:pStyle w:val="Style26"/>
                              <w:spacing w:lineRule="auto" w:line="307" w:before="0" w:after="0"/>
                              <w:jc w:val="center"/>
                              <w:rPr>
                                <w:rFonts w:ascii="Arial" w:hAnsi="Arial" w:eastAsia="Arial" w:cs="Arial"/>
                                <w:sz w:val="14"/>
                                <w:szCs w:val="14"/>
                                <w:lang w:val="uk-UA"/>
                              </w:rPr>
                            </w:pPr>
                            <w:r>
                              <w:rPr>
                                <w:rFonts w:eastAsia="Arial" w:cs="Arial" w:ascii="Arial" w:hAnsi="Arial"/>
                                <w:sz w:val="14"/>
                                <w:szCs w:val="14"/>
                                <w:lang w:val="uk-UA"/>
                              </w:rPr>
                              <w:t>Загальна кількість  працівників, відповідальних за ведення податкового обліку</w:t>
                            </w:r>
                          </w:p>
                        </w:tc>
                        <w:tc>
                          <w:tcPr>
                            <w:tcW w:w="1162" w:type="dxa"/>
                            <w:tcBorders/>
                            <w:shd w:color="auto" w:fill="auto" w:val="clear"/>
                          </w:tcPr>
                          <w:p>
                            <w:pPr>
                              <w:pStyle w:val="Style26"/>
                              <w:spacing w:lineRule="auto" w:line="307" w:before="0" w:after="0"/>
                              <w:jc w:val="center"/>
                              <w:rPr>
                                <w:rFonts w:ascii="Arial" w:hAnsi="Arial" w:eastAsia="Arial" w:cs="Arial"/>
                                <w:sz w:val="14"/>
                                <w:szCs w:val="14"/>
                                <w:lang w:val="uk-UA"/>
                              </w:rPr>
                            </w:pPr>
                            <w:r>
                              <w:rPr>
                                <w:rFonts w:eastAsia="Arial" w:cs="Arial" w:ascii="Arial" w:hAnsi="Arial"/>
                                <w:sz w:val="14"/>
                                <w:szCs w:val="14"/>
                                <w:lang w:val="uk-UA"/>
                              </w:rPr>
                              <w:t>Кількість жінок, відповідальних за ведення податкового обліку</w:t>
                            </w:r>
                          </w:p>
                        </w:tc>
                      </w:tr>
                    </w:tbl>
                    <w:p>
                      <w:pPr>
                        <w:pStyle w:val="Style27"/>
                        <w:spacing w:before="0" w:after="160"/>
                        <w:rPr>
                          <w:sz w:val="14"/>
                          <w:szCs w:val="14"/>
                          <w:lang w:val="ru-RU"/>
                        </w:rPr>
                      </w:pPr>
                      <w:r>
                        <w:rPr/>
                      </w:r>
                    </w:p>
                  </w:txbxContent>
                </v:textbox>
                <w10:wrap type="none"/>
              </v:rect>
            </w:pict>
          </mc:Fallback>
        </mc:AlternateContent>
        <w:drawing>
          <wp:inline distT="0" distB="0" distL="0" distR="0">
            <wp:extent cx="5756910" cy="2429510"/>
            <wp:effectExtent l="0" t="0" r="0" b="0"/>
            <wp:docPr id="22" name="Object29"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ListParagraph"/>
        <w:numPr>
          <w:ilvl w:val="0"/>
          <w:numId w:val="2"/>
        </w:numPr>
        <w:jc w:val="both"/>
        <w:rPr>
          <w:rFonts w:cs="Calibri" w:cstheme="minorHAnsi"/>
          <w:lang w:val="uk-UA"/>
        </w:rPr>
      </w:pPr>
      <w:r>
        <w:rPr>
          <w:rFonts w:eastAsia="Calibri" w:cs="Calibri" w:cstheme="minorHAnsi"/>
          <w:b/>
          <w:bCs/>
          <w:lang w:val="uk-UA"/>
        </w:rPr>
        <w:t>Підприємства повідомили</w:t>
      </w:r>
      <w:r>
        <w:rPr>
          <w:b/>
          <w:bCs/>
          <w:lang w:val="uk-UA"/>
        </w:rPr>
        <w:t xml:space="preserve">, що середній час, витрачений на виконання податкових процедур у 2023 році, становив 74,4 людино-дня. </w:t>
      </w:r>
      <w:r>
        <w:rPr>
          <w:lang w:val="uk-UA"/>
        </w:rPr>
        <w:t xml:space="preserve">Підприємства з оборотом понад 80 млн грн повідомили про найбільші середні витрати часу - 369 людино-днів, порівняно з 35,7 днями для підприємств з оборотом до 1 млн грн (Таблиця 4). Підприємства з оборотом менше 1 млн. грн. витрачали в середньому 14,4 дня на ведення діловодства, 7,7 дня на подання податкових документів, і лише 0,7 дня на проходження податкових перевірок. На противагу цьому, підприємства з оборотом понад 80 млн. грн. витрачали в середньому 207,5 днів на ведення діловодства, 67,3 днів на подання податкових документів, та 28,9 днів на податкові перевірки. </w:t>
      </w:r>
    </w:p>
    <w:p>
      <w:pPr>
        <w:pStyle w:val="Normal"/>
        <w:rPr>
          <w:b/>
          <w:bCs/>
          <w:lang w:val="uk-UA"/>
        </w:rPr>
      </w:pPr>
      <w:r>
        <w:rPr>
          <w:b/>
          <w:bCs/>
          <w:lang w:val="uk-UA"/>
        </w:rPr>
        <w:t xml:space="preserve">Таблиця 6. Середні витрати людино-днів на дотримання податкового законодавства на рік </w:t>
      </w:r>
      <w:r>
        <w:rPr>
          <w:rStyle w:val="FootnoteReference"/>
          <w:rFonts w:cs="Calibri" w:cstheme="minorHAnsi"/>
          <w:kern w:val="2"/>
          <w:szCs w:val="18"/>
          <w:lang w:val="uk-UA"/>
        </w:rPr>
        <w:footnoteReference w:id="5"/>
      </w:r>
    </w:p>
    <w:tbl>
      <w:tblPr>
        <w:tblStyle w:val="GridTable4Accent1"/>
        <w:tblW w:w="965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5"/>
        <w:gridCol w:w="995"/>
        <w:gridCol w:w="725"/>
        <w:gridCol w:w="758"/>
        <w:gridCol w:w="758"/>
        <w:gridCol w:w="757"/>
        <w:gridCol w:w="758"/>
        <w:gridCol w:w="877"/>
        <w:gridCol w:w="811"/>
        <w:gridCol w:w="759"/>
        <w:gridCol w:w="756"/>
        <w:gridCol w:w="8"/>
      </w:tblGrid>
      <w:tr>
        <w:trPr>
          <w:tblHeader w:val="true"/>
          <w:trHeight w:val="1916" w:hRule="atLeast"/>
          <w:cantSplit w:val="true"/>
          <w:cnfStyle w:val="100000000000" w:firstRow="1" w:lastRow="0" w:firstColumn="0" w:lastColumn="0" w:oddVBand="0" w:evenVBand="0" w:oddHBand="0" w:evenHBand="0" w:firstRowFirstColumn="0" w:firstRowLastColumn="0" w:lastRowFirstColumn="0" w:lastRowLastColumn="0"/>
        </w:trPr>
        <w:tc>
          <w:tcPr>
            <w:tcW w:w="2690" w:type="dxa"/>
            <w:gridSpan w:val="2"/>
            <w:cnfStyle w:val="001000000000" w:firstRow="0" w:lastRow="0" w:firstColumn="1" w:lastColumn="0" w:oddVBand="0" w:evenVBand="0" w:oddHBand="0" w:evenHBand="0" w:firstRowFirstColumn="0" w:firstRowLastColumn="0" w:lastRowFirstColumn="0" w:lastRowLastColumn="0"/>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left"/>
              <w:rPr>
                <w:rFonts w:ascii="Calibri" w:hAnsi="Calibri" w:cs="Calibri" w:asciiTheme="minorHAnsi" w:cstheme="minorHAnsi" w:hAnsiTheme="minorHAnsi"/>
                <w:kern w:val="2"/>
                <w:szCs w:val="18"/>
                <w:lang w:val="uk-UA"/>
              </w:rPr>
            </w:pPr>
            <w:r>
              <w:rPr>
                <w:rFonts w:eastAsia="SimSun" w:cs="Calibri" w:cstheme="minorHAnsi"/>
                <w:b/>
                <w:bCs/>
                <w:color w:themeColor="background1" w:val="FFFFFF"/>
                <w:kern w:val="2"/>
                <w:sz w:val="18"/>
                <w:szCs w:val="18"/>
                <w:lang w:val="uk-UA" w:eastAsia="en-GB" w:bidi="ar-SA"/>
              </w:rPr>
            </w:r>
          </w:p>
        </w:tc>
        <w:tc>
          <w:tcPr>
            <w:tcW w:w="725"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b/>
                <w:bCs/>
                <w:color w:themeColor="background1" w:val="FFFFFF"/>
                <w:kern w:val="2"/>
                <w:sz w:val="18"/>
                <w:szCs w:val="18"/>
                <w:lang w:val="uk-UA" w:eastAsia="en-GB" w:bidi="ar-SA"/>
              </w:rPr>
              <w:t>Всього</w:t>
            </w:r>
          </w:p>
        </w:tc>
        <w:tc>
          <w:tcPr>
            <w:tcW w:w="758"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Cs w:val="false"/>
                <w:szCs w:val="18"/>
                <w:lang w:val="uk-UA"/>
              </w:rPr>
            </w:pPr>
            <w:r>
              <w:rPr>
                <w:rFonts w:eastAsia="SimSun" w:cs="Calibri" w:cstheme="minorHAnsi"/>
                <w:b/>
                <w:bCs/>
                <w:color w:themeColor="background1" w:val="FFFFFF"/>
                <w:kern w:val="2"/>
                <w:sz w:val="18"/>
                <w:szCs w:val="18"/>
                <w:lang w:val="uk-UA" w:eastAsia="en-GB" w:bidi="ar-SA"/>
              </w:rPr>
              <w:t>Діловодство</w:t>
            </w:r>
          </w:p>
        </w:tc>
        <w:tc>
          <w:tcPr>
            <w:tcW w:w="758"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Cs w:val="false"/>
                <w:szCs w:val="18"/>
                <w:lang w:val="uk-UA"/>
              </w:rPr>
            </w:pPr>
            <w:r>
              <w:rPr>
                <w:rFonts w:eastAsia="SimSun" w:cs="Calibri" w:cstheme="minorHAnsi"/>
                <w:b/>
                <w:bCs/>
                <w:color w:themeColor="background1" w:val="FFFFFF"/>
                <w:kern w:val="2"/>
                <w:sz w:val="18"/>
                <w:szCs w:val="18"/>
                <w:lang w:val="uk-UA" w:eastAsia="en-GB" w:bidi="ar-SA"/>
              </w:rPr>
              <w:t>Подання податкових документів</w:t>
            </w:r>
          </w:p>
        </w:tc>
        <w:tc>
          <w:tcPr>
            <w:tcW w:w="757"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Cs w:val="false"/>
                <w:szCs w:val="18"/>
                <w:lang w:val="uk-UA"/>
              </w:rPr>
            </w:pPr>
            <w:r>
              <w:rPr>
                <w:rFonts w:eastAsia="SimSun" w:cs="Calibri" w:cstheme="minorHAnsi"/>
                <w:b/>
                <w:bCs/>
                <w:color w:themeColor="background1" w:val="FFFFFF"/>
                <w:kern w:val="2"/>
                <w:sz w:val="18"/>
                <w:szCs w:val="18"/>
                <w:lang w:val="uk-UA" w:eastAsia="en-GB" w:bidi="ar-SA"/>
              </w:rPr>
              <w:t>Поїздки до податкової інспекції</w:t>
            </w:r>
          </w:p>
        </w:tc>
        <w:tc>
          <w:tcPr>
            <w:tcW w:w="758"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Cs w:val="false"/>
                <w:szCs w:val="18"/>
                <w:lang w:val="uk-UA"/>
              </w:rPr>
            </w:pPr>
            <w:r>
              <w:rPr>
                <w:rFonts w:eastAsia="SimSun" w:cs="Calibri" w:cstheme="minorHAnsi"/>
                <w:b/>
                <w:bCs/>
                <w:color w:themeColor="background1" w:val="FFFFFF"/>
                <w:kern w:val="2"/>
                <w:sz w:val="18"/>
                <w:szCs w:val="18"/>
                <w:lang w:val="uk-UA" w:eastAsia="en-GB" w:bidi="ar-SA"/>
              </w:rPr>
              <w:t>Поїздки до банку для сплати податків</w:t>
            </w:r>
          </w:p>
        </w:tc>
        <w:tc>
          <w:tcPr>
            <w:tcW w:w="877"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Cs w:val="false"/>
                <w:szCs w:val="18"/>
                <w:lang w:val="uk-UA"/>
              </w:rPr>
            </w:pPr>
            <w:r>
              <w:rPr>
                <w:rFonts w:eastAsia="SimSun" w:cs="Calibri" w:cstheme="minorHAnsi"/>
                <w:b/>
                <w:bCs/>
                <w:color w:themeColor="background1" w:val="FFFFFF"/>
                <w:kern w:val="2"/>
                <w:sz w:val="18"/>
                <w:szCs w:val="18"/>
                <w:lang w:val="uk-UA" w:eastAsia="en-GB" w:bidi="ar-SA"/>
              </w:rPr>
              <w:t>Час, витрачений на електронний банкінг</w:t>
            </w:r>
          </w:p>
        </w:tc>
        <w:tc>
          <w:tcPr>
            <w:tcW w:w="811"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Cs w:val="false"/>
                <w:szCs w:val="18"/>
                <w:lang w:val="uk-UA"/>
              </w:rPr>
            </w:pPr>
            <w:r>
              <w:rPr>
                <w:rFonts w:eastAsia="SimSun" w:cs="Calibri" w:cstheme="minorHAnsi"/>
                <w:b/>
                <w:bCs/>
                <w:color w:themeColor="background1" w:val="FFFFFF"/>
                <w:kern w:val="2"/>
                <w:sz w:val="18"/>
                <w:szCs w:val="18"/>
                <w:lang w:val="uk-UA" w:eastAsia="en-GB" w:bidi="ar-SA"/>
              </w:rPr>
              <w:t>Інша діяльність, пов'язана з оподаткуванням</w:t>
            </w:r>
          </w:p>
        </w:tc>
        <w:tc>
          <w:tcPr>
            <w:tcW w:w="759"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b/>
                <w:bCs/>
                <w:color w:themeColor="background1" w:val="FFFFFF"/>
                <w:kern w:val="2"/>
                <w:sz w:val="18"/>
                <w:szCs w:val="18"/>
                <w:lang w:val="uk-UA" w:eastAsia="en-GB" w:bidi="ar-SA"/>
              </w:rPr>
              <w:t>Візити для подання податкової звітності</w:t>
            </w:r>
          </w:p>
        </w:tc>
        <w:tc>
          <w:tcPr>
            <w:tcW w:w="756"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b/>
                <w:bCs/>
                <w:color w:themeColor="background1" w:val="FFFFFF"/>
                <w:kern w:val="2"/>
                <w:sz w:val="18"/>
                <w:szCs w:val="18"/>
                <w:lang w:val="uk-UA" w:eastAsia="en-GB" w:bidi="ar-SA"/>
              </w:rPr>
              <w:t>Податкові перевірки</w:t>
            </w:r>
          </w:p>
        </w:tc>
        <w:tc>
          <w:tcPr>
            <w:tcW w:w="8" w:type="dxa"/>
            <w:tcBorders>
              <w:left w:val="nil"/>
              <w:right w:val="nil"/>
            </w:tcBorders>
            <w:shd w:color="auto" w:fill="4472C4" w:themeFill="accent1" w:val="clear"/>
          </w:tcPr>
          <w:p>
            <w:pPr>
              <w:pStyle w:val="Normal"/>
              <w:widowControl/>
              <w:spacing w:lineRule="auto" w:line="240" w:before="0" w:after="0"/>
              <w:jc w:val="both"/>
              <w:rPr>
                <w:rFonts w:ascii="Times New Roman" w:hAnsi="Times New Roman" w:eastAsia="SimSun" w:cs="Times New Roman"/>
                <w:b/>
                <w:bCs/>
                <w:color w:themeColor="background1" w:val="FFFFFF"/>
                <w:sz w:val="18"/>
                <w:szCs w:val="22"/>
                <w:lang w:val="en-US" w:eastAsia="en-GB" w:bidi="ar-SA"/>
              </w:rPr>
            </w:pPr>
            <w:r>
              <w:rPr>
                <w:rFonts w:eastAsia="SimSun" w:cs="Times New Roman" w:ascii="Times New Roman" w:hAnsi="Times New Roman"/>
                <w:b/>
                <w:bCs/>
                <w:color w:themeColor="background1" w:val="FFFFFF"/>
                <w:sz w:val="18"/>
                <w:szCs w:val="22"/>
                <w:lang w:val="en-US" w:eastAsia="en-GB" w:bidi="ar-SA"/>
              </w:rPr>
            </w:r>
          </w:p>
        </w:tc>
      </w:tr>
      <w:tr>
        <w:trPr>
          <w:trHeight w:val="251" w:hRule="atLeast"/>
          <w:cnfStyle w:val="000000100000" w:firstRow="0" w:lastRow="0" w:firstColumn="0" w:lastColumn="0" w:oddVBand="0" w:evenVBand="0" w:oddHBand="1" w:evenHBand="0" w:firstRowFirstColumn="0" w:firstRowLastColumn="0" w:lastRowFirstColumn="0" w:lastRowLastColumn="0"/>
        </w:trPr>
        <w:tc>
          <w:tcPr>
            <w:tcW w:w="9657" w:type="dxa"/>
            <w:gridSpan w:val="12"/>
            <w:cnfStyle w:val="001000000000" w:firstRow="0" w:lastRow="0" w:firstColumn="1" w:lastColumn="0" w:oddVBand="0" w:evenVBand="0" w:oddHBand="0" w:evenHBand="0" w:firstRowFirstColumn="0" w:firstRowLastColumn="0" w:lastRowFirstColumn="0" w:lastRowLastColumn="0"/>
            <w:tcBorders>
              <w:top w:val="single" w:sz="4" w:space="0" w:color="FFFFFF"/>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b/>
                <w:bCs w:val="false"/>
                <w:szCs w:val="18"/>
                <w:lang w:val="uk-UA"/>
              </w:rPr>
            </w:pPr>
            <w:r>
              <w:rPr>
                <w:rFonts w:eastAsia="SimSun" w:cs="Calibri" w:cstheme="minorHAnsi"/>
                <w:b/>
                <w:bCs/>
                <w:kern w:val="2"/>
                <w:sz w:val="18"/>
                <w:szCs w:val="18"/>
                <w:lang w:val="uk-UA" w:eastAsia="en-GB" w:bidi="ar-SA"/>
              </w:rPr>
              <w:t>Оборот</w:t>
            </w:r>
          </w:p>
        </w:tc>
      </w:tr>
      <w:tr>
        <w:trPr>
          <w:trHeight w:val="315" w:hRule="atLeast"/>
        </w:trPr>
        <w:tc>
          <w:tcPr>
            <w:tcW w:w="1695"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Менше 1 мільйона гривень</w:t>
            </w:r>
          </w:p>
        </w:tc>
        <w:tc>
          <w:tcPr>
            <w:tcW w:w="99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35,7</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14,4</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7,7</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0,4</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5,8</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5,3</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0,5</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0,7</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695"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99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1305</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1298</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1299</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1304</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1304</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1300</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1302</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1304</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1304</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695"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1 млн грн - 8 млн грн</w:t>
            </w:r>
          </w:p>
        </w:tc>
        <w:tc>
          <w:tcPr>
            <w:tcW w:w="99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53,6</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20,7</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12,5</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0,3</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7,3</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6,4</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0,6</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4,8</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695"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99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1035</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1033</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1032</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1033</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1033</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1032</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1034</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1035</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1034</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695"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8 млн грн - 80 млн грн</w:t>
            </w:r>
          </w:p>
        </w:tc>
        <w:tc>
          <w:tcPr>
            <w:tcW w:w="99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253</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115,7</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56,8</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2,4</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25,1</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26,2</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0,7</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30,5</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695"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99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225</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220</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221</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225</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224</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221</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224</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224</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223</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695"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Понад 80 мільйонів гривень</w:t>
            </w:r>
          </w:p>
        </w:tc>
        <w:tc>
          <w:tcPr>
            <w:tcW w:w="99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369</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207,5</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67,3</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0,7</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30,2</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31,4</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2,6</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28,9</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695"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99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119</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119</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119</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118</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118</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117</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118</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118</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119</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695"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Всього</w:t>
            </w:r>
          </w:p>
        </w:tc>
        <w:tc>
          <w:tcPr>
            <w:tcW w:w="99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74,4</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33,1</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16</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0,4</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9</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8,5</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0,7</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5,9</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695"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99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2684</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2670</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2671</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2680</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2679</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2670</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2678</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2681</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2680</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9657" w:type="dxa"/>
            <w:gridSpan w:val="12"/>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bCs w:val="false"/>
                <w:kern w:val="2"/>
                <w:sz w:val="18"/>
                <w:szCs w:val="18"/>
                <w:lang w:val="uk-UA" w:eastAsia="en-GB" w:bidi="ar-SA"/>
              </w:rPr>
              <w:t> </w:t>
            </w:r>
            <w:r>
              <w:rPr>
                <w:rFonts w:eastAsia="SimSun" w:cs="Calibri" w:cstheme="minorHAnsi"/>
                <w:b/>
                <w:bCs w:val="false"/>
                <w:kern w:val="2"/>
                <w:sz w:val="18"/>
                <w:szCs w:val="18"/>
                <w:lang w:val="uk-UA" w:eastAsia="en-GB" w:bidi="ar-SA"/>
              </w:rPr>
              <w:t>Загальна кількість працівників</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695" w:type="dxa"/>
            <w:vMerge w:val="restart"/>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Без найманих працівників</w:t>
            </w:r>
          </w:p>
        </w:tc>
        <w:tc>
          <w:tcPr>
            <w:tcW w:w="99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26,2</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10,8</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5,5</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0,8</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0,4</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5,6</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2,1</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0,5</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0,5</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695" w:type="dxa"/>
            <w:vMerge w:val="continue"/>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99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1976</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1974</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1974</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1975</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1973</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1974</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1975</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1975</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1975</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695" w:type="dxa"/>
            <w:vMerge w:val="restart"/>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До 50 працівників</w:t>
            </w:r>
          </w:p>
        </w:tc>
        <w:tc>
          <w:tcPr>
            <w:tcW w:w="99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122,4</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55,1</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25,7</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1,6</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0,4</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13,1</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15,5</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0,8</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695" w:type="dxa"/>
            <w:vMerge w:val="continue"/>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99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895</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887</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885</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893</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893</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886</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891</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893</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892</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695" w:type="dxa"/>
            <w:vMerge w:val="restart"/>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Понад 50 працівників</w:t>
            </w:r>
          </w:p>
        </w:tc>
        <w:tc>
          <w:tcPr>
            <w:tcW w:w="99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400,8</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213,3</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88,5</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41,5</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35,7</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1,5</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27,5</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695" w:type="dxa"/>
            <w:vMerge w:val="continue"/>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99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75</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74</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75</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75</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75</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75</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74</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74</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75</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695" w:type="dxa"/>
            <w:vMerge w:val="restart"/>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Всього</w:t>
            </w:r>
          </w:p>
        </w:tc>
        <w:tc>
          <w:tcPr>
            <w:tcW w:w="99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73,6</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33,2</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15,5</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0,4</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9,5</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8,2</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0,6</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5,3</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695" w:type="dxa"/>
            <w:vMerge w:val="continue"/>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99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2946</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2935</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2934</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2943</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2941</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2935</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2940</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2942</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2942</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9657" w:type="dxa"/>
            <w:gridSpan w:val="12"/>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bCs w:val="false"/>
                <w:kern w:val="2"/>
                <w:sz w:val="18"/>
                <w:szCs w:val="18"/>
                <w:lang w:val="uk-UA" w:eastAsia="en-GB" w:bidi="ar-SA"/>
              </w:rPr>
              <w:t>Юридична форма</w:t>
            </w:r>
          </w:p>
        </w:tc>
      </w:tr>
      <w:tr>
        <w:trPr>
          <w:trHeight w:val="315" w:hRule="atLeast"/>
        </w:trPr>
        <w:tc>
          <w:tcPr>
            <w:tcW w:w="1695"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Фізична особа-підприємець, без найманих працівників</w:t>
            </w:r>
          </w:p>
        </w:tc>
        <w:tc>
          <w:tcPr>
            <w:tcW w:w="99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26,5</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5,6</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0,8</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0,4</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5,7</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2,1</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0,5</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0,5</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695"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99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1963</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1961</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1961</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1962</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1960</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1961</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1962</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1962</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1962</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695"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Фізична особа-підприємець з найманими працівниками</w:t>
            </w:r>
          </w:p>
        </w:tc>
        <w:tc>
          <w:tcPr>
            <w:tcW w:w="99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14,7</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10,7</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1,4</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0,3</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0,1</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1,5</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0,6</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0,1</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0,1</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695"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99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331</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330</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329</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331</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331</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331</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331</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331</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331</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695"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Юридична особа</w:t>
            </w:r>
          </w:p>
        </w:tc>
        <w:tc>
          <w:tcPr>
            <w:tcW w:w="99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211,5</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95,9</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46,1</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0,6</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22,8</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26,1</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1,3</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19,2</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695"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99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706</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694</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695</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703</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704</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694</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699</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703</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703</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695"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Всього</w:t>
            </w:r>
          </w:p>
        </w:tc>
        <w:tc>
          <w:tcPr>
            <w:tcW w:w="99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73,6</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33,2</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15,6</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0,4</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9,5</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8,2</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0,6</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5,4</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695"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99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3000</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2985</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2985</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2996</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2995</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2986</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2992</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2996</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2996</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bl>
    <w:p>
      <w:pPr>
        <w:pStyle w:val="Normal"/>
        <w:rPr>
          <w:b/>
          <w:bCs/>
          <w:lang w:val="uk-UA"/>
        </w:rPr>
      </w:pPr>
      <w:r>
        <w:rPr>
          <w:b/>
          <w:bCs/>
          <w:lang w:val="uk-UA"/>
        </w:rPr>
      </w:r>
    </w:p>
    <w:p>
      <w:pPr>
        <w:pStyle w:val="ListParagraph"/>
        <w:numPr>
          <w:ilvl w:val="0"/>
          <w:numId w:val="2"/>
        </w:numPr>
        <w:jc w:val="both"/>
        <w:rPr>
          <w:rFonts w:cs="Calibri" w:cstheme="minorHAnsi"/>
          <w:lang w:val="uk-UA"/>
        </w:rPr>
      </w:pPr>
      <w:r>
        <w:rPr>
          <w:b/>
          <w:bCs/>
          <w:lang w:val="uk-UA"/>
        </w:rPr>
        <w:t xml:space="preserve">Хоча підприємства повідомляють, що витрати на дотримання податкового законодавства в грошовому еквіваленті зростають зі збільшенням розміру бізнесу, у відсотковому відношенні до доходу вони є найбільш обтяжливими для малих підприємств. </w:t>
      </w:r>
      <w:r>
        <w:rPr>
          <w:lang w:val="uk-UA"/>
        </w:rPr>
        <w:t>Малі підприємства, особливо з оборотом менше 1 млн. грн., несуть середні витрати на дотримання податкового законодавства в розмірі 31 698 грн. на рік, що становить приблизно 3% від їхнього загального обороту (Таблиця 5). Розбивка цих витрат свідчить, що 38% від загальної суми витрачається на ведення діловодства, 21% - на подання податкових документів і 17% - на інші дії, пов'язані з оподаткуванням. Для підприємств з оборотом понад 80 млн. грн. середні витрати становлять 643 747 грн. на рік, що є менше ніж 0,8% від обороту. Для підприємств з оборотом від 8 до 80 мільйонів гривень середні витрати на дотримання податкового законодавства складають         383 638 гривень, що становить від 0,8 до 4,8 відсотка від обороту, залежно від того, де саме в цьому діапазоні знаходиться оборот. Для компаній з оборотом від 1 до 8 мільйонів гривень середньорічні витрати складають 74 844 гривень, що становить від 0,9 до 7 відсотків їхнього обороту. Опитування свідчить про те, що компанії з оборотом трохи вище порогових значень 1 млн. грн. та 8 млн. грн. несуть найбільший тягар податкового навантаження, головним чином через офісну роботу (діловодство), пов'язану з веденням податкового обліку та поданням податкових форм.</w:t>
      </w:r>
    </w:p>
    <w:p>
      <w:pPr>
        <w:pStyle w:val="Normal"/>
        <w:jc w:val="both"/>
        <w:rPr>
          <w:rFonts w:cs="Calibri" w:cstheme="minorHAnsi"/>
          <w:lang w:val="uk-UA"/>
        </w:rPr>
      </w:pPr>
      <w:r>
        <w:rPr>
          <w:rFonts w:cs="Calibri" w:cstheme="minorHAnsi"/>
          <w:lang w:val="uk-UA"/>
        </w:rPr>
      </w:r>
    </w:p>
    <w:p>
      <w:pPr>
        <w:pStyle w:val="Normal"/>
        <w:jc w:val="both"/>
        <w:rPr>
          <w:rFonts w:cs="Calibri" w:cstheme="minorHAnsi"/>
          <w:lang w:val="uk-UA"/>
        </w:rPr>
      </w:pPr>
      <w:r>
        <w:rPr>
          <w:rFonts w:cs="Calibri" w:cstheme="minorHAnsi"/>
          <w:lang w:val="uk-UA"/>
        </w:rPr>
      </w:r>
    </w:p>
    <w:p>
      <w:pPr>
        <w:pStyle w:val="Normal"/>
        <w:jc w:val="both"/>
        <w:rPr>
          <w:rFonts w:cs="Calibri" w:cstheme="minorHAnsi"/>
          <w:lang w:val="uk-UA"/>
        </w:rPr>
      </w:pPr>
      <w:r>
        <w:rPr>
          <w:rFonts w:cs="Calibri" w:cstheme="minorHAnsi"/>
          <w:lang w:val="uk-UA"/>
        </w:rPr>
      </w:r>
    </w:p>
    <w:p>
      <w:pPr>
        <w:pStyle w:val="Normal"/>
        <w:jc w:val="both"/>
        <w:rPr>
          <w:rFonts w:cs="Calibri" w:cstheme="minorHAnsi"/>
          <w:lang w:val="uk-UA"/>
        </w:rPr>
      </w:pPr>
      <w:r>
        <w:rPr>
          <w:rFonts w:cs="Calibri" w:cstheme="minorHAnsi"/>
          <w:lang w:val="uk-UA"/>
        </w:rPr>
      </w:r>
    </w:p>
    <w:p>
      <w:pPr>
        <w:pStyle w:val="Normal"/>
        <w:jc w:val="both"/>
        <w:rPr>
          <w:b/>
          <w:bCs/>
          <w:lang w:val="uk-UA"/>
        </w:rPr>
      </w:pPr>
      <w:r>
        <w:rPr>
          <w:b/>
          <w:bCs/>
          <w:lang w:val="uk-UA"/>
        </w:rPr>
        <w:t>Таблиця 5. Річні витрати на процедури дотримання податкового законодавства, грн.</w:t>
      </w:r>
    </w:p>
    <w:tbl>
      <w:tblPr>
        <w:tblStyle w:val="GridTable4Accent1"/>
        <w:tblW w:w="97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554"/>
        <w:gridCol w:w="1019"/>
        <w:gridCol w:w="843"/>
        <w:gridCol w:w="898"/>
        <w:gridCol w:w="901"/>
        <w:gridCol w:w="787"/>
        <w:gridCol w:w="679"/>
        <w:gridCol w:w="826"/>
        <w:gridCol w:w="796"/>
        <w:gridCol w:w="56"/>
        <w:gridCol w:w="624"/>
        <w:gridCol w:w="801"/>
      </w:tblGrid>
      <w:tr>
        <w:trPr>
          <w:tblHeader w:val="true"/>
          <w:trHeight w:val="1938" w:hRule="atLeast"/>
          <w:cantSplit w:val="true"/>
          <w:cnfStyle w:val="100000000000" w:firstRow="1" w:lastRow="0" w:firstColumn="0" w:lastColumn="0" w:oddVBand="0" w:evenVBand="0" w:oddHBand="0" w:evenHBand="0" w:firstRowFirstColumn="0" w:firstRowLastColumn="0" w:lastRowFirstColumn="0" w:lastRowLastColumn="0"/>
        </w:trPr>
        <w:tc>
          <w:tcPr>
            <w:tcW w:w="2573" w:type="dxa"/>
            <w:gridSpan w:val="2"/>
            <w:cnfStyle w:val="001000000000" w:firstRow="0" w:lastRow="0" w:firstColumn="1" w:lastColumn="0" w:oddVBand="0" w:evenVBand="0" w:oddHBand="0" w:evenHBand="0" w:firstRowFirstColumn="0" w:firstRowLastColumn="0" w:lastRowFirstColumn="0" w:lastRowLastColumn="0"/>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both"/>
              <w:rPr>
                <w:rFonts w:ascii="Calibri" w:hAnsi="Calibri" w:cs="Calibri" w:asciiTheme="minorHAnsi" w:cstheme="minorHAnsi" w:hAnsiTheme="minorHAnsi"/>
                <w:kern w:val="2"/>
                <w:szCs w:val="18"/>
                <w:lang w:val="uk-UA"/>
              </w:rPr>
            </w:pPr>
            <w:r>
              <w:rPr>
                <w:rFonts w:eastAsia="SimSun" w:cs="Calibri" w:cstheme="minorHAnsi"/>
                <w:b/>
                <w:bCs/>
                <w:color w:themeColor="background1" w:val="FFFFFF"/>
                <w:kern w:val="2"/>
                <w:sz w:val="18"/>
                <w:szCs w:val="18"/>
                <w:lang w:val="uk-UA" w:eastAsia="en-GB" w:bidi="ar-SA"/>
              </w:rPr>
            </w:r>
          </w:p>
        </w:tc>
        <w:tc>
          <w:tcPr>
            <w:tcW w:w="843"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b/>
                <w:bCs/>
                <w:color w:themeColor="background1" w:val="FFFFFF"/>
                <w:kern w:val="2"/>
                <w:sz w:val="18"/>
                <w:szCs w:val="18"/>
                <w:lang w:val="uk-UA" w:eastAsia="en-GB" w:bidi="ar-SA"/>
              </w:rPr>
              <w:t>Всього</w:t>
            </w:r>
          </w:p>
        </w:tc>
        <w:tc>
          <w:tcPr>
            <w:tcW w:w="898"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b/>
                <w:bCs/>
                <w:color w:themeColor="background1" w:val="FFFFFF"/>
                <w:kern w:val="2"/>
                <w:sz w:val="18"/>
                <w:szCs w:val="18"/>
                <w:lang w:val="uk-UA" w:eastAsia="en-GB" w:bidi="ar-SA"/>
              </w:rPr>
              <w:t>Діловодство</w:t>
            </w:r>
          </w:p>
        </w:tc>
        <w:tc>
          <w:tcPr>
            <w:tcW w:w="901"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b/>
                <w:bCs/>
                <w:color w:themeColor="background1" w:val="FFFFFF"/>
                <w:kern w:val="2"/>
                <w:sz w:val="18"/>
                <w:szCs w:val="18"/>
                <w:lang w:val="uk-UA" w:eastAsia="en-GB" w:bidi="ar-SA"/>
              </w:rPr>
              <w:t>Подання податкових документів</w:t>
            </w:r>
          </w:p>
        </w:tc>
        <w:tc>
          <w:tcPr>
            <w:tcW w:w="787"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b/>
                <w:bCs/>
                <w:color w:themeColor="background1" w:val="FFFFFF"/>
                <w:kern w:val="2"/>
                <w:sz w:val="18"/>
                <w:szCs w:val="18"/>
                <w:lang w:val="uk-UA" w:eastAsia="en-GB" w:bidi="ar-SA"/>
              </w:rPr>
              <w:t>Поїздки до податкової інспекції</w:t>
            </w:r>
          </w:p>
        </w:tc>
        <w:tc>
          <w:tcPr>
            <w:tcW w:w="679"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b/>
                <w:bCs/>
                <w:color w:themeColor="background1" w:val="FFFFFF"/>
                <w:kern w:val="2"/>
                <w:sz w:val="18"/>
                <w:szCs w:val="18"/>
                <w:lang w:val="uk-UA" w:eastAsia="en-GB" w:bidi="ar-SA"/>
              </w:rPr>
              <w:t>Поїздки до банку для сплати податків</w:t>
            </w:r>
          </w:p>
        </w:tc>
        <w:tc>
          <w:tcPr>
            <w:tcW w:w="826"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b/>
                <w:bCs/>
                <w:color w:themeColor="background1" w:val="FFFFFF"/>
                <w:kern w:val="2"/>
                <w:sz w:val="18"/>
                <w:szCs w:val="18"/>
                <w:lang w:val="uk-UA" w:eastAsia="en-GB" w:bidi="ar-SA"/>
              </w:rPr>
              <w:t>Час, витрачений на електронний банкінг</w:t>
            </w:r>
          </w:p>
        </w:tc>
        <w:tc>
          <w:tcPr>
            <w:tcW w:w="852" w:type="dxa"/>
            <w:gridSpan w:val="2"/>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b/>
                <w:bCs/>
                <w:color w:themeColor="background1" w:val="FFFFFF"/>
                <w:kern w:val="2"/>
                <w:sz w:val="18"/>
                <w:szCs w:val="18"/>
                <w:lang w:val="uk-UA" w:eastAsia="en-GB" w:bidi="ar-SA"/>
              </w:rPr>
              <w:t>Інша діяльність, пов'язана з оподаткуванням</w:t>
            </w:r>
          </w:p>
        </w:tc>
        <w:tc>
          <w:tcPr>
            <w:tcW w:w="624"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b/>
                <w:bCs/>
                <w:color w:themeColor="background1" w:val="FFFFFF"/>
                <w:kern w:val="2"/>
                <w:sz w:val="18"/>
                <w:szCs w:val="18"/>
                <w:lang w:val="uk-UA" w:eastAsia="en-GB" w:bidi="ar-SA"/>
              </w:rPr>
              <w:t>Візити для подання податкової звітності</w:t>
            </w:r>
          </w:p>
        </w:tc>
        <w:tc>
          <w:tcPr>
            <w:tcW w:w="801"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lang w:val="uk-UA"/>
              </w:rPr>
            </w:pPr>
            <w:r>
              <w:rPr>
                <w:rFonts w:eastAsia="SimSun" w:cs="Calibri" w:cstheme="minorHAnsi"/>
                <w:b/>
                <w:bCs/>
                <w:color w:themeColor="background1" w:val="FFFFFF"/>
                <w:kern w:val="2"/>
                <w:sz w:val="18"/>
                <w:szCs w:val="18"/>
                <w:lang w:val="uk-UA" w:eastAsia="en-GB" w:bidi="ar-SA"/>
              </w:rPr>
              <w:t>Податкові перевірки</w:t>
            </w:r>
          </w:p>
        </w:tc>
      </w:tr>
      <w:tr>
        <w:trPr>
          <w:trHeight w:val="314" w:hRule="atLeast"/>
          <w:cnfStyle w:val="000000100000" w:firstRow="0" w:lastRow="0" w:firstColumn="0" w:lastColumn="0" w:oddVBand="0" w:evenVBand="0" w:oddHBand="1" w:evenHBand="0" w:firstRowFirstColumn="0" w:firstRowLastColumn="0" w:lastRowFirstColumn="0" w:lastRowLastColumn="0"/>
        </w:trPr>
        <w:tc>
          <w:tcPr>
            <w:tcW w:w="9784" w:type="dxa"/>
            <w:gridSpan w:val="12"/>
            <w:cnfStyle w:val="001000000000" w:firstRow="0" w:lastRow="0" w:firstColumn="1" w:lastColumn="0" w:oddVBand="0" w:evenVBand="0" w:oddHBand="0" w:evenHBand="0" w:firstRowFirstColumn="0" w:firstRowLastColumn="0" w:lastRowFirstColumn="0" w:lastRowLastColumn="0"/>
            <w:tcBorders>
              <w:top w:val="single" w:sz="4" w:space="0" w:color="FFFFFF"/>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bCs/>
                <w:kern w:val="2"/>
                <w:sz w:val="18"/>
                <w:szCs w:val="18"/>
                <w:lang w:val="uk-UA" w:eastAsia="en-GB" w:bidi="ar-SA"/>
              </w:rPr>
              <w:t>Оборот</w:t>
            </w:r>
          </w:p>
        </w:tc>
      </w:tr>
      <w:tr>
        <w:trPr>
          <w:trHeight w:val="315" w:hRule="atLeast"/>
        </w:trPr>
        <w:tc>
          <w:tcPr>
            <w:tcW w:w="155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Менше 1 мільйона гривень</w:t>
            </w:r>
          </w:p>
        </w:tc>
        <w:tc>
          <w:tcPr>
            <w:tcW w:w="101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31 698</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12 079</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6 649</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729</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247</w:t>
            </w:r>
          </w:p>
        </w:tc>
        <w:tc>
          <w:tcPr>
            <w:tcW w:w="8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4 811</w:t>
            </w:r>
          </w:p>
        </w:tc>
        <w:tc>
          <w:tcPr>
            <w:tcW w:w="79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5 330</w:t>
            </w:r>
          </w:p>
        </w:tc>
        <w:tc>
          <w:tcPr>
            <w:tcW w:w="680" w:type="dxa"/>
            <w:gridSpan w:val="2"/>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337</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670</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55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101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1 263</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1 297</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1 298</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1 303</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1 303</w:t>
            </w:r>
          </w:p>
        </w:tc>
        <w:tc>
          <w:tcPr>
            <w:tcW w:w="8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1 299</w:t>
            </w:r>
          </w:p>
        </w:tc>
        <w:tc>
          <w:tcPr>
            <w:tcW w:w="79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1 301</w:t>
            </w:r>
          </w:p>
        </w:tc>
        <w:tc>
          <w:tcPr>
            <w:tcW w:w="680" w:type="dxa"/>
            <w:gridSpan w:val="2"/>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1 303</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1 303</w:t>
            </w:r>
          </w:p>
        </w:tc>
      </w:tr>
      <w:tr>
        <w:trPr>
          <w:trHeight w:val="315" w:hRule="atLeast"/>
        </w:trPr>
        <w:tc>
          <w:tcPr>
            <w:tcW w:w="155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1 млн грн - 8 млн грн</w:t>
            </w:r>
          </w:p>
        </w:tc>
        <w:tc>
          <w:tcPr>
            <w:tcW w:w="101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74 844</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21 128</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18 851</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1 002</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228</w:t>
            </w:r>
          </w:p>
        </w:tc>
        <w:tc>
          <w:tcPr>
            <w:tcW w:w="8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6 552</w:t>
            </w:r>
          </w:p>
        </w:tc>
        <w:tc>
          <w:tcPr>
            <w:tcW w:w="79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11 001</w:t>
            </w:r>
          </w:p>
        </w:tc>
        <w:tc>
          <w:tcPr>
            <w:tcW w:w="680" w:type="dxa"/>
            <w:gridSpan w:val="2"/>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642</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13 328</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55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101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1 001</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1 033</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1 032</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1 033</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1 033</w:t>
            </w:r>
          </w:p>
        </w:tc>
        <w:tc>
          <w:tcPr>
            <w:tcW w:w="8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1 032</w:t>
            </w:r>
          </w:p>
        </w:tc>
        <w:tc>
          <w:tcPr>
            <w:tcW w:w="79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1 034</w:t>
            </w:r>
          </w:p>
        </w:tc>
        <w:tc>
          <w:tcPr>
            <w:tcW w:w="680" w:type="dxa"/>
            <w:gridSpan w:val="2"/>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1 035</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1 034</w:t>
            </w:r>
          </w:p>
        </w:tc>
      </w:tr>
      <w:tr>
        <w:trPr>
          <w:trHeight w:val="315" w:hRule="atLeast"/>
        </w:trPr>
        <w:tc>
          <w:tcPr>
            <w:tcW w:w="155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8 мільйонів гривень - 80 мільйонів гривень</w:t>
            </w:r>
          </w:p>
        </w:tc>
        <w:tc>
          <w:tcPr>
            <w:tcW w:w="101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383 638</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183 526</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83 665</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2 382</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1 213</w:t>
            </w:r>
          </w:p>
        </w:tc>
        <w:tc>
          <w:tcPr>
            <w:tcW w:w="8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34 190</w:t>
            </w:r>
          </w:p>
        </w:tc>
        <w:tc>
          <w:tcPr>
            <w:tcW w:w="79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35 716</w:t>
            </w:r>
          </w:p>
        </w:tc>
        <w:tc>
          <w:tcPr>
            <w:tcW w:w="680" w:type="dxa"/>
            <w:gridSpan w:val="2"/>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590</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49 431</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55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101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 xml:space="preserve">  </w:t>
            </w:r>
            <w:r>
              <w:rPr>
                <w:rFonts w:eastAsia="SimSun" w:cs="Calibri" w:cstheme="minorHAnsi"/>
                <w:kern w:val="2"/>
                <w:sz w:val="18"/>
                <w:szCs w:val="18"/>
                <w:lang w:val="uk-UA" w:eastAsia="en-GB" w:bidi="ar-SA"/>
              </w:rPr>
              <w:t>224</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220</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221</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225</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 xml:space="preserve">  </w:t>
            </w:r>
            <w:r>
              <w:rPr>
                <w:rFonts w:eastAsia="SimSun" w:cs="Calibri" w:cstheme="minorHAnsi"/>
                <w:kern w:val="2"/>
                <w:sz w:val="18"/>
                <w:szCs w:val="18"/>
                <w:lang w:val="uk-UA" w:eastAsia="en-GB" w:bidi="ar-SA"/>
              </w:rPr>
              <w:t>224</w:t>
            </w:r>
          </w:p>
        </w:tc>
        <w:tc>
          <w:tcPr>
            <w:tcW w:w="8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221</w:t>
            </w:r>
          </w:p>
        </w:tc>
        <w:tc>
          <w:tcPr>
            <w:tcW w:w="79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224</w:t>
            </w:r>
          </w:p>
        </w:tc>
        <w:tc>
          <w:tcPr>
            <w:tcW w:w="680" w:type="dxa"/>
            <w:gridSpan w:val="2"/>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224</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223</w:t>
            </w:r>
          </w:p>
        </w:tc>
      </w:tr>
      <w:tr>
        <w:trPr>
          <w:trHeight w:val="315" w:hRule="atLeast"/>
        </w:trPr>
        <w:tc>
          <w:tcPr>
            <w:tcW w:w="155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Понад 80 мільйонів гривень</w:t>
            </w:r>
          </w:p>
        </w:tc>
        <w:tc>
          <w:tcPr>
            <w:tcW w:w="101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643 474</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344 970</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99 581</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2 360</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1 790</w:t>
            </w:r>
          </w:p>
        </w:tc>
        <w:tc>
          <w:tcPr>
            <w:tcW w:w="8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52 179</w:t>
            </w:r>
          </w:p>
        </w:tc>
        <w:tc>
          <w:tcPr>
            <w:tcW w:w="79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63 622</w:t>
            </w:r>
          </w:p>
        </w:tc>
        <w:tc>
          <w:tcPr>
            <w:tcW w:w="680" w:type="dxa"/>
            <w:gridSpan w:val="2"/>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2 729</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55 946</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55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101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117</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119</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119</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118</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118</w:t>
            </w:r>
          </w:p>
        </w:tc>
        <w:tc>
          <w:tcPr>
            <w:tcW w:w="8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117</w:t>
            </w:r>
          </w:p>
        </w:tc>
        <w:tc>
          <w:tcPr>
            <w:tcW w:w="79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118</w:t>
            </w:r>
          </w:p>
        </w:tc>
        <w:tc>
          <w:tcPr>
            <w:tcW w:w="680" w:type="dxa"/>
            <w:gridSpan w:val="2"/>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118</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119</w:t>
            </w:r>
          </w:p>
        </w:tc>
      </w:tr>
      <w:tr>
        <w:trPr>
          <w:trHeight w:val="315" w:hRule="atLeast"/>
        </w:trPr>
        <w:tc>
          <w:tcPr>
            <w:tcW w:w="155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Всього</w:t>
            </w:r>
            <w:r>
              <w:rPr>
                <w:rStyle w:val="FootnoteReference"/>
                <w:rFonts w:eastAsia="SimSun" w:cs="Calibri" w:cstheme="minorHAnsi"/>
                <w:b w:val="false"/>
                <w:bCs/>
                <w:kern w:val="2"/>
                <w:sz w:val="18"/>
                <w:szCs w:val="18"/>
                <w:lang w:val="uk-UA" w:eastAsia="en-GB" w:bidi="ar-SA"/>
              </w:rPr>
              <w:footnoteReference w:id="6"/>
            </w:r>
          </w:p>
        </w:tc>
        <w:tc>
          <w:tcPr>
            <w:tcW w:w="101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103 290</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43 340</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21 480</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1 032</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379</w:t>
            </w:r>
          </w:p>
        </w:tc>
        <w:tc>
          <w:tcPr>
            <w:tcW w:w="8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9 848</w:t>
            </w:r>
          </w:p>
        </w:tc>
        <w:tc>
          <w:tcPr>
            <w:tcW w:w="79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12 411</w:t>
            </w:r>
          </w:p>
        </w:tc>
        <w:tc>
          <w:tcPr>
            <w:tcW w:w="680" w:type="dxa"/>
            <w:gridSpan w:val="2"/>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572</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11 762</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55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101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2 605</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2 669</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2 670</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2 679</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2 678</w:t>
            </w:r>
          </w:p>
        </w:tc>
        <w:tc>
          <w:tcPr>
            <w:tcW w:w="8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2 669</w:t>
            </w:r>
          </w:p>
        </w:tc>
        <w:tc>
          <w:tcPr>
            <w:tcW w:w="79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2 677</w:t>
            </w:r>
          </w:p>
        </w:tc>
        <w:tc>
          <w:tcPr>
            <w:tcW w:w="680" w:type="dxa"/>
            <w:gridSpan w:val="2"/>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2 680</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2 679</w:t>
            </w:r>
          </w:p>
        </w:tc>
      </w:tr>
      <w:tr>
        <w:trPr>
          <w:trHeight w:val="315" w:hRule="atLeast"/>
        </w:trPr>
        <w:tc>
          <w:tcPr>
            <w:tcW w:w="9784" w:type="dxa"/>
            <w:gridSpan w:val="12"/>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bCs w:val="false"/>
                <w:kern w:val="2"/>
                <w:sz w:val="18"/>
                <w:szCs w:val="18"/>
                <w:lang w:val="uk-UA" w:eastAsia="en-GB" w:bidi="ar-SA"/>
              </w:rPr>
              <w:t> </w:t>
            </w:r>
            <w:r>
              <w:rPr>
                <w:rFonts w:eastAsia="SimSun" w:cs="Calibri" w:cstheme="minorHAnsi"/>
                <w:b/>
                <w:bCs w:val="false"/>
                <w:kern w:val="2"/>
                <w:sz w:val="18"/>
                <w:szCs w:val="18"/>
                <w:lang w:val="uk-UA" w:eastAsia="en-GB" w:bidi="ar-SA"/>
              </w:rPr>
              <w:t>Всього працівників</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554" w:type="dxa"/>
            <w:vMerge w:val="restart"/>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Без найманих працівників</w:t>
            </w:r>
          </w:p>
        </w:tc>
        <w:tc>
          <w:tcPr>
            <w:tcW w:w="101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20 971</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8 575</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4 241</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562</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291</w:t>
            </w:r>
          </w:p>
        </w:tc>
        <w:tc>
          <w:tcPr>
            <w:tcW w:w="8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4 066</w:t>
            </w:r>
          </w:p>
        </w:tc>
        <w:tc>
          <w:tcPr>
            <w:tcW w:w="79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1 595</w:t>
            </w:r>
          </w:p>
        </w:tc>
        <w:tc>
          <w:tcPr>
            <w:tcW w:w="680" w:type="dxa"/>
            <w:gridSpan w:val="2"/>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332</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394</w:t>
            </w:r>
          </w:p>
        </w:tc>
      </w:tr>
      <w:tr>
        <w:trPr>
          <w:trHeight w:val="315" w:hRule="atLeast"/>
        </w:trPr>
        <w:tc>
          <w:tcPr>
            <w:tcW w:w="1554" w:type="dxa"/>
            <w:vMerge w:val="continue"/>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101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1 896</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1 973</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1 973</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1 974</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 xml:space="preserve"> </w:t>
            </w:r>
            <w:r>
              <w:rPr>
                <w:rFonts w:eastAsia="SimSun" w:cs="Calibri" w:cstheme="minorHAnsi"/>
                <w:kern w:val="2"/>
                <w:sz w:val="18"/>
                <w:szCs w:val="18"/>
                <w:lang w:val="uk-UA" w:eastAsia="en-GB" w:bidi="ar-SA"/>
              </w:rPr>
              <w:t>1 972</w:t>
            </w:r>
          </w:p>
        </w:tc>
        <w:tc>
          <w:tcPr>
            <w:tcW w:w="8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1 973</w:t>
            </w:r>
          </w:p>
        </w:tc>
        <w:tc>
          <w:tcPr>
            <w:tcW w:w="79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1 974</w:t>
            </w:r>
          </w:p>
        </w:tc>
        <w:tc>
          <w:tcPr>
            <w:tcW w:w="680" w:type="dxa"/>
            <w:gridSpan w:val="2"/>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1 974</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1 974</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554" w:type="dxa"/>
            <w:vMerge w:val="restart"/>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До 50 працівників</w:t>
            </w:r>
          </w:p>
        </w:tc>
        <w:tc>
          <w:tcPr>
            <w:tcW w:w="101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163 634</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64 475</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35 202</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1 650</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350</w:t>
            </w:r>
          </w:p>
        </w:tc>
        <w:tc>
          <w:tcPr>
            <w:tcW w:w="8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14 608</w:t>
            </w:r>
          </w:p>
        </w:tc>
        <w:tc>
          <w:tcPr>
            <w:tcW w:w="79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24 162</w:t>
            </w:r>
          </w:p>
        </w:tc>
        <w:tc>
          <w:tcPr>
            <w:tcW w:w="680" w:type="dxa"/>
            <w:gridSpan w:val="2"/>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803</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22 749</w:t>
            </w:r>
          </w:p>
        </w:tc>
      </w:tr>
      <w:tr>
        <w:trPr>
          <w:trHeight w:val="315" w:hRule="atLeast"/>
        </w:trPr>
        <w:tc>
          <w:tcPr>
            <w:tcW w:w="1554" w:type="dxa"/>
            <w:vMerge w:val="continue"/>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101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891</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887</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885</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893</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893</w:t>
            </w:r>
          </w:p>
        </w:tc>
        <w:tc>
          <w:tcPr>
            <w:tcW w:w="8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886</w:t>
            </w:r>
          </w:p>
        </w:tc>
        <w:tc>
          <w:tcPr>
            <w:tcW w:w="79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891</w:t>
            </w:r>
          </w:p>
        </w:tc>
        <w:tc>
          <w:tcPr>
            <w:tcW w:w="680" w:type="dxa"/>
            <w:gridSpan w:val="2"/>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893</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892</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554" w:type="dxa"/>
            <w:vMerge w:val="restart"/>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Понад 50 працівників</w:t>
            </w:r>
          </w:p>
        </w:tc>
        <w:tc>
          <w:tcPr>
            <w:tcW w:w="101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884 405</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508 306</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186 227</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2 156</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2 623</w:t>
            </w:r>
          </w:p>
        </w:tc>
        <w:tc>
          <w:tcPr>
            <w:tcW w:w="8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86 430</w:t>
            </w:r>
          </w:p>
        </w:tc>
        <w:tc>
          <w:tcPr>
            <w:tcW w:w="79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58 894</w:t>
            </w:r>
          </w:p>
        </w:tc>
        <w:tc>
          <w:tcPr>
            <w:tcW w:w="680" w:type="dxa"/>
            <w:gridSpan w:val="2"/>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1 326</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60 689</w:t>
            </w:r>
          </w:p>
        </w:tc>
      </w:tr>
      <w:tr>
        <w:trPr>
          <w:trHeight w:val="315" w:hRule="atLeast"/>
        </w:trPr>
        <w:tc>
          <w:tcPr>
            <w:tcW w:w="1554" w:type="dxa"/>
            <w:vMerge w:val="continue"/>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101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75</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74</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75</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75</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75</w:t>
            </w:r>
          </w:p>
        </w:tc>
        <w:tc>
          <w:tcPr>
            <w:tcW w:w="8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75</w:t>
            </w:r>
          </w:p>
        </w:tc>
        <w:tc>
          <w:tcPr>
            <w:tcW w:w="79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74</w:t>
            </w:r>
          </w:p>
        </w:tc>
        <w:tc>
          <w:tcPr>
            <w:tcW w:w="680" w:type="dxa"/>
            <w:gridSpan w:val="2"/>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74</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75</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554" w:type="dxa"/>
            <w:vMerge w:val="restart"/>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Всього</w:t>
            </w:r>
          </w:p>
        </w:tc>
        <w:tc>
          <w:tcPr>
            <w:tcW w:w="101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101 665</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43 238</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21 129</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1 023</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378</w:t>
            </w:r>
          </w:p>
        </w:tc>
        <w:tc>
          <w:tcPr>
            <w:tcW w:w="8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10 381</w:t>
            </w:r>
          </w:p>
        </w:tc>
        <w:tc>
          <w:tcPr>
            <w:tcW w:w="79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11 854</w:t>
            </w:r>
          </w:p>
        </w:tc>
        <w:tc>
          <w:tcPr>
            <w:tcW w:w="680" w:type="dxa"/>
            <w:gridSpan w:val="2"/>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541</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10 666</w:t>
            </w:r>
          </w:p>
        </w:tc>
      </w:tr>
      <w:tr>
        <w:trPr>
          <w:trHeight w:val="315" w:hRule="atLeast"/>
        </w:trPr>
        <w:tc>
          <w:tcPr>
            <w:tcW w:w="1554" w:type="dxa"/>
            <w:vMerge w:val="continue"/>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101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2 862</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2 934</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2 933</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2 942</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2 940</w:t>
            </w:r>
          </w:p>
        </w:tc>
        <w:tc>
          <w:tcPr>
            <w:tcW w:w="8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2 934</w:t>
            </w:r>
          </w:p>
        </w:tc>
        <w:tc>
          <w:tcPr>
            <w:tcW w:w="79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2 939</w:t>
            </w:r>
          </w:p>
        </w:tc>
        <w:tc>
          <w:tcPr>
            <w:tcW w:w="680" w:type="dxa"/>
            <w:gridSpan w:val="2"/>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2 941</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2 941</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9784" w:type="dxa"/>
            <w:gridSpan w:val="12"/>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bCs/>
                <w:kern w:val="2"/>
                <w:sz w:val="18"/>
                <w:szCs w:val="18"/>
                <w:lang w:val="uk-UA" w:eastAsia="en-GB" w:bidi="ar-SA"/>
              </w:rPr>
              <w:t>Юридична форма</w:t>
            </w:r>
          </w:p>
        </w:tc>
      </w:tr>
      <w:tr>
        <w:trPr>
          <w:trHeight w:val="315" w:hRule="atLeast"/>
        </w:trPr>
        <w:tc>
          <w:tcPr>
            <w:tcW w:w="155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Фізична особа-підприємець без найманих працівників</w:t>
            </w:r>
          </w:p>
        </w:tc>
        <w:tc>
          <w:tcPr>
            <w:tcW w:w="101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21 260</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8 688</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4 297</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570</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295</w:t>
            </w:r>
          </w:p>
        </w:tc>
        <w:tc>
          <w:tcPr>
            <w:tcW w:w="8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4 119</w:t>
            </w:r>
          </w:p>
        </w:tc>
        <w:tc>
          <w:tcPr>
            <w:tcW w:w="79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1 616</w:t>
            </w:r>
          </w:p>
        </w:tc>
        <w:tc>
          <w:tcPr>
            <w:tcW w:w="680" w:type="dxa"/>
            <w:gridSpan w:val="2"/>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337</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 xml:space="preserve"> </w:t>
            </w:r>
            <w:r>
              <w:rPr>
                <w:rFonts w:eastAsia="SimSun" w:cs="Calibri" w:cstheme="minorHAnsi"/>
                <w:kern w:val="2"/>
                <w:sz w:val="18"/>
                <w:szCs w:val="18"/>
                <w:lang w:val="uk-UA" w:eastAsia="en-GB" w:bidi="ar-SA"/>
              </w:rPr>
              <w:t>399</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55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101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1 883</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1 960</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1 960</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1 961</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1 959</w:t>
            </w:r>
          </w:p>
        </w:tc>
        <w:tc>
          <w:tcPr>
            <w:tcW w:w="8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1 960</w:t>
            </w:r>
          </w:p>
        </w:tc>
        <w:tc>
          <w:tcPr>
            <w:tcW w:w="79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1 961</w:t>
            </w:r>
          </w:p>
        </w:tc>
        <w:tc>
          <w:tcPr>
            <w:tcW w:w="680" w:type="dxa"/>
            <w:gridSpan w:val="2"/>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1 961</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1 961</w:t>
            </w:r>
          </w:p>
        </w:tc>
      </w:tr>
      <w:tr>
        <w:trPr>
          <w:trHeight w:val="315" w:hRule="atLeast"/>
        </w:trPr>
        <w:tc>
          <w:tcPr>
            <w:tcW w:w="155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Фізична особа-підприємець з найманими працівниками</w:t>
            </w:r>
          </w:p>
        </w:tc>
        <w:tc>
          <w:tcPr>
            <w:tcW w:w="101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 xml:space="preserve">8 143 </w:t>
            </w:r>
            <w:r>
              <w:rPr>
                <w:rStyle w:val="FootnoteReference"/>
                <w:rFonts w:eastAsia="SimSun" w:cs="Calibri" w:cstheme="minorHAnsi"/>
                <w:kern w:val="2"/>
                <w:sz w:val="18"/>
                <w:szCs w:val="18"/>
                <w:lang w:val="uk-UA" w:eastAsia="en-GB" w:bidi="ar-SA"/>
              </w:rPr>
              <w:footnoteReference w:id="7"/>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5 544</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797</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130</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83</w:t>
            </w:r>
          </w:p>
        </w:tc>
        <w:tc>
          <w:tcPr>
            <w:tcW w:w="8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1 114</w:t>
            </w:r>
          </w:p>
        </w:tc>
        <w:tc>
          <w:tcPr>
            <w:tcW w:w="79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285</w:t>
            </w:r>
          </w:p>
        </w:tc>
        <w:tc>
          <w:tcPr>
            <w:tcW w:w="680" w:type="dxa"/>
            <w:gridSpan w:val="2"/>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37</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149</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55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101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330</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330</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329</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331</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331</w:t>
            </w:r>
          </w:p>
        </w:tc>
        <w:tc>
          <w:tcPr>
            <w:tcW w:w="8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331</w:t>
            </w:r>
          </w:p>
        </w:tc>
        <w:tc>
          <w:tcPr>
            <w:tcW w:w="79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331</w:t>
            </w:r>
          </w:p>
        </w:tc>
        <w:tc>
          <w:tcPr>
            <w:tcW w:w="680" w:type="dxa"/>
            <w:gridSpan w:val="2"/>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331</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331</w:t>
            </w:r>
          </w:p>
        </w:tc>
      </w:tr>
      <w:tr>
        <w:trPr>
          <w:trHeight w:val="315" w:hRule="atLeast"/>
        </w:trPr>
        <w:tc>
          <w:tcPr>
            <w:tcW w:w="155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Юридична особа</w:t>
            </w:r>
          </w:p>
        </w:tc>
        <w:tc>
          <w:tcPr>
            <w:tcW w:w="101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322 983</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141 471</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69 708</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2 527</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717</w:t>
            </w:r>
          </w:p>
        </w:tc>
        <w:tc>
          <w:tcPr>
            <w:tcW w:w="8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29 527</w:t>
            </w:r>
          </w:p>
        </w:tc>
        <w:tc>
          <w:tcPr>
            <w:tcW w:w="79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40 769</w:t>
            </w:r>
          </w:p>
        </w:tc>
        <w:tc>
          <w:tcPr>
            <w:tcW w:w="680" w:type="dxa"/>
            <w:gridSpan w:val="2"/>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1 270</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39 035</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55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101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700</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694</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695</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703</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704</w:t>
            </w:r>
          </w:p>
        </w:tc>
        <w:tc>
          <w:tcPr>
            <w:tcW w:w="8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694</w:t>
            </w:r>
          </w:p>
        </w:tc>
        <w:tc>
          <w:tcPr>
            <w:tcW w:w="79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699</w:t>
            </w:r>
          </w:p>
        </w:tc>
        <w:tc>
          <w:tcPr>
            <w:tcW w:w="680" w:type="dxa"/>
            <w:gridSpan w:val="2"/>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703</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703</w:t>
            </w:r>
          </w:p>
        </w:tc>
      </w:tr>
      <w:tr>
        <w:trPr>
          <w:trHeight w:val="315" w:hRule="atLeast"/>
        </w:trPr>
        <w:tc>
          <w:tcPr>
            <w:tcW w:w="155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t>Всього</w:t>
            </w:r>
          </w:p>
        </w:tc>
        <w:tc>
          <w:tcPr>
            <w:tcW w:w="101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100 819</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42 981</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20 950</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1 008</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370</w:t>
            </w:r>
          </w:p>
        </w:tc>
        <w:tc>
          <w:tcPr>
            <w:tcW w:w="8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10 291</w:t>
            </w:r>
          </w:p>
        </w:tc>
        <w:tc>
          <w:tcPr>
            <w:tcW w:w="79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11 732</w:t>
            </w:r>
          </w:p>
        </w:tc>
        <w:tc>
          <w:tcPr>
            <w:tcW w:w="680" w:type="dxa"/>
            <w:gridSpan w:val="2"/>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533</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10 587</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55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lang w:val="uk-UA"/>
              </w:rPr>
            </w:pPr>
            <w:r>
              <w:rPr>
                <w:rFonts w:eastAsia="SimSun" w:cs="Calibri" w:cstheme="minorHAnsi"/>
                <w:b w:val="false"/>
                <w:bCs/>
                <w:kern w:val="2"/>
                <w:sz w:val="18"/>
                <w:szCs w:val="18"/>
                <w:lang w:val="uk-UA" w:eastAsia="en-GB" w:bidi="ar-SA"/>
              </w:rPr>
            </w:r>
          </w:p>
        </w:tc>
        <w:tc>
          <w:tcPr>
            <w:tcW w:w="101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2 913</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2 984</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2 984</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2 995</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2 994</w:t>
            </w:r>
          </w:p>
        </w:tc>
        <w:tc>
          <w:tcPr>
            <w:tcW w:w="8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2 985</w:t>
            </w:r>
          </w:p>
        </w:tc>
        <w:tc>
          <w:tcPr>
            <w:tcW w:w="79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2 991</w:t>
            </w:r>
          </w:p>
        </w:tc>
        <w:tc>
          <w:tcPr>
            <w:tcW w:w="680" w:type="dxa"/>
            <w:gridSpan w:val="2"/>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2 995</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2 995</w:t>
            </w:r>
          </w:p>
        </w:tc>
      </w:tr>
    </w:tbl>
    <w:p>
      <w:pPr>
        <w:pStyle w:val="Normal"/>
        <w:rPr>
          <w:b/>
          <w:bCs/>
          <w:lang w:val="uk-UA"/>
        </w:rPr>
      </w:pPr>
      <w:r>
        <w:rPr>
          <w:b/>
          <w:bCs/>
          <w:lang w:val="uk-UA"/>
        </w:rPr>
      </w:r>
    </w:p>
    <w:p>
      <w:pPr>
        <w:pStyle w:val="ListParagraph"/>
        <w:numPr>
          <w:ilvl w:val="0"/>
          <w:numId w:val="2"/>
        </w:numPr>
        <w:jc w:val="both"/>
        <w:rPr>
          <w:rFonts w:cs="Calibri" w:cstheme="minorHAnsi"/>
          <w:lang w:val="uk-UA"/>
        </w:rPr>
      </w:pPr>
      <w:r>
        <w:rPr>
          <w:b/>
          <w:bCs/>
          <w:lang w:val="uk-UA"/>
        </w:rPr>
        <w:t xml:space="preserve">Більшість підприємств, які мають найманих працівників, заявляють, що сплачують ПДВ. </w:t>
      </w:r>
      <w:r>
        <w:rPr>
          <w:lang w:val="uk-UA"/>
        </w:rPr>
        <w:t xml:space="preserve">Існує значна різниця між фізичними особами-підприємцями та юридичними особами: 86% юридичних осіб сплачують ПДВ порівняно з 44,2% фізичних осіб-підприємців. Лише 33,9% підприємств без найманих працівників сплачували ПДВ порівняно з понад 80% підприємств з найманими працівниками. </w:t>
      </w:r>
    </w:p>
    <w:p>
      <w:pPr>
        <w:pStyle w:val="ListParagraph"/>
        <w:numPr>
          <w:ilvl w:val="0"/>
          <w:numId w:val="2"/>
        </w:numPr>
        <w:jc w:val="both"/>
        <w:rPr>
          <w:rFonts w:cs="Calibri" w:cstheme="minorHAnsi"/>
          <w:lang w:val="uk-UA"/>
        </w:rPr>
      </w:pPr>
      <w:r>
        <w:rPr>
          <w:b/>
          <w:bCs/>
          <w:lang w:val="uk-UA"/>
        </w:rPr>
        <w:t>Серед усіх підприємств</w:t>
      </w:r>
      <w:r>
        <w:rPr>
          <w:rStyle w:val="FootnoteReference"/>
          <w:b/>
          <w:bCs/>
          <w:lang w:val="uk-UA"/>
        </w:rPr>
        <w:footnoteReference w:id="8"/>
      </w:r>
      <w:r>
        <w:rPr>
          <w:b/>
          <w:bCs/>
          <w:lang w:val="uk-UA"/>
        </w:rPr>
        <w:t xml:space="preserve"> ПДВ виявився найдорожчим податком з точки зору комплаєнсу - в середньому 121 050 грн. на підприємство</w:t>
      </w:r>
      <w:r>
        <w:rPr>
          <w:lang w:val="uk-UA"/>
        </w:rPr>
        <w:t xml:space="preserve">. В середньому українські підприємства, зареєстровані платниками ПДВ, витрачали близько 120 000 грн. на виконання вимог щодо сплати ПДВ (Таблиця 6). Ця цифра еквівалентна найму бухгалтера на повну ставку протягом приблизно 8-ми місяців щороку для виконання вимог щодо сплати ПДВ. </w:t>
      </w:r>
    </w:p>
    <w:p>
      <w:pPr>
        <w:pStyle w:val="Normal"/>
        <w:spacing w:before="120" w:after="120"/>
        <w:rPr>
          <w:b/>
          <w:bCs/>
          <w:lang w:val="uk-UA"/>
        </w:rPr>
      </w:pPr>
      <w:r>
        <w:rPr>
          <w:b/>
          <w:bCs/>
          <w:lang w:val="uk-UA"/>
        </w:rPr>
        <w:t>Таблиця 6. Середні витрати на облік окремих податків і зборів в Україні у 2023 році, грн.</w:t>
      </w:r>
    </w:p>
    <w:tbl>
      <w:tblPr>
        <w:tblStyle w:val="GridTable4Accent1"/>
        <w:tblW w:w="968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412"/>
        <w:gridCol w:w="1193"/>
        <w:gridCol w:w="900"/>
        <w:gridCol w:w="1309"/>
        <w:gridCol w:w="993"/>
        <w:gridCol w:w="1228"/>
        <w:gridCol w:w="880"/>
        <w:gridCol w:w="811"/>
        <w:gridCol w:w="955"/>
      </w:tblGrid>
      <w:tr>
        <w:trPr>
          <w:tblHeader w:val="true"/>
          <w:trHeight w:val="600" w:hRule="atLeast"/>
          <w:cnfStyle w:val="100000000000" w:firstRow="1" w:lastRow="0" w:firstColumn="0" w:lastColumn="0" w:oddVBand="0" w:evenVBand="0" w:oddHBand="0" w:evenHBand="0" w:firstRowFirstColumn="0" w:firstRowLastColumn="0" w:lastRowFirstColumn="0" w:lastRowLastColumn="0"/>
        </w:trPr>
        <w:tc>
          <w:tcPr>
            <w:tcW w:w="2605" w:type="dxa"/>
            <w:gridSpan w:val="2"/>
            <w:cnfStyle w:val="001000000000" w:firstRow="0" w:lastRow="0" w:firstColumn="1" w:lastColumn="0" w:oddVBand="0" w:evenVBand="0" w:oddHBand="0" w:evenHBand="0" w:firstRowFirstColumn="0" w:firstRowLastColumn="0" w:lastRowFirstColumn="0" w:lastRowLastColumn="0"/>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b w:val="false"/>
                <w:bCs w:val="false"/>
                <w:szCs w:val="18"/>
                <w:lang w:val="uk-UA"/>
              </w:rPr>
            </w:pPr>
            <w:r>
              <w:rPr>
                <w:rFonts w:eastAsia="SimSun" w:cs="Calibri" w:cstheme="minorHAnsi"/>
                <w:b/>
                <w:bCs/>
                <w:color w:themeColor="background1" w:val="FFFFFF"/>
                <w:kern w:val="2"/>
                <w:sz w:val="18"/>
                <w:szCs w:val="18"/>
                <w:lang w:val="uk-UA" w:eastAsia="en-GB" w:bidi="ar-SA"/>
              </w:rPr>
              <w:t>Податки та збори</w:t>
            </w:r>
          </w:p>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b/>
                <w:bCs/>
                <w:color w:themeColor="background1" w:val="FFFFFF"/>
                <w:sz w:val="18"/>
                <w:lang w:eastAsia="en-GB" w:bidi="ar-SA"/>
              </w:rPr>
            </w:r>
          </w:p>
        </w:tc>
        <w:tc>
          <w:tcPr>
            <w:tcW w:w="900" w:type="dxa"/>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b/>
                <w:bCs/>
                <w:color w:themeColor="background1" w:val="FFFFFF"/>
                <w:kern w:val="2"/>
                <w:sz w:val="18"/>
                <w:szCs w:val="18"/>
                <w:lang w:val="uk-UA" w:eastAsia="en-GB" w:bidi="ar-SA"/>
              </w:rPr>
              <w:t>ПДВ</w:t>
            </w:r>
          </w:p>
        </w:tc>
        <w:tc>
          <w:tcPr>
            <w:tcW w:w="1309" w:type="dxa"/>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b/>
                <w:bCs/>
                <w:color w:themeColor="background1" w:val="FFFFFF"/>
                <w:kern w:val="2"/>
                <w:sz w:val="18"/>
                <w:szCs w:val="18"/>
                <w:lang w:val="uk-UA" w:eastAsia="en-GB" w:bidi="ar-SA"/>
              </w:rPr>
              <w:t>Податок на прибуток підприємств</w:t>
            </w:r>
          </w:p>
        </w:tc>
        <w:tc>
          <w:tcPr>
            <w:tcW w:w="993" w:type="dxa"/>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b/>
                <w:bCs/>
                <w:color w:themeColor="background1" w:val="FFFFFF"/>
                <w:kern w:val="2"/>
                <w:sz w:val="18"/>
                <w:szCs w:val="18"/>
                <w:lang w:val="uk-UA" w:eastAsia="en-GB" w:bidi="ar-SA"/>
              </w:rPr>
              <w:t>Єдиний соц. внесок</w:t>
            </w:r>
          </w:p>
        </w:tc>
        <w:tc>
          <w:tcPr>
            <w:tcW w:w="1228" w:type="dxa"/>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b/>
                <w:bCs/>
                <w:color w:themeColor="background1" w:val="FFFFFF"/>
                <w:kern w:val="2"/>
                <w:sz w:val="18"/>
                <w:szCs w:val="18"/>
                <w:lang w:val="uk-UA" w:eastAsia="en-GB" w:bidi="ar-SA"/>
              </w:rPr>
              <w:t>Податок на доходи фізичних осіб</w:t>
            </w:r>
          </w:p>
        </w:tc>
        <w:tc>
          <w:tcPr>
            <w:tcW w:w="880" w:type="dxa"/>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b/>
                <w:bCs/>
                <w:color w:themeColor="background1" w:val="FFFFFF"/>
                <w:kern w:val="2"/>
                <w:sz w:val="18"/>
                <w:szCs w:val="18"/>
                <w:lang w:val="uk-UA" w:eastAsia="en-GB" w:bidi="ar-SA"/>
              </w:rPr>
              <w:t>Єдиний податок</w:t>
            </w:r>
          </w:p>
        </w:tc>
        <w:tc>
          <w:tcPr>
            <w:tcW w:w="811" w:type="dxa"/>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b/>
                <w:bCs/>
                <w:color w:themeColor="background1" w:val="FFFFFF"/>
                <w:kern w:val="2"/>
                <w:sz w:val="18"/>
                <w:szCs w:val="18"/>
                <w:lang w:val="uk-UA" w:eastAsia="en-GB" w:bidi="ar-SA"/>
              </w:rPr>
              <w:t>Плата за землю</w:t>
            </w:r>
          </w:p>
        </w:tc>
        <w:tc>
          <w:tcPr>
            <w:tcW w:w="955" w:type="dxa"/>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b/>
                <w:bCs/>
                <w:color w:themeColor="background1" w:val="FFFFFF"/>
                <w:kern w:val="2"/>
                <w:sz w:val="18"/>
                <w:szCs w:val="18"/>
                <w:lang w:val="uk-UA" w:eastAsia="en-GB" w:bidi="ar-SA"/>
              </w:rPr>
              <w:t>Інше</w:t>
            </w:r>
          </w:p>
        </w:tc>
      </w:tr>
      <w:tr>
        <w:trPr>
          <w:trHeight w:val="314" w:hRule="atLeast"/>
          <w:cnfStyle w:val="000000100000" w:firstRow="0" w:lastRow="0" w:firstColumn="0" w:lastColumn="0" w:oddVBand="0" w:evenVBand="0" w:oddHBand="1" w:evenHBand="0" w:firstRowFirstColumn="0" w:firstRowLastColumn="0" w:lastRowFirstColumn="0" w:lastRowLastColumn="0"/>
        </w:trPr>
        <w:tc>
          <w:tcPr>
            <w:tcW w:w="9681" w:type="dxa"/>
            <w:gridSpan w:val="9"/>
            <w:cnfStyle w:val="001000000000" w:firstRow="0" w:lastRow="0" w:firstColumn="1" w:lastColumn="0" w:oddVBand="0" w:evenVBand="0" w:oddHBand="0" w:evenHBand="0" w:firstRowFirstColumn="0" w:firstRowLastColumn="0" w:lastRowFirstColumn="0" w:lastRowLastColumn="0"/>
            <w:tcBorders>
              <w:top w:val="single" w:sz="4" w:space="0" w:color="FFFFFF"/>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bCs/>
                <w:kern w:val="2"/>
                <w:sz w:val="18"/>
                <w:szCs w:val="18"/>
                <w:lang w:val="uk-UA" w:eastAsia="en-GB" w:bidi="ar-SA"/>
              </w:rPr>
              <w:t>Оборот</w:t>
            </w:r>
          </w:p>
        </w:tc>
      </w:tr>
      <w:tr>
        <w:trPr>
          <w:trHeight w:val="300" w:hRule="atLeast"/>
        </w:trPr>
        <w:tc>
          <w:tcPr>
            <w:tcW w:w="1412"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Менше 1 мільйона гривень</w:t>
            </w:r>
          </w:p>
        </w:tc>
        <w:tc>
          <w:tcPr>
            <w:tcW w:w="11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73942,4</w:t>
            </w:r>
          </w:p>
        </w:tc>
        <w:tc>
          <w:tcPr>
            <w:tcW w:w="13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17339,2</w:t>
            </w:r>
          </w:p>
        </w:tc>
        <w:tc>
          <w:tcPr>
            <w:tcW w:w="9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12812,3</w:t>
            </w:r>
          </w:p>
        </w:tc>
        <w:tc>
          <w:tcPr>
            <w:tcW w:w="122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11952,6</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11958,7</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7489,7</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8627,8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412"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sz w:val="18"/>
                <w:szCs w:val="18"/>
                <w:lang w:val="uk-UA" w:eastAsia="en-GB" w:bidi="ar-SA"/>
              </w:rPr>
            </w:r>
          </w:p>
        </w:tc>
        <w:tc>
          <w:tcPr>
            <w:tcW w:w="11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38</w:t>
            </w:r>
          </w:p>
        </w:tc>
        <w:tc>
          <w:tcPr>
            <w:tcW w:w="13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43</w:t>
            </w:r>
          </w:p>
        </w:tc>
        <w:tc>
          <w:tcPr>
            <w:tcW w:w="9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93</w:t>
            </w:r>
          </w:p>
        </w:tc>
        <w:tc>
          <w:tcPr>
            <w:tcW w:w="122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93</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51</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31</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30</w:t>
            </w:r>
          </w:p>
        </w:tc>
      </w:tr>
      <w:tr>
        <w:trPr>
          <w:trHeight w:val="300" w:hRule="atLeast"/>
        </w:trPr>
        <w:tc>
          <w:tcPr>
            <w:tcW w:w="1412"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1 - 8 мільйонів гривень</w:t>
            </w:r>
          </w:p>
        </w:tc>
        <w:tc>
          <w:tcPr>
            <w:tcW w:w="11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119755</w:t>
            </w:r>
          </w:p>
        </w:tc>
        <w:tc>
          <w:tcPr>
            <w:tcW w:w="13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33880,4</w:t>
            </w:r>
          </w:p>
        </w:tc>
        <w:tc>
          <w:tcPr>
            <w:tcW w:w="9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17954,5</w:t>
            </w:r>
          </w:p>
        </w:tc>
        <w:tc>
          <w:tcPr>
            <w:tcW w:w="122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17334,5</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5903,8</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4229,2</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5430,8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412"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sz w:val="18"/>
                <w:szCs w:val="18"/>
                <w:lang w:val="uk-UA" w:eastAsia="en-GB" w:bidi="ar-SA"/>
              </w:rPr>
            </w:r>
          </w:p>
        </w:tc>
        <w:tc>
          <w:tcPr>
            <w:tcW w:w="11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130</w:t>
            </w:r>
          </w:p>
        </w:tc>
        <w:tc>
          <w:tcPr>
            <w:tcW w:w="13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99</w:t>
            </w:r>
          </w:p>
        </w:tc>
        <w:tc>
          <w:tcPr>
            <w:tcW w:w="9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171</w:t>
            </w:r>
          </w:p>
        </w:tc>
        <w:tc>
          <w:tcPr>
            <w:tcW w:w="122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172</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75</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55</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59</w:t>
            </w:r>
          </w:p>
        </w:tc>
      </w:tr>
      <w:tr>
        <w:trPr>
          <w:trHeight w:val="300" w:hRule="atLeast"/>
        </w:trPr>
        <w:tc>
          <w:tcPr>
            <w:tcW w:w="1412"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8 - 80 мільйонів гривень</w:t>
            </w:r>
          </w:p>
        </w:tc>
        <w:tc>
          <w:tcPr>
            <w:tcW w:w="11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106363,6</w:t>
            </w:r>
          </w:p>
        </w:tc>
        <w:tc>
          <w:tcPr>
            <w:tcW w:w="13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36200,6</w:t>
            </w:r>
          </w:p>
        </w:tc>
        <w:tc>
          <w:tcPr>
            <w:tcW w:w="9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40381,6</w:t>
            </w:r>
          </w:p>
        </w:tc>
        <w:tc>
          <w:tcPr>
            <w:tcW w:w="122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47217,2</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22044,7</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6641,5</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10908,3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412"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sz w:val="18"/>
                <w:szCs w:val="18"/>
                <w:lang w:val="uk-UA" w:eastAsia="en-GB" w:bidi="ar-SA"/>
              </w:rPr>
            </w:r>
          </w:p>
        </w:tc>
        <w:tc>
          <w:tcPr>
            <w:tcW w:w="11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163</w:t>
            </w:r>
          </w:p>
        </w:tc>
        <w:tc>
          <w:tcPr>
            <w:tcW w:w="13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142</w:t>
            </w:r>
          </w:p>
        </w:tc>
        <w:tc>
          <w:tcPr>
            <w:tcW w:w="9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167</w:t>
            </w:r>
          </w:p>
        </w:tc>
        <w:tc>
          <w:tcPr>
            <w:tcW w:w="122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173</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30</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48</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69</w:t>
            </w:r>
          </w:p>
        </w:tc>
      </w:tr>
      <w:tr>
        <w:trPr>
          <w:trHeight w:val="300" w:hRule="atLeast"/>
        </w:trPr>
        <w:tc>
          <w:tcPr>
            <w:tcW w:w="1412"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Понад 80 мільйонів гривень</w:t>
            </w:r>
          </w:p>
        </w:tc>
        <w:tc>
          <w:tcPr>
            <w:tcW w:w="11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216179,4</w:t>
            </w:r>
          </w:p>
        </w:tc>
        <w:tc>
          <w:tcPr>
            <w:tcW w:w="13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112966,2</w:t>
            </w:r>
          </w:p>
        </w:tc>
        <w:tc>
          <w:tcPr>
            <w:tcW w:w="9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80927,3</w:t>
            </w:r>
          </w:p>
        </w:tc>
        <w:tc>
          <w:tcPr>
            <w:tcW w:w="122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84111,3</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25754,4</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45816,6</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62495,3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412"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sz w:val="18"/>
                <w:szCs w:val="18"/>
                <w:lang w:val="uk-UA" w:eastAsia="en-GB" w:bidi="ar-SA"/>
              </w:rPr>
            </w:r>
          </w:p>
        </w:tc>
        <w:tc>
          <w:tcPr>
            <w:tcW w:w="11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65</w:t>
            </w:r>
          </w:p>
        </w:tc>
        <w:tc>
          <w:tcPr>
            <w:tcW w:w="13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63</w:t>
            </w:r>
          </w:p>
        </w:tc>
        <w:tc>
          <w:tcPr>
            <w:tcW w:w="9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69</w:t>
            </w:r>
          </w:p>
        </w:tc>
        <w:tc>
          <w:tcPr>
            <w:tcW w:w="122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73</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10</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34</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44</w:t>
            </w:r>
          </w:p>
        </w:tc>
      </w:tr>
      <w:tr>
        <w:trPr>
          <w:trHeight w:val="300" w:hRule="atLeast"/>
        </w:trPr>
        <w:tc>
          <w:tcPr>
            <w:tcW w:w="1412"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Всього</w:t>
            </w:r>
            <w:r>
              <w:rPr>
                <w:rStyle w:val="FootnoteReference"/>
                <w:rFonts w:eastAsia="SimSun" w:cs="Calibri" w:cstheme="minorHAnsi"/>
                <w:b w:val="false"/>
                <w:bCs/>
                <w:kern w:val="2"/>
                <w:sz w:val="18"/>
                <w:szCs w:val="18"/>
                <w:lang w:val="uk-UA" w:eastAsia="en-GB" w:bidi="ar-SA"/>
              </w:rPr>
              <w:footnoteReference w:id="9"/>
            </w:r>
          </w:p>
        </w:tc>
        <w:tc>
          <w:tcPr>
            <w:tcW w:w="11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121050,6</w:t>
            </w:r>
          </w:p>
        </w:tc>
        <w:tc>
          <w:tcPr>
            <w:tcW w:w="13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44391,3</w:t>
            </w:r>
          </w:p>
        </w:tc>
        <w:tc>
          <w:tcPr>
            <w:tcW w:w="9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30623,9</w:t>
            </w:r>
          </w:p>
        </w:tc>
        <w:tc>
          <w:tcPr>
            <w:tcW w:w="122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32988,6</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12030</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11724,3</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18513,8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412"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sz w:val="18"/>
                <w:szCs w:val="18"/>
                <w:lang w:val="uk-UA" w:eastAsia="en-GB" w:bidi="ar-SA"/>
              </w:rPr>
            </w:r>
          </w:p>
        </w:tc>
        <w:tc>
          <w:tcPr>
            <w:tcW w:w="11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396</w:t>
            </w:r>
          </w:p>
        </w:tc>
        <w:tc>
          <w:tcPr>
            <w:tcW w:w="13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347</w:t>
            </w:r>
          </w:p>
        </w:tc>
        <w:tc>
          <w:tcPr>
            <w:tcW w:w="9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500</w:t>
            </w:r>
          </w:p>
        </w:tc>
        <w:tc>
          <w:tcPr>
            <w:tcW w:w="122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511</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166</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168</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202</w:t>
            </w:r>
          </w:p>
        </w:tc>
      </w:tr>
      <w:tr>
        <w:trPr>
          <w:trHeight w:val="315" w:hRule="atLeast"/>
        </w:trPr>
        <w:tc>
          <w:tcPr>
            <w:tcW w:w="9681" w:type="dxa"/>
            <w:gridSpan w:val="9"/>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bCs w:val="false"/>
                <w:kern w:val="2"/>
                <w:sz w:val="18"/>
                <w:szCs w:val="18"/>
                <w:lang w:val="uk-UA" w:eastAsia="en-GB" w:bidi="ar-SA"/>
              </w:rPr>
              <w:t> </w:t>
            </w:r>
            <w:r>
              <w:rPr>
                <w:rFonts w:eastAsia="SimSun" w:cs="Calibri" w:cstheme="minorHAnsi"/>
                <w:b/>
                <w:bCs w:val="false"/>
                <w:kern w:val="2"/>
                <w:sz w:val="18"/>
                <w:szCs w:val="18"/>
                <w:lang w:val="uk-UA" w:eastAsia="en-GB" w:bidi="ar-SA"/>
              </w:rPr>
              <w:t>Всього працівників</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412" w:type="dxa"/>
            <w:vMerge w:val="restart"/>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Без найманих працівників</w:t>
            </w:r>
          </w:p>
        </w:tc>
        <w:tc>
          <w:tcPr>
            <w:tcW w:w="11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en-US" w:eastAsia="en-GB" w:bidi="ar-SA"/>
              </w:rPr>
              <w:t>.</w:t>
            </w:r>
          </w:p>
        </w:tc>
        <w:tc>
          <w:tcPr>
            <w:tcW w:w="13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en-US" w:eastAsia="en-GB" w:bidi="ar-SA"/>
              </w:rPr>
              <w:t>.</w:t>
            </w:r>
          </w:p>
        </w:tc>
        <w:tc>
          <w:tcPr>
            <w:tcW w:w="9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en-US" w:eastAsia="en-GB" w:bidi="ar-SA"/>
              </w:rPr>
              <w:t>.</w:t>
            </w:r>
          </w:p>
        </w:tc>
        <w:tc>
          <w:tcPr>
            <w:tcW w:w="122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en-US" w:eastAsia="en-GB" w:bidi="ar-SA"/>
              </w:rPr>
              <w:t>.</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en-US" w:eastAsia="en-GB" w:bidi="ar-SA"/>
              </w:rPr>
              <w:t>.</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en-US" w:eastAsia="en-GB" w:bidi="ar-SA"/>
              </w:rPr>
              <w:t>.</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en-US" w:eastAsia="en-GB" w:bidi="ar-SA"/>
              </w:rPr>
              <w:t>.</w:t>
            </w:r>
          </w:p>
        </w:tc>
      </w:tr>
      <w:tr>
        <w:trPr>
          <w:trHeight w:val="315" w:hRule="atLeast"/>
        </w:trPr>
        <w:tc>
          <w:tcPr>
            <w:tcW w:w="1412" w:type="dxa"/>
            <w:vMerge w:val="continue"/>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sz w:val="18"/>
                <w:szCs w:val="18"/>
                <w:lang w:val="uk-UA" w:eastAsia="en-GB" w:bidi="ar-SA"/>
              </w:rPr>
            </w:r>
          </w:p>
        </w:tc>
        <w:tc>
          <w:tcPr>
            <w:tcW w:w="11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w:t>
            </w:r>
          </w:p>
        </w:tc>
        <w:tc>
          <w:tcPr>
            <w:tcW w:w="13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w:t>
            </w:r>
          </w:p>
        </w:tc>
        <w:tc>
          <w:tcPr>
            <w:tcW w:w="9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w:t>
            </w:r>
          </w:p>
        </w:tc>
        <w:tc>
          <w:tcPr>
            <w:tcW w:w="122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412" w:type="dxa"/>
            <w:vMerge w:val="restart"/>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До 50 працівників</w:t>
            </w:r>
          </w:p>
        </w:tc>
        <w:tc>
          <w:tcPr>
            <w:tcW w:w="11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95792,7</w:t>
            </w:r>
          </w:p>
        </w:tc>
        <w:tc>
          <w:tcPr>
            <w:tcW w:w="13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32868</w:t>
            </w:r>
          </w:p>
        </w:tc>
        <w:tc>
          <w:tcPr>
            <w:tcW w:w="9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21586,3</w:t>
            </w:r>
          </w:p>
        </w:tc>
        <w:tc>
          <w:tcPr>
            <w:tcW w:w="122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24149,7</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9544,7</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6313,3</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7794,3</w:t>
            </w:r>
          </w:p>
        </w:tc>
      </w:tr>
      <w:tr>
        <w:trPr>
          <w:trHeight w:val="300" w:hRule="atLeast"/>
        </w:trPr>
        <w:tc>
          <w:tcPr>
            <w:tcW w:w="1412" w:type="dxa"/>
            <w:vMerge w:val="continue"/>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sz w:val="18"/>
                <w:szCs w:val="18"/>
                <w:lang w:val="uk-UA" w:eastAsia="en-GB" w:bidi="ar-SA"/>
              </w:rPr>
            </w:r>
          </w:p>
        </w:tc>
        <w:tc>
          <w:tcPr>
            <w:tcW w:w="11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349</w:t>
            </w:r>
          </w:p>
        </w:tc>
        <w:tc>
          <w:tcPr>
            <w:tcW w:w="13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320</w:t>
            </w:r>
          </w:p>
        </w:tc>
        <w:tc>
          <w:tcPr>
            <w:tcW w:w="9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458</w:t>
            </w:r>
          </w:p>
        </w:tc>
        <w:tc>
          <w:tcPr>
            <w:tcW w:w="122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467</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161</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122</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152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412" w:type="dxa"/>
            <w:vMerge w:val="restart"/>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Понад 50 працівників</w:t>
            </w:r>
          </w:p>
        </w:tc>
        <w:tc>
          <w:tcPr>
            <w:tcW w:w="11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236167,2</w:t>
            </w:r>
          </w:p>
        </w:tc>
        <w:tc>
          <w:tcPr>
            <w:tcW w:w="13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146774,9</w:t>
            </w:r>
          </w:p>
        </w:tc>
        <w:tc>
          <w:tcPr>
            <w:tcW w:w="9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127863</w:t>
            </w:r>
          </w:p>
        </w:tc>
        <w:tc>
          <w:tcPr>
            <w:tcW w:w="122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124449,7</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67390,5</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30992,4</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60012,2</w:t>
            </w:r>
          </w:p>
        </w:tc>
      </w:tr>
      <w:tr>
        <w:trPr>
          <w:trHeight w:val="300" w:hRule="atLeast"/>
        </w:trPr>
        <w:tc>
          <w:tcPr>
            <w:tcW w:w="1412" w:type="dxa"/>
            <w:vMerge w:val="continue"/>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sz w:val="18"/>
                <w:szCs w:val="18"/>
                <w:lang w:val="uk-UA" w:eastAsia="en-GB" w:bidi="ar-SA"/>
              </w:rPr>
            </w:r>
          </w:p>
        </w:tc>
        <w:tc>
          <w:tcPr>
            <w:tcW w:w="11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69</w:t>
            </w:r>
          </w:p>
        </w:tc>
        <w:tc>
          <w:tcPr>
            <w:tcW w:w="13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52</w:t>
            </w:r>
          </w:p>
        </w:tc>
        <w:tc>
          <w:tcPr>
            <w:tcW w:w="9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68</w:t>
            </w:r>
          </w:p>
        </w:tc>
        <w:tc>
          <w:tcPr>
            <w:tcW w:w="122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73</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8</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49</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59</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412" w:type="dxa"/>
            <w:vMerge w:val="restart"/>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Всього</w:t>
            </w:r>
          </w:p>
        </w:tc>
        <w:tc>
          <w:tcPr>
            <w:tcW w:w="11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119676,9</w:t>
            </w:r>
          </w:p>
        </w:tc>
        <w:tc>
          <w:tcPr>
            <w:tcW w:w="13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46238</w:t>
            </w:r>
          </w:p>
        </w:tc>
        <w:tc>
          <w:tcPr>
            <w:tcW w:w="9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34147,2</w:t>
            </w:r>
          </w:p>
        </w:tc>
        <w:tc>
          <w:tcPr>
            <w:tcW w:w="122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36647,2</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11974,4</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12412,5</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19857,8</w:t>
            </w:r>
          </w:p>
        </w:tc>
      </w:tr>
      <w:tr>
        <w:trPr>
          <w:trHeight w:val="300" w:hRule="atLeast"/>
        </w:trPr>
        <w:tc>
          <w:tcPr>
            <w:tcW w:w="1412" w:type="dxa"/>
            <w:vMerge w:val="continue"/>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sz w:val="18"/>
                <w:szCs w:val="18"/>
                <w:lang w:val="uk-UA" w:eastAsia="en-GB" w:bidi="ar-SA"/>
              </w:rPr>
            </w:r>
          </w:p>
        </w:tc>
        <w:tc>
          <w:tcPr>
            <w:tcW w:w="11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418</w:t>
            </w:r>
          </w:p>
        </w:tc>
        <w:tc>
          <w:tcPr>
            <w:tcW w:w="13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372</w:t>
            </w:r>
          </w:p>
        </w:tc>
        <w:tc>
          <w:tcPr>
            <w:tcW w:w="9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526</w:t>
            </w:r>
          </w:p>
        </w:tc>
        <w:tc>
          <w:tcPr>
            <w:tcW w:w="122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540</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169</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171</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211</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9681" w:type="dxa"/>
            <w:gridSpan w:val="9"/>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bCs/>
                <w:kern w:val="2"/>
                <w:sz w:val="18"/>
                <w:szCs w:val="18"/>
                <w:lang w:val="uk-UA" w:eastAsia="en-GB" w:bidi="ar-SA"/>
              </w:rPr>
              <w:t>Юридична форма</w:t>
            </w:r>
          </w:p>
        </w:tc>
      </w:tr>
      <w:tr>
        <w:trPr>
          <w:trHeight w:val="315" w:hRule="atLeast"/>
        </w:trPr>
        <w:tc>
          <w:tcPr>
            <w:tcW w:w="1412"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Фізична особа-підприємець без найманих працівників</w:t>
            </w:r>
          </w:p>
        </w:tc>
        <w:tc>
          <w:tcPr>
            <w:tcW w:w="11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en-US" w:eastAsia="en-GB" w:bidi="ar-SA"/>
              </w:rPr>
              <w:t>.</w:t>
            </w:r>
          </w:p>
        </w:tc>
        <w:tc>
          <w:tcPr>
            <w:tcW w:w="13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en-US" w:eastAsia="en-GB" w:bidi="ar-SA"/>
              </w:rPr>
              <w:t>.</w:t>
            </w:r>
          </w:p>
        </w:tc>
        <w:tc>
          <w:tcPr>
            <w:tcW w:w="9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en-US" w:eastAsia="en-GB" w:bidi="ar-SA"/>
              </w:rPr>
              <w:t>.</w:t>
            </w:r>
          </w:p>
        </w:tc>
        <w:tc>
          <w:tcPr>
            <w:tcW w:w="122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en-US" w:eastAsia="en-GB" w:bidi="ar-SA"/>
              </w:rPr>
              <w:t>.</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en-US" w:eastAsia="en-GB" w:bidi="ar-SA"/>
              </w:rPr>
              <w:t>.</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en-US" w:eastAsia="en-GB" w:bidi="ar-SA"/>
              </w:rPr>
              <w:t>.</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en-US" w:eastAsia="en-GB" w:bidi="ar-SA"/>
              </w:rPr>
              <w:t>.</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412"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sz w:val="18"/>
                <w:szCs w:val="18"/>
                <w:lang w:val="uk-UA" w:eastAsia="en-GB" w:bidi="ar-SA"/>
              </w:rPr>
            </w:r>
          </w:p>
        </w:tc>
        <w:tc>
          <w:tcPr>
            <w:tcW w:w="11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w:t>
            </w:r>
          </w:p>
        </w:tc>
        <w:tc>
          <w:tcPr>
            <w:tcW w:w="13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w:t>
            </w:r>
          </w:p>
        </w:tc>
        <w:tc>
          <w:tcPr>
            <w:tcW w:w="9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w:t>
            </w:r>
          </w:p>
        </w:tc>
        <w:tc>
          <w:tcPr>
            <w:tcW w:w="122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0</w:t>
            </w:r>
          </w:p>
        </w:tc>
      </w:tr>
      <w:tr>
        <w:trPr>
          <w:trHeight w:val="315" w:hRule="atLeast"/>
        </w:trPr>
        <w:tc>
          <w:tcPr>
            <w:tcW w:w="1412"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Фізична особа-підприємець з найманими працівниками</w:t>
            </w:r>
          </w:p>
        </w:tc>
        <w:tc>
          <w:tcPr>
            <w:tcW w:w="11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17812,6</w:t>
            </w:r>
          </w:p>
        </w:tc>
        <w:tc>
          <w:tcPr>
            <w:tcW w:w="13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30296</w:t>
            </w:r>
          </w:p>
        </w:tc>
        <w:tc>
          <w:tcPr>
            <w:tcW w:w="9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7639,8</w:t>
            </w:r>
          </w:p>
        </w:tc>
        <w:tc>
          <w:tcPr>
            <w:tcW w:w="122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6966,2</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3815,9</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3461,2</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5036,6</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412"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sz w:val="18"/>
                <w:szCs w:val="18"/>
                <w:lang w:val="uk-UA" w:eastAsia="en-GB" w:bidi="ar-SA"/>
              </w:rPr>
            </w:r>
          </w:p>
        </w:tc>
        <w:tc>
          <w:tcPr>
            <w:tcW w:w="11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7</w:t>
            </w:r>
          </w:p>
        </w:tc>
        <w:tc>
          <w:tcPr>
            <w:tcW w:w="13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6</w:t>
            </w:r>
          </w:p>
        </w:tc>
        <w:tc>
          <w:tcPr>
            <w:tcW w:w="9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35</w:t>
            </w:r>
          </w:p>
        </w:tc>
        <w:tc>
          <w:tcPr>
            <w:tcW w:w="122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35</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29</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13</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15</w:t>
            </w:r>
          </w:p>
        </w:tc>
      </w:tr>
      <w:tr>
        <w:trPr>
          <w:trHeight w:val="315" w:hRule="atLeast"/>
        </w:trPr>
        <w:tc>
          <w:tcPr>
            <w:tcW w:w="1412"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Юридична особа</w:t>
            </w:r>
          </w:p>
        </w:tc>
        <w:tc>
          <w:tcPr>
            <w:tcW w:w="11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122561,7</w:t>
            </w:r>
          </w:p>
        </w:tc>
        <w:tc>
          <w:tcPr>
            <w:tcW w:w="13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45725,2</w:t>
            </w:r>
          </w:p>
        </w:tc>
        <w:tc>
          <w:tcPr>
            <w:tcW w:w="9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35647,1</w:t>
            </w:r>
          </w:p>
        </w:tc>
        <w:tc>
          <w:tcPr>
            <w:tcW w:w="122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38358</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13794,9</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13235,8</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22012,3</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412"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sz w:val="18"/>
                <w:szCs w:val="18"/>
                <w:lang w:val="uk-UA" w:eastAsia="en-GB" w:bidi="ar-SA"/>
              </w:rPr>
            </w:r>
          </w:p>
        </w:tc>
        <w:tc>
          <w:tcPr>
            <w:tcW w:w="11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426</w:t>
            </w:r>
          </w:p>
        </w:tc>
        <w:tc>
          <w:tcPr>
            <w:tcW w:w="13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376</w:t>
            </w:r>
          </w:p>
        </w:tc>
        <w:tc>
          <w:tcPr>
            <w:tcW w:w="9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511</w:t>
            </w:r>
          </w:p>
        </w:tc>
        <w:tc>
          <w:tcPr>
            <w:tcW w:w="122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524</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149</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168</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206</w:t>
            </w:r>
          </w:p>
        </w:tc>
      </w:tr>
      <w:tr>
        <w:trPr>
          <w:trHeight w:val="315" w:hRule="atLeast"/>
        </w:trPr>
        <w:tc>
          <w:tcPr>
            <w:tcW w:w="1412"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kern w:val="2"/>
                <w:sz w:val="18"/>
                <w:szCs w:val="18"/>
                <w:lang w:val="uk-UA" w:eastAsia="en-GB" w:bidi="ar-SA"/>
              </w:rPr>
              <w:t>Всього</w:t>
            </w:r>
          </w:p>
        </w:tc>
        <w:tc>
          <w:tcPr>
            <w:tcW w:w="11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Середнє значення</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120548,8</w:t>
            </w:r>
          </w:p>
        </w:tc>
        <w:tc>
          <w:tcPr>
            <w:tcW w:w="13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45339,1</w:t>
            </w:r>
          </w:p>
        </w:tc>
        <w:tc>
          <w:tcPr>
            <w:tcW w:w="99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33298,6</w:t>
            </w:r>
          </w:p>
        </w:tc>
        <w:tc>
          <w:tcPr>
            <w:tcW w:w="122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35738,1</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12023,9</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12242,3</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20268,8</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412"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lang w:val="uk-UA"/>
              </w:rPr>
            </w:pPr>
            <w:r>
              <w:rPr>
                <w:rFonts w:eastAsia="SimSun" w:cs="Calibri" w:cstheme="minorHAnsi"/>
                <w:b w:val="false"/>
                <w:bCs/>
                <w:sz w:val="18"/>
                <w:szCs w:val="18"/>
                <w:lang w:val="uk-UA" w:eastAsia="en-GB" w:bidi="ar-SA"/>
              </w:rPr>
            </w:r>
          </w:p>
        </w:tc>
        <w:tc>
          <w:tcPr>
            <w:tcW w:w="11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Кількість</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433</w:t>
            </w:r>
          </w:p>
        </w:tc>
        <w:tc>
          <w:tcPr>
            <w:tcW w:w="13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382</w:t>
            </w:r>
          </w:p>
        </w:tc>
        <w:tc>
          <w:tcPr>
            <w:tcW w:w="99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546</w:t>
            </w:r>
          </w:p>
        </w:tc>
        <w:tc>
          <w:tcPr>
            <w:tcW w:w="122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559</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178</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181</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lang w:val="uk-UA"/>
              </w:rPr>
            </w:pPr>
            <w:r>
              <w:rPr>
                <w:rFonts w:eastAsia="SimSun" w:cs="Calibri" w:cstheme="minorHAnsi"/>
                <w:kern w:val="2"/>
                <w:sz w:val="18"/>
                <w:szCs w:val="18"/>
                <w:lang w:val="uk-UA" w:eastAsia="en-GB" w:bidi="ar-SA"/>
              </w:rPr>
              <w:t>221</w:t>
            </w:r>
          </w:p>
        </w:tc>
      </w:tr>
    </w:tbl>
    <w:p>
      <w:pPr>
        <w:pStyle w:val="Normal"/>
        <w:rPr>
          <w:b/>
          <w:bCs/>
          <w:lang w:val="uk-UA"/>
        </w:rPr>
      </w:pPr>
      <w:r>
        <w:rPr>
          <w:b/>
          <w:bCs/>
          <w:lang w:val="uk-UA"/>
        </w:rPr>
      </w:r>
    </w:p>
    <w:p>
      <w:pPr>
        <w:pStyle w:val="ListParagraph"/>
        <w:numPr>
          <w:ilvl w:val="0"/>
          <w:numId w:val="2"/>
        </w:numPr>
        <w:jc w:val="both"/>
        <w:rPr>
          <w:rFonts w:cs="Calibri" w:cstheme="minorHAnsi"/>
          <w:lang w:val="uk-UA"/>
        </w:rPr>
      </w:pPr>
      <w:r>
        <w:rPr>
          <w:b/>
          <w:bCs/>
          <w:lang w:val="uk-UA"/>
        </w:rPr>
        <w:t>Більшість підприємств зазначили, що подавали податкову та фінансову звітність в електронному вигляді через Електронний кабінет платника податків (74,6%)</w:t>
      </w:r>
      <w:r>
        <w:rPr>
          <w:lang w:val="uk-UA"/>
        </w:rPr>
        <w:t xml:space="preserve"> (Рисунок 8). Переважно Електронним кабінетом платника податків користувалися підприємства, які не мають найманих працівників (84,0%), тоді як серед тих, хто має до 50 працівників, Електронним кабінетом користувалися лише 63,4%. </w:t>
      </w:r>
    </w:p>
    <w:p>
      <w:pPr>
        <w:pStyle w:val="ListParagraph"/>
        <w:numPr>
          <w:ilvl w:val="0"/>
          <w:numId w:val="2"/>
        </w:numPr>
        <w:jc w:val="both"/>
        <w:rPr>
          <w:rFonts w:cs="Calibri" w:cstheme="minorHAnsi"/>
          <w:lang w:val="uk-UA"/>
        </w:rPr>
      </w:pPr>
      <w:r>
        <w:rPr>
          <w:b/>
          <w:bCs/>
          <w:lang w:val="uk-UA"/>
        </w:rPr>
        <w:t>У 2021 та 2023 роках бізнес інформував про свої витрати в гривні на різні види діяльності та статті, пов'язані з оподаткуванням</w:t>
      </w:r>
      <w:r>
        <w:rPr>
          <w:lang w:val="uk-UA"/>
        </w:rPr>
        <w:t xml:space="preserve">. Витрати на податкову літературу, інформаційні системи та навчання зросли з 10 677 грн до 11 526 грн; на придбання, обслуговування, продовження ліцензій та оновлення спеціалізованого програмного забезпечення для податкового обліку зменшилися з 12 865 грн до 12 469 грн; на придбання та використання касових апаратів (РРО) та програмних реєстраторів розрахункових операцій (ПРРО) разом із супутніми витратами зменшилися з 13 983 грн. до 8 149 грн., а на придбання ліцензій на здійснення господарської діяльності (для ліцензованих видів діяльності) - збільшилися з 8 693 грн. до 13 151 грн. </w:t>
      </w:r>
    </w:p>
    <w:p>
      <w:pPr>
        <w:pStyle w:val="Normal"/>
        <w:rPr>
          <w:b/>
          <w:bCs/>
          <w:lang w:val="uk-UA"/>
        </w:rPr>
      </w:pPr>
      <w:r>
        <w:rPr>
          <w:b/>
          <w:bCs/>
          <w:lang w:val="uk-UA"/>
        </w:rPr>
        <w:t>Рисунок 8. В якій спосіб подавалися податкові звіти та фінансова звітність до податкових органів у 2023 році?</w:t>
      </w:r>
    </w:p>
    <w:p>
      <w:pPr>
        <w:pStyle w:val="Normal"/>
        <w:ind w:left="720"/>
        <w:jc w:val="right"/>
        <w:rPr>
          <w:b/>
          <w:bCs/>
          <w:lang w:val="uk-UA"/>
        </w:rPr>
      </w:pPr>
      <w:r>
        <mc:AlternateContent>
          <mc:Choice Requires="wps">
            <w:drawing>
              <wp:anchor behindDoc="0" distT="0" distB="5080" distL="0" distR="5080" simplePos="0" locked="0" layoutInCell="1" allowOverlap="1" relativeHeight="37" wp14:anchorId="17474AA0">
                <wp:simplePos x="0" y="0"/>
                <wp:positionH relativeFrom="column">
                  <wp:posOffset>41910</wp:posOffset>
                </wp:positionH>
                <wp:positionV relativeFrom="paragraph">
                  <wp:posOffset>140970</wp:posOffset>
                </wp:positionV>
                <wp:extent cx="1938020" cy="2490470"/>
                <wp:effectExtent l="0" t="0" r="0" b="0"/>
                <wp:wrapNone/>
                <wp:docPr id="23" name="Text Box 2"/>
                <a:graphic xmlns:a="http://schemas.openxmlformats.org/drawingml/2006/main">
                  <a:graphicData uri="http://schemas.microsoft.com/office/word/2010/wordprocessingShape">
                    <wps:wsp>
                      <wps:cNvSpPr/>
                      <wps:spPr>
                        <a:xfrm>
                          <a:off x="0" y="0"/>
                          <a:ext cx="1937880" cy="2490480"/>
                        </a:xfrm>
                        <a:prstGeom prst="rect">
                          <a:avLst/>
                        </a:prstGeom>
                        <a:solidFill>
                          <a:srgbClr val="ffffff"/>
                        </a:solidFill>
                        <a:ln w="9525">
                          <a:noFill/>
                        </a:ln>
                      </wps:spPr>
                      <wps:style>
                        <a:lnRef idx="0"/>
                        <a:fillRef idx="0"/>
                        <a:effectRef idx="0"/>
                        <a:fontRef idx="minor"/>
                      </wps:style>
                      <wps:txbx>
                        <w:txbxContent>
                          <w:p>
                            <w:pPr>
                              <w:pStyle w:val="82"/>
                              <w:spacing w:lineRule="auto" w:line="213"/>
                              <w:ind w:left="260"/>
                              <w:rPr>
                                <w:color w:val="828282"/>
                                <w:sz w:val="15"/>
                                <w:szCs w:val="15"/>
                                <w:lang w:val="uk-UA"/>
                              </w:rPr>
                            </w:pPr>
                            <w:r>
                              <w:rPr>
                                <w:color w:val="828282"/>
                                <w:sz w:val="15"/>
                                <w:szCs w:val="15"/>
                                <w:lang w:val="uk-UA"/>
                              </w:rPr>
                              <w:t xml:space="preserve">В електронному вигляді, через Електронний кабінет платника податків </w:t>
                            </w:r>
                          </w:p>
                          <w:p>
                            <w:pPr>
                              <w:pStyle w:val="82"/>
                              <w:spacing w:lineRule="auto" w:line="213"/>
                              <w:ind w:left="260"/>
                              <w:rPr>
                                <w:sz w:val="15"/>
                                <w:szCs w:val="15"/>
                                <w:lang w:val="uk-UA"/>
                              </w:rPr>
                            </w:pPr>
                            <w:r>
                              <w:rPr>
                                <w:color w:val="828282"/>
                                <w:sz w:val="15"/>
                                <w:szCs w:val="15"/>
                                <w:lang w:val="uk-UA"/>
                              </w:rPr>
                              <w:t>В електронному вигляді, з використанням інших інструментів, ніж зазначені вище</w:t>
                            </w:r>
                          </w:p>
                          <w:p>
                            <w:pPr>
                              <w:pStyle w:val="82"/>
                              <w:spacing w:lineRule="auto" w:line="204"/>
                              <w:ind w:left="260"/>
                              <w:rPr>
                                <w:sz w:val="15"/>
                                <w:szCs w:val="15"/>
                                <w:lang w:val="uk-UA"/>
                              </w:rPr>
                            </w:pPr>
                            <w:r>
                              <w:rPr>
                                <w:color w:val="828282"/>
                                <w:sz w:val="15"/>
                                <w:szCs w:val="15"/>
                                <w:lang w:val="uk-UA"/>
                              </w:rPr>
                              <w:t>В електронному вигляді через розділ "Мої податки" в Дії</w:t>
                            </w:r>
                          </w:p>
                          <w:p>
                            <w:pPr>
                              <w:pStyle w:val="82"/>
                              <w:spacing w:lineRule="auto" w:line="213" w:before="0" w:after="160"/>
                              <w:rPr>
                                <w:color w:val="828282"/>
                                <w:sz w:val="15"/>
                                <w:szCs w:val="15"/>
                                <w:lang w:val="uk-UA"/>
                              </w:rPr>
                            </w:pPr>
                            <w:r>
                              <w:rPr>
                                <w:color w:val="828282"/>
                                <w:sz w:val="15"/>
                                <w:szCs w:val="15"/>
                                <w:lang w:val="uk-UA"/>
                              </w:rPr>
                              <w:t xml:space="preserve">Подання до податкового органу безпосередньо на паперових носіях </w:t>
                            </w:r>
                          </w:p>
                          <w:p>
                            <w:pPr>
                              <w:pStyle w:val="82"/>
                              <w:spacing w:lineRule="auto" w:line="213" w:before="0" w:after="160"/>
                              <w:rPr>
                                <w:sz w:val="15"/>
                                <w:szCs w:val="15"/>
                                <w:lang w:val="uk-UA"/>
                              </w:rPr>
                            </w:pPr>
                            <w:r>
                              <w:rPr>
                                <w:color w:val="828282"/>
                                <w:sz w:val="15"/>
                                <w:szCs w:val="15"/>
                                <w:lang w:val="uk-UA"/>
                              </w:rPr>
                              <w:t>Подання до податкового органу в електронному вигляді за допомогою...</w:t>
                            </w:r>
                          </w:p>
                          <w:p>
                            <w:pPr>
                              <w:pStyle w:val="82"/>
                              <w:spacing w:lineRule="auto" w:line="213" w:before="0" w:after="300"/>
                              <w:rPr>
                                <w:sz w:val="15"/>
                                <w:szCs w:val="15"/>
                                <w:lang w:val="uk-UA"/>
                              </w:rPr>
                            </w:pPr>
                            <w:r>
                              <w:rPr>
                                <w:color w:val="828282"/>
                                <w:sz w:val="15"/>
                                <w:szCs w:val="15"/>
                                <w:lang w:val="uk-UA"/>
                              </w:rPr>
                              <w:t>В основному в паперовому вигляді</w:t>
                            </w:r>
                          </w:p>
                          <w:p>
                            <w:pPr>
                              <w:pStyle w:val="82"/>
                              <w:spacing w:lineRule="auto" w:line="213" w:before="0" w:after="300"/>
                              <w:rPr>
                                <w:sz w:val="15"/>
                                <w:szCs w:val="15"/>
                                <w:lang w:val="uk-UA"/>
                              </w:rPr>
                            </w:pPr>
                            <w:r>
                              <w:rPr>
                                <w:color w:val="828282"/>
                                <w:sz w:val="15"/>
                                <w:szCs w:val="15"/>
                                <w:lang w:val="uk-UA"/>
                              </w:rPr>
                              <w:t>Не знають</w:t>
                            </w:r>
                          </w:p>
                          <w:p>
                            <w:pPr>
                              <w:pStyle w:val="82"/>
                              <w:spacing w:lineRule="auto" w:line="213" w:before="0" w:after="0"/>
                              <w:rPr>
                                <w:lang w:val="ru-RU"/>
                              </w:rPr>
                            </w:pPr>
                            <w:r>
                              <w:rPr>
                                <w:color w:val="828282"/>
                                <w:sz w:val="15"/>
                                <w:szCs w:val="15"/>
                                <w:lang w:val="uk-UA"/>
                              </w:rPr>
                              <w:t>Відмовились відповісти</w:t>
                            </w:r>
                          </w:p>
                        </w:txbxContent>
                      </wps:txbx>
                      <wps:bodyPr anchor="t">
                        <a:noAutofit/>
                      </wps:bodyPr>
                    </wps:wsp>
                  </a:graphicData>
                </a:graphic>
              </wp:anchor>
            </w:drawing>
          </mc:Choice>
          <mc:Fallback>
            <w:pict>
              <v:rect id="shape_0" ID="Text Box 2" path="m0,0l-2147483645,0l-2147483645,-2147483646l0,-2147483646xe" fillcolor="white" stroked="f" o:allowincell="f" style="position:absolute;margin-left:3.3pt;margin-top:11.1pt;width:152.55pt;height:196.05pt;mso-wrap-style:square;v-text-anchor:top" wp14:anchorId="17474AA0">
                <v:fill o:detectmouseclick="t" type="solid" color2="black"/>
                <v:stroke color="#3465a4" weight="9360" joinstyle="miter" endcap="flat"/>
                <v:textbox>
                  <w:txbxContent>
                    <w:p>
                      <w:pPr>
                        <w:pStyle w:val="82"/>
                        <w:spacing w:lineRule="auto" w:line="213"/>
                        <w:ind w:left="260"/>
                        <w:rPr>
                          <w:color w:val="828282"/>
                          <w:sz w:val="15"/>
                          <w:szCs w:val="15"/>
                          <w:lang w:val="uk-UA"/>
                        </w:rPr>
                      </w:pPr>
                      <w:r>
                        <w:rPr>
                          <w:color w:val="828282"/>
                          <w:sz w:val="15"/>
                          <w:szCs w:val="15"/>
                          <w:lang w:val="uk-UA"/>
                        </w:rPr>
                        <w:t xml:space="preserve">В електронному вигляді, через Електронний кабінет платника податків </w:t>
                      </w:r>
                    </w:p>
                    <w:p>
                      <w:pPr>
                        <w:pStyle w:val="82"/>
                        <w:spacing w:lineRule="auto" w:line="213"/>
                        <w:ind w:left="260"/>
                        <w:rPr>
                          <w:sz w:val="15"/>
                          <w:szCs w:val="15"/>
                          <w:lang w:val="uk-UA"/>
                        </w:rPr>
                      </w:pPr>
                      <w:r>
                        <w:rPr>
                          <w:color w:val="828282"/>
                          <w:sz w:val="15"/>
                          <w:szCs w:val="15"/>
                          <w:lang w:val="uk-UA"/>
                        </w:rPr>
                        <w:t>В електронному вигляді, з використанням інших інструментів, ніж зазначені вище</w:t>
                      </w:r>
                    </w:p>
                    <w:p>
                      <w:pPr>
                        <w:pStyle w:val="82"/>
                        <w:spacing w:lineRule="auto" w:line="204"/>
                        <w:ind w:left="260"/>
                        <w:rPr>
                          <w:sz w:val="15"/>
                          <w:szCs w:val="15"/>
                          <w:lang w:val="uk-UA"/>
                        </w:rPr>
                      </w:pPr>
                      <w:r>
                        <w:rPr>
                          <w:color w:val="828282"/>
                          <w:sz w:val="15"/>
                          <w:szCs w:val="15"/>
                          <w:lang w:val="uk-UA"/>
                        </w:rPr>
                        <w:t>В електронному вигляді через розділ "Мої податки" в Дії</w:t>
                      </w:r>
                    </w:p>
                    <w:p>
                      <w:pPr>
                        <w:pStyle w:val="82"/>
                        <w:spacing w:lineRule="auto" w:line="213" w:before="0" w:after="160"/>
                        <w:rPr>
                          <w:color w:val="828282"/>
                          <w:sz w:val="15"/>
                          <w:szCs w:val="15"/>
                          <w:lang w:val="uk-UA"/>
                        </w:rPr>
                      </w:pPr>
                      <w:r>
                        <w:rPr>
                          <w:color w:val="828282"/>
                          <w:sz w:val="15"/>
                          <w:szCs w:val="15"/>
                          <w:lang w:val="uk-UA"/>
                        </w:rPr>
                        <w:t xml:space="preserve">Подання до податкового органу безпосередньо на паперових носіях </w:t>
                      </w:r>
                    </w:p>
                    <w:p>
                      <w:pPr>
                        <w:pStyle w:val="82"/>
                        <w:spacing w:lineRule="auto" w:line="213" w:before="0" w:after="160"/>
                        <w:rPr>
                          <w:sz w:val="15"/>
                          <w:szCs w:val="15"/>
                          <w:lang w:val="uk-UA"/>
                        </w:rPr>
                      </w:pPr>
                      <w:r>
                        <w:rPr>
                          <w:color w:val="828282"/>
                          <w:sz w:val="15"/>
                          <w:szCs w:val="15"/>
                          <w:lang w:val="uk-UA"/>
                        </w:rPr>
                        <w:t>Подання до податкового органу в електронному вигляді за допомогою...</w:t>
                      </w:r>
                    </w:p>
                    <w:p>
                      <w:pPr>
                        <w:pStyle w:val="82"/>
                        <w:spacing w:lineRule="auto" w:line="213" w:before="0" w:after="300"/>
                        <w:rPr>
                          <w:sz w:val="15"/>
                          <w:szCs w:val="15"/>
                          <w:lang w:val="uk-UA"/>
                        </w:rPr>
                      </w:pPr>
                      <w:r>
                        <w:rPr>
                          <w:color w:val="828282"/>
                          <w:sz w:val="15"/>
                          <w:szCs w:val="15"/>
                          <w:lang w:val="uk-UA"/>
                        </w:rPr>
                        <w:t>В основному в паперовому вигляді</w:t>
                      </w:r>
                    </w:p>
                    <w:p>
                      <w:pPr>
                        <w:pStyle w:val="82"/>
                        <w:spacing w:lineRule="auto" w:line="213" w:before="0" w:after="300"/>
                        <w:rPr>
                          <w:sz w:val="15"/>
                          <w:szCs w:val="15"/>
                          <w:lang w:val="uk-UA"/>
                        </w:rPr>
                      </w:pPr>
                      <w:r>
                        <w:rPr>
                          <w:color w:val="828282"/>
                          <w:sz w:val="15"/>
                          <w:szCs w:val="15"/>
                          <w:lang w:val="uk-UA"/>
                        </w:rPr>
                        <w:t>Не знають</w:t>
                      </w:r>
                    </w:p>
                    <w:p>
                      <w:pPr>
                        <w:pStyle w:val="82"/>
                        <w:spacing w:lineRule="auto" w:line="213" w:before="0" w:after="0"/>
                        <w:rPr>
                          <w:lang w:val="ru-RU"/>
                        </w:rPr>
                      </w:pPr>
                      <w:r>
                        <w:rPr>
                          <w:color w:val="828282"/>
                          <w:sz w:val="15"/>
                          <w:szCs w:val="15"/>
                          <w:lang w:val="uk-UA"/>
                        </w:rPr>
                        <w:t>Відмовились відповісти</w:t>
                      </w:r>
                    </w:p>
                  </w:txbxContent>
                </v:textbox>
                <w10:wrap type="none"/>
              </v:rect>
            </w:pict>
          </mc:Fallback>
        </mc:AlternateContent>
      </w:r>
      <w:r>
        <w:rPr>
          <w:lang w:val="uk-UA"/>
        </w:rPr>
        <w:t xml:space="preserve"> </w:t>
      </w:r>
      <w:r>
        <w:rPr/>
        <w:drawing>
          <wp:inline distT="0" distB="0" distL="0" distR="0">
            <wp:extent cx="5170170" cy="2823845"/>
            <wp:effectExtent l="0" t="0" r="0" b="0"/>
            <wp:docPr id="24" name="Image15" descr="A green bar graph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 descr="A green bar graph with numbers&#10;&#10;Description automatically generated"/>
                    <pic:cNvPicPr>
                      <a:picLocks noChangeAspect="1" noChangeArrowheads="1"/>
                    </pic:cNvPicPr>
                  </pic:nvPicPr>
                  <pic:blipFill>
                    <a:blip r:embed="rId13"/>
                    <a:srcRect l="0" t="-1732" r="5731" b="-1732"/>
                    <a:stretch>
                      <a:fillRect/>
                    </a:stretch>
                  </pic:blipFill>
                  <pic:spPr bwMode="auto">
                    <a:xfrm>
                      <a:off x="0" y="0"/>
                      <a:ext cx="5170170" cy="2823845"/>
                    </a:xfrm>
                    <a:prstGeom prst="rect">
                      <a:avLst/>
                    </a:prstGeom>
                  </pic:spPr>
                </pic:pic>
              </a:graphicData>
            </a:graphic>
          </wp:inline>
        </w:drawing>
      </w:r>
    </w:p>
    <w:p>
      <w:pPr>
        <w:pStyle w:val="Heading3"/>
        <w:rPr>
          <w:lang w:val="uk-UA"/>
        </w:rPr>
      </w:pPr>
      <w:bookmarkStart w:id="15" w:name="_Toc185882877"/>
      <w:bookmarkStart w:id="16" w:name="_Toc176253271"/>
      <w:r>
        <w:rPr>
          <w:lang w:val="uk-UA"/>
        </w:rPr>
        <w:t>Неофіційні платежі</w:t>
      </w:r>
      <w:bookmarkEnd w:id="15"/>
      <w:bookmarkEnd w:id="16"/>
    </w:p>
    <w:p>
      <w:pPr>
        <w:pStyle w:val="ListParagraph"/>
        <w:numPr>
          <w:ilvl w:val="0"/>
          <w:numId w:val="2"/>
        </w:numPr>
        <w:jc w:val="both"/>
        <w:rPr>
          <w:rFonts w:cs="Calibri" w:cstheme="minorHAnsi"/>
          <w:lang w:val="uk-UA"/>
        </w:rPr>
      </w:pPr>
      <w:r>
        <w:rPr>
          <w:b/>
          <w:bCs/>
          <w:lang w:val="uk-UA"/>
        </w:rPr>
        <w:t xml:space="preserve">Неофіційні платежі третім особам за допомогу або послуги з мінімізації податкового навантаження чи усунення перешкод у веденні бізнесу зменшилися з 25 226 грн у 2021 році до 23 912 грн у 2023 році. </w:t>
      </w:r>
      <w:r>
        <w:rPr>
          <w:lang w:val="uk-UA"/>
        </w:rPr>
        <w:t>Для підприємств з більшими оборотами, зокрема від 8 до 80 млн грн, середній розмір неофіційних платежів збільшився з 68 926 грн до 113 807 грн. Підприємства з оборотом до 1 мільйона гривень повідомили про зменшення - з 15 161 до 10 542 гривень.</w:t>
      </w:r>
    </w:p>
    <w:p>
      <w:pPr>
        <w:pStyle w:val="ListParagraph"/>
        <w:numPr>
          <w:ilvl w:val="0"/>
          <w:numId w:val="2"/>
        </w:numPr>
        <w:jc w:val="both"/>
        <w:rPr>
          <w:rFonts w:cs="Calibri" w:cstheme="minorHAnsi"/>
          <w:lang w:val="uk-UA"/>
        </w:rPr>
      </w:pPr>
      <w:r>
        <w:rPr>
          <w:b/>
          <w:bCs/>
          <w:lang w:val="uk-UA"/>
        </w:rPr>
        <w:t xml:space="preserve">Причини неофіційних платежів серед підприємств різнилися між різними категоріями. </w:t>
      </w:r>
      <w:r>
        <w:rPr>
          <w:lang w:val="uk-UA"/>
        </w:rPr>
        <w:t xml:space="preserve">Найпоширенішою причиною для ФОПів був брак знань про податковий облік та процедури подання звітності, тоді як більші компанії повідомляли про скорочення бюрократичної тяганини та усунення перешкод у веденні бізнесу як причини неофіційних платежів (Рисунок 9). </w:t>
      </w:r>
    </w:p>
    <w:p>
      <w:pPr>
        <w:pStyle w:val="Normal"/>
        <w:suppressAutoHyphens w:val="false"/>
        <w:rPr>
          <w:b/>
          <w:bCs/>
          <w:lang w:val="uk-UA"/>
        </w:rPr>
      </w:pPr>
      <w:r>
        <w:rPr>
          <w:b/>
          <w:bCs/>
          <w:lang w:val="uk-UA"/>
        </w:rPr>
      </w:r>
      <w:r>
        <w:br w:type="page"/>
      </w:r>
    </w:p>
    <w:p>
      <w:pPr>
        <w:pStyle w:val="Normal"/>
        <w:spacing w:before="0" w:after="160"/>
        <w:rPr>
          <w:b/>
          <w:bCs/>
          <w:lang w:val="uk-UA"/>
        </w:rPr>
      </w:pPr>
      <w:r>
        <w:rPr>
          <w:b/>
          <w:bCs/>
          <w:lang w:val="uk-UA"/>
        </w:rPr>
        <w:t>Рисунок 14. Причини неофіційних платежів третім особам у 2023 році</w:t>
      </w:r>
    </w:p>
    <w:p>
      <w:pPr>
        <w:pStyle w:val="Normal"/>
        <w:rPr>
          <w:b/>
          <w:bCs/>
          <w:lang w:val="ru-RU"/>
        </w:rPr>
      </w:pPr>
      <w:r>
        <w:rPr/>
        <mc:AlternateContent>
          <mc:Choice Requires="wps">
            <w:drawing>
              <wp:anchor behindDoc="0" distT="0" distB="0" distL="0" distR="4445" simplePos="0" locked="0" layoutInCell="1" allowOverlap="1" relativeHeight="51" wp14:anchorId="503050F4">
                <wp:simplePos x="0" y="0"/>
                <wp:positionH relativeFrom="column">
                  <wp:posOffset>50165</wp:posOffset>
                </wp:positionH>
                <wp:positionV relativeFrom="paragraph">
                  <wp:posOffset>2200275</wp:posOffset>
                </wp:positionV>
                <wp:extent cx="5101590" cy="748665"/>
                <wp:effectExtent l="0" t="635" r="0" b="0"/>
                <wp:wrapNone/>
                <wp:docPr id="25" name="Text Box 1"/>
                <a:graphic xmlns:a="http://schemas.openxmlformats.org/drawingml/2006/main">
                  <a:graphicData uri="http://schemas.microsoft.com/office/word/2010/wordprocessingShape">
                    <wps:wsp>
                      <wps:cNvSpPr/>
                      <wps:spPr>
                        <a:xfrm>
                          <a:off x="0" y="0"/>
                          <a:ext cx="5101560" cy="748800"/>
                        </a:xfrm>
                        <a:prstGeom prst="rect">
                          <a:avLst/>
                        </a:prstGeom>
                        <a:solidFill>
                          <a:srgbClr val="ffffff"/>
                        </a:solidFill>
                        <a:ln w="9525">
                          <a:noFill/>
                        </a:ln>
                      </wps:spPr>
                      <wps:style>
                        <a:lnRef idx="0"/>
                        <a:fillRef idx="0"/>
                        <a:effectRef idx="0"/>
                        <a:fontRef idx="minor"/>
                      </wps:style>
                      <wps:txbx>
                        <w:txbxContent>
                          <w:tbl>
                            <w:tblPr>
                              <w:tblW w:w="8788" w:type="dxa"/>
                              <w:jc w:val="left"/>
                              <w:tblInd w:w="284" w:type="dxa"/>
                              <w:tblLayout w:type="fixed"/>
                              <w:tblCellMar>
                                <w:top w:w="0" w:type="dxa"/>
                                <w:left w:w="10" w:type="dxa"/>
                                <w:bottom w:w="0" w:type="dxa"/>
                                <w:right w:w="10" w:type="dxa"/>
                              </w:tblCellMar>
                              <w:tblLook w:firstRow="1" w:noVBand="1" w:lastRow="0" w:firstColumn="1" w:lastColumn="0" w:noHBand="0" w:val="04a0"/>
                            </w:tblPr>
                            <w:tblGrid>
                              <w:gridCol w:w="1276"/>
                              <w:gridCol w:w="1416"/>
                              <w:gridCol w:w="1276"/>
                              <w:gridCol w:w="1276"/>
                              <w:gridCol w:w="1275"/>
                              <w:gridCol w:w="2268"/>
                            </w:tblGrid>
                            <w:tr>
                              <w:trPr>
                                <w:trHeight w:val="1735" w:hRule="exact"/>
                              </w:trPr>
                              <w:tc>
                                <w:tcPr>
                                  <w:tcW w:w="1276" w:type="dxa"/>
                                  <w:tcBorders/>
                                  <w:shd w:color="auto" w:fill="auto" w:val="clear"/>
                                </w:tcPr>
                                <w:p>
                                  <w:pPr>
                                    <w:pStyle w:val="Style27"/>
                                    <w:spacing w:lineRule="auto" w:line="216" w:before="0" w:after="0"/>
                                    <w:jc w:val="center"/>
                                    <w:rPr>
                                      <w:sz w:val="16"/>
                                      <w:szCs w:val="16"/>
                                      <w:lang w:val="uk-UA"/>
                                    </w:rPr>
                                  </w:pPr>
                                  <w:r>
                                    <w:rPr>
                                      <w:sz w:val="16"/>
                                      <w:szCs w:val="16"/>
                                      <w:lang w:val="uk-UA"/>
                                    </w:rPr>
                                    <w:t>Відсутність або недостатність знань про податковий облік</w:t>
                                  </w:r>
                                </w:p>
                              </w:tc>
                              <w:tc>
                                <w:tcPr>
                                  <w:tcW w:w="1416" w:type="dxa"/>
                                  <w:tcBorders/>
                                  <w:shd w:color="auto" w:fill="auto" w:val="clear"/>
                                </w:tcPr>
                                <w:p>
                                  <w:pPr>
                                    <w:pStyle w:val="Style27"/>
                                    <w:spacing w:lineRule="auto" w:line="216" w:before="0" w:after="0"/>
                                    <w:jc w:val="center"/>
                                    <w:rPr>
                                      <w:sz w:val="16"/>
                                      <w:szCs w:val="16"/>
                                      <w:lang w:val="uk-UA"/>
                                    </w:rPr>
                                  </w:pPr>
                                  <w:r>
                                    <w:rPr>
                                      <w:sz w:val="16"/>
                                      <w:szCs w:val="16"/>
                                      <w:lang w:val="uk-UA"/>
                                    </w:rPr>
                                    <w:t>Запобігання або  усунення формальних/ бюрократичних/ необґрунтованих перешкод</w:t>
                                  </w:r>
                                </w:p>
                              </w:tc>
                              <w:tc>
                                <w:tcPr>
                                  <w:tcW w:w="1276" w:type="dxa"/>
                                  <w:tcBorders/>
                                  <w:shd w:color="auto" w:fill="auto" w:val="clear"/>
                                </w:tcPr>
                                <w:p>
                                  <w:pPr>
                                    <w:pStyle w:val="Style27"/>
                                    <w:spacing w:lineRule="auto" w:line="216" w:before="0" w:after="0"/>
                                    <w:jc w:val="center"/>
                                    <w:rPr>
                                      <w:sz w:val="16"/>
                                      <w:szCs w:val="16"/>
                                      <w:lang w:val="uk-UA"/>
                                    </w:rPr>
                                  </w:pPr>
                                  <w:r>
                                    <w:rPr>
                                      <w:sz w:val="16"/>
                                      <w:szCs w:val="16"/>
                                      <w:lang w:val="uk-UA"/>
                                    </w:rPr>
                                    <w:t>Отримання певних переваг порівняно з іншими платниками податків</w:t>
                                  </w:r>
                                </w:p>
                              </w:tc>
                              <w:tc>
                                <w:tcPr>
                                  <w:tcW w:w="1276" w:type="dxa"/>
                                  <w:tcBorders/>
                                  <w:shd w:color="auto" w:fill="auto" w:val="clear"/>
                                </w:tcPr>
                                <w:p>
                                  <w:pPr>
                                    <w:pStyle w:val="Style27"/>
                                    <w:spacing w:lineRule="auto" w:line="216" w:before="0" w:after="0"/>
                                    <w:jc w:val="center"/>
                                    <w:rPr>
                                      <w:sz w:val="16"/>
                                      <w:szCs w:val="16"/>
                                      <w:lang w:val="uk-UA"/>
                                    </w:rPr>
                                  </w:pPr>
                                  <w:r>
                                    <w:rPr>
                                      <w:sz w:val="16"/>
                                      <w:szCs w:val="16"/>
                                      <w:lang w:val="uk-UA"/>
                                    </w:rPr>
                                    <w:t>Вирішення питань у  ситуації уникнення від сплати податків</w:t>
                                  </w:r>
                                </w:p>
                              </w:tc>
                              <w:tc>
                                <w:tcPr>
                                  <w:tcW w:w="1275" w:type="dxa"/>
                                  <w:tcBorders/>
                                  <w:shd w:color="auto" w:fill="auto" w:val="clear"/>
                                </w:tcPr>
                                <w:p>
                                  <w:pPr>
                                    <w:pStyle w:val="Style27"/>
                                    <w:spacing w:lineRule="auto" w:line="216" w:before="0" w:after="0"/>
                                    <w:jc w:val="center"/>
                                    <w:rPr>
                                      <w:sz w:val="16"/>
                                      <w:szCs w:val="16"/>
                                      <w:lang w:val="uk-UA"/>
                                    </w:rPr>
                                  </w:pPr>
                                  <w:r>
                                    <w:rPr>
                                      <w:sz w:val="16"/>
                                      <w:szCs w:val="16"/>
                                      <w:lang w:val="uk-UA"/>
                                    </w:rPr>
                                    <w:t>Відмовились надати відповідь</w:t>
                                  </w:r>
                                </w:p>
                                <w:p>
                                  <w:pPr>
                                    <w:pStyle w:val="Style27"/>
                                    <w:spacing w:lineRule="auto" w:line="216" w:before="0" w:after="0"/>
                                    <w:jc w:val="center"/>
                                    <w:rPr>
                                      <w:sz w:val="16"/>
                                      <w:szCs w:val="16"/>
                                      <w:lang w:val="uk-UA"/>
                                    </w:rPr>
                                  </w:pPr>
                                  <w:r>
                                    <w:rPr>
                                      <w:sz w:val="16"/>
                                      <w:szCs w:val="16"/>
                                      <w:lang w:val="uk-UA"/>
                                    </w:rPr>
                                  </w:r>
                                </w:p>
                              </w:tc>
                              <w:tc>
                                <w:tcPr>
                                  <w:tcW w:w="2268" w:type="dxa"/>
                                  <w:tcBorders/>
                                  <w:shd w:color="auto" w:fill="auto" w:val="clear"/>
                                </w:tcPr>
                                <w:p>
                                  <w:pPr>
                                    <w:pStyle w:val="Style27"/>
                                    <w:spacing w:lineRule="auto" w:line="216" w:before="0" w:after="0"/>
                                    <w:ind w:left="-1148"/>
                                    <w:jc w:val="center"/>
                                    <w:rPr>
                                      <w:sz w:val="16"/>
                                      <w:szCs w:val="16"/>
                                      <w:lang w:val="uk-UA"/>
                                    </w:rPr>
                                  </w:pPr>
                                  <w:r>
                                    <w:rPr>
                                      <w:sz w:val="16"/>
                                      <w:szCs w:val="16"/>
                                      <w:lang w:val="uk-UA"/>
                                    </w:rPr>
                                    <w:t>Не знають</w:t>
                                  </w:r>
                                </w:p>
                              </w:tc>
                            </w:tr>
                          </w:tbl>
                          <w:p>
                            <w:pPr>
                              <w:pStyle w:val="Style27"/>
                              <w:spacing w:lineRule="auto" w:line="216" w:before="0" w:after="0"/>
                              <w:jc w:val="center"/>
                              <w:rPr>
                                <w:rFonts w:ascii="Calibri" w:hAnsi="Calibri" w:eastAsia="Calibri" w:cs="Arial"/>
                                <w:sz w:val="8"/>
                                <w:szCs w:val="8"/>
                                <w:lang w:val="uk-UA"/>
                              </w:rPr>
                            </w:pPr>
                            <w:r>
                              <w:rPr/>
                            </w:r>
                          </w:p>
                        </w:txbxContent>
                      </wps:txbx>
                      <wps:bodyPr anchor="t">
                        <a:noAutofit/>
                      </wps:bodyPr>
                    </wps:wsp>
                  </a:graphicData>
                </a:graphic>
              </wp:anchor>
            </w:drawing>
          </mc:Choice>
          <mc:Fallback>
            <w:pict>
              <v:rect id="shape_0" ID="Text Box 1" path="m0,0l-2147483645,0l-2147483645,-2147483646l0,-2147483646xe" fillcolor="white" stroked="f" o:allowincell="f" style="position:absolute;margin-left:3.95pt;margin-top:173.25pt;width:401.65pt;height:58.9pt;mso-wrap-style:none;v-text-anchor:middle" wp14:anchorId="503050F4">
                <v:fill o:detectmouseclick="t" type="solid" color2="black"/>
                <v:stroke color="#3465a4" weight="9360" joinstyle="miter" endcap="flat"/>
                <v:textbox>
                  <w:txbxContent>
                    <w:tbl>
                      <w:tblPr>
                        <w:tblW w:w="8788" w:type="dxa"/>
                        <w:jc w:val="left"/>
                        <w:tblInd w:w="284" w:type="dxa"/>
                        <w:tblLayout w:type="fixed"/>
                        <w:tblCellMar>
                          <w:top w:w="0" w:type="dxa"/>
                          <w:left w:w="10" w:type="dxa"/>
                          <w:bottom w:w="0" w:type="dxa"/>
                          <w:right w:w="10" w:type="dxa"/>
                        </w:tblCellMar>
                        <w:tblLook w:firstRow="1" w:noVBand="1" w:lastRow="0" w:firstColumn="1" w:lastColumn="0" w:noHBand="0" w:val="04a0"/>
                      </w:tblPr>
                      <w:tblGrid>
                        <w:gridCol w:w="1276"/>
                        <w:gridCol w:w="1416"/>
                        <w:gridCol w:w="1276"/>
                        <w:gridCol w:w="1276"/>
                        <w:gridCol w:w="1275"/>
                        <w:gridCol w:w="2268"/>
                      </w:tblGrid>
                      <w:tr>
                        <w:trPr>
                          <w:trHeight w:val="1735" w:hRule="exact"/>
                        </w:trPr>
                        <w:tc>
                          <w:tcPr>
                            <w:tcW w:w="1276" w:type="dxa"/>
                            <w:tcBorders/>
                            <w:shd w:color="auto" w:fill="auto" w:val="clear"/>
                          </w:tcPr>
                          <w:p>
                            <w:pPr>
                              <w:pStyle w:val="Style27"/>
                              <w:spacing w:lineRule="auto" w:line="216" w:before="0" w:after="0"/>
                              <w:jc w:val="center"/>
                              <w:rPr>
                                <w:sz w:val="16"/>
                                <w:szCs w:val="16"/>
                                <w:lang w:val="uk-UA"/>
                              </w:rPr>
                            </w:pPr>
                            <w:r>
                              <w:rPr>
                                <w:sz w:val="16"/>
                                <w:szCs w:val="16"/>
                                <w:lang w:val="uk-UA"/>
                              </w:rPr>
                              <w:t>Відсутність або недостатність знань про податковий облік</w:t>
                            </w:r>
                          </w:p>
                        </w:tc>
                        <w:tc>
                          <w:tcPr>
                            <w:tcW w:w="1416" w:type="dxa"/>
                            <w:tcBorders/>
                            <w:shd w:color="auto" w:fill="auto" w:val="clear"/>
                          </w:tcPr>
                          <w:p>
                            <w:pPr>
                              <w:pStyle w:val="Style27"/>
                              <w:spacing w:lineRule="auto" w:line="216" w:before="0" w:after="0"/>
                              <w:jc w:val="center"/>
                              <w:rPr>
                                <w:sz w:val="16"/>
                                <w:szCs w:val="16"/>
                                <w:lang w:val="uk-UA"/>
                              </w:rPr>
                            </w:pPr>
                            <w:r>
                              <w:rPr>
                                <w:sz w:val="16"/>
                                <w:szCs w:val="16"/>
                                <w:lang w:val="uk-UA"/>
                              </w:rPr>
                              <w:t>Запобігання або  усунення формальних/ бюрократичних/ необґрунтованих перешкод</w:t>
                            </w:r>
                          </w:p>
                        </w:tc>
                        <w:tc>
                          <w:tcPr>
                            <w:tcW w:w="1276" w:type="dxa"/>
                            <w:tcBorders/>
                            <w:shd w:color="auto" w:fill="auto" w:val="clear"/>
                          </w:tcPr>
                          <w:p>
                            <w:pPr>
                              <w:pStyle w:val="Style27"/>
                              <w:spacing w:lineRule="auto" w:line="216" w:before="0" w:after="0"/>
                              <w:jc w:val="center"/>
                              <w:rPr>
                                <w:sz w:val="16"/>
                                <w:szCs w:val="16"/>
                                <w:lang w:val="uk-UA"/>
                              </w:rPr>
                            </w:pPr>
                            <w:r>
                              <w:rPr>
                                <w:sz w:val="16"/>
                                <w:szCs w:val="16"/>
                                <w:lang w:val="uk-UA"/>
                              </w:rPr>
                              <w:t>Отримання певних переваг порівняно з іншими платниками податків</w:t>
                            </w:r>
                          </w:p>
                        </w:tc>
                        <w:tc>
                          <w:tcPr>
                            <w:tcW w:w="1276" w:type="dxa"/>
                            <w:tcBorders/>
                            <w:shd w:color="auto" w:fill="auto" w:val="clear"/>
                          </w:tcPr>
                          <w:p>
                            <w:pPr>
                              <w:pStyle w:val="Style27"/>
                              <w:spacing w:lineRule="auto" w:line="216" w:before="0" w:after="0"/>
                              <w:jc w:val="center"/>
                              <w:rPr>
                                <w:sz w:val="16"/>
                                <w:szCs w:val="16"/>
                                <w:lang w:val="uk-UA"/>
                              </w:rPr>
                            </w:pPr>
                            <w:r>
                              <w:rPr>
                                <w:sz w:val="16"/>
                                <w:szCs w:val="16"/>
                                <w:lang w:val="uk-UA"/>
                              </w:rPr>
                              <w:t>Вирішення питань у  ситуації уникнення від сплати податків</w:t>
                            </w:r>
                          </w:p>
                        </w:tc>
                        <w:tc>
                          <w:tcPr>
                            <w:tcW w:w="1275" w:type="dxa"/>
                            <w:tcBorders/>
                            <w:shd w:color="auto" w:fill="auto" w:val="clear"/>
                          </w:tcPr>
                          <w:p>
                            <w:pPr>
                              <w:pStyle w:val="Style27"/>
                              <w:spacing w:lineRule="auto" w:line="216" w:before="0" w:after="0"/>
                              <w:jc w:val="center"/>
                              <w:rPr>
                                <w:sz w:val="16"/>
                                <w:szCs w:val="16"/>
                                <w:lang w:val="uk-UA"/>
                              </w:rPr>
                            </w:pPr>
                            <w:r>
                              <w:rPr>
                                <w:sz w:val="16"/>
                                <w:szCs w:val="16"/>
                                <w:lang w:val="uk-UA"/>
                              </w:rPr>
                              <w:t>Відмовились надати відповідь</w:t>
                            </w:r>
                          </w:p>
                          <w:p>
                            <w:pPr>
                              <w:pStyle w:val="Style27"/>
                              <w:spacing w:lineRule="auto" w:line="216" w:before="0" w:after="0"/>
                              <w:jc w:val="center"/>
                              <w:rPr>
                                <w:sz w:val="16"/>
                                <w:szCs w:val="16"/>
                                <w:lang w:val="uk-UA"/>
                              </w:rPr>
                            </w:pPr>
                            <w:r>
                              <w:rPr>
                                <w:sz w:val="16"/>
                                <w:szCs w:val="16"/>
                                <w:lang w:val="uk-UA"/>
                              </w:rPr>
                            </w:r>
                          </w:p>
                        </w:tc>
                        <w:tc>
                          <w:tcPr>
                            <w:tcW w:w="2268" w:type="dxa"/>
                            <w:tcBorders/>
                            <w:shd w:color="auto" w:fill="auto" w:val="clear"/>
                          </w:tcPr>
                          <w:p>
                            <w:pPr>
                              <w:pStyle w:val="Style27"/>
                              <w:spacing w:lineRule="auto" w:line="216" w:before="0" w:after="0"/>
                              <w:ind w:left="-1148"/>
                              <w:jc w:val="center"/>
                              <w:rPr>
                                <w:sz w:val="16"/>
                                <w:szCs w:val="16"/>
                                <w:lang w:val="uk-UA"/>
                              </w:rPr>
                            </w:pPr>
                            <w:r>
                              <w:rPr>
                                <w:sz w:val="16"/>
                                <w:szCs w:val="16"/>
                                <w:lang w:val="uk-UA"/>
                              </w:rPr>
                              <w:t>Не знають</w:t>
                            </w:r>
                          </w:p>
                        </w:tc>
                      </w:tr>
                    </w:tbl>
                    <w:p>
                      <w:pPr>
                        <w:pStyle w:val="Style27"/>
                        <w:spacing w:lineRule="auto" w:line="216" w:before="0" w:after="0"/>
                        <w:jc w:val="center"/>
                        <w:rPr>
                          <w:rFonts w:ascii="Calibri" w:hAnsi="Calibri" w:eastAsia="Calibri" w:cs="Arial"/>
                          <w:sz w:val="8"/>
                          <w:szCs w:val="8"/>
                          <w:lang w:val="uk-UA"/>
                        </w:rPr>
                      </w:pPr>
                      <w:r>
                        <w:rPr/>
                      </w:r>
                    </w:p>
                  </w:txbxContent>
                </v:textbox>
                <w10:wrap type="none"/>
              </v:rect>
            </w:pict>
          </mc:Fallback>
        </mc:AlternateContent>
        <w:drawing>
          <wp:inline distT="0" distB="0" distL="0" distR="0">
            <wp:extent cx="5212080" cy="3186430"/>
            <wp:effectExtent l="0" t="0" r="0" b="0"/>
            <wp:docPr id="26" name="Object34"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ListParagraph"/>
        <w:numPr>
          <w:ilvl w:val="0"/>
          <w:numId w:val="2"/>
        </w:numPr>
        <w:jc w:val="both"/>
        <w:rPr>
          <w:rFonts w:cs="Calibri" w:cstheme="minorHAnsi"/>
          <w:lang w:val="uk-UA"/>
        </w:rPr>
      </w:pPr>
      <w:r>
        <w:rPr>
          <w:b/>
          <w:bCs/>
          <w:lang w:val="uk-UA"/>
        </w:rPr>
        <w:t>Причини здійснення неофіційних платежів змінилися у період  між 2021 та 2023 роками</w:t>
      </w:r>
      <w:r>
        <w:rPr>
          <w:lang w:val="uk-UA"/>
        </w:rPr>
        <w:t xml:space="preserve">. Відсоток респондентів, які вказали "Відсутність або недостатність знань щодо податкового обліку, заповнення та подання звітності тощо" як причину здійснення неофіційних платежів, збільшився з 62,4% у 2021 році до 68,7% у 2023 році. Натомість у категорії "Запобігання або усунення формальних/бюрократичних/необґрунтованих перешкод у веденні бізнесу" кількість відповідей зменшилася з 46,6% у 2021 році до 41,2% у 2023 році. </w:t>
      </w:r>
    </w:p>
    <w:p>
      <w:pPr>
        <w:pStyle w:val="ListParagraph"/>
        <w:numPr>
          <w:ilvl w:val="0"/>
          <w:numId w:val="2"/>
        </w:numPr>
        <w:jc w:val="both"/>
        <w:rPr>
          <w:rFonts w:cs="Calibri" w:cstheme="minorHAnsi"/>
          <w:lang w:val="uk-UA"/>
        </w:rPr>
      </w:pPr>
      <w:r>
        <w:rPr>
          <w:b/>
          <w:bCs/>
          <w:lang w:val="uk-UA"/>
        </w:rPr>
        <w:t xml:space="preserve">Понад 10% платників ПДВ визнали, що знають про неофіційні платежі, які здійснюються для отримання відшкодування ПДВ. </w:t>
      </w:r>
      <w:r>
        <w:rPr>
          <w:lang w:val="uk-UA"/>
        </w:rPr>
        <w:t xml:space="preserve">Цей показник був вищим серед юридичних осіб (13,6%) і нижчим серед фізичних осіб-підприємців (8,8%). У галузевому розрізі найвищий рівень обізнаності продемонстрували будівельна галузь і галузь постачання електроенергії, газу, пари та кондиційованого повітря: 17,6% та 17,4% респондентів, відповідно, визнали наявність такої практики. Натомість у таких секторах, як охорона здоров'я та освіта, рівень обізнаності був дуже низьким - лише 1,1% та 5,2% відповідно. </w:t>
      </w:r>
    </w:p>
    <w:p>
      <w:pPr>
        <w:pStyle w:val="ListParagraph"/>
        <w:numPr>
          <w:ilvl w:val="0"/>
          <w:numId w:val="2"/>
        </w:numPr>
        <w:jc w:val="both"/>
        <w:rPr>
          <w:rFonts w:cs="Calibri" w:cstheme="minorHAnsi"/>
          <w:lang w:val="uk-UA"/>
        </w:rPr>
      </w:pPr>
      <w:r>
        <w:rPr>
          <w:b/>
          <w:bCs/>
          <w:lang w:val="uk-UA"/>
        </w:rPr>
        <w:t>Респондентів, які знають про неформальні платежі, попросили оцінити відсоток або конкретні суми, які вони сплачують, щоб "залагодити справи" під час проходження митниці, сплати податків, отримання ліцензій, дозволів та послуг</w:t>
      </w:r>
      <w:r>
        <w:rPr>
          <w:lang w:val="uk-UA"/>
        </w:rPr>
        <w:t xml:space="preserve">. Загалом, серед усіх респондентів, середній грошовий еквівалент, сплачений у вигляді неформальних платежів, становив 32 797,1 грн. У 2023 році 78,8% підприємств повідомили, що вони здійснювали неформальні платежі для подолання формальної бюрократії та необґрунтованих перешкод, що є дещо більшим, ніж 77,8% у 2021 році. </w:t>
      </w:r>
    </w:p>
    <w:p>
      <w:pPr>
        <w:pStyle w:val="Heading3"/>
        <w:rPr>
          <w:lang w:val="uk-UA"/>
        </w:rPr>
      </w:pPr>
      <w:bookmarkStart w:id="17" w:name="_Toc185882878"/>
      <w:r>
        <w:rPr>
          <w:lang w:val="uk-UA"/>
        </w:rPr>
        <w:t>Податкові перевірки</w:t>
      </w:r>
      <w:bookmarkEnd w:id="17"/>
    </w:p>
    <w:p>
      <w:pPr>
        <w:pStyle w:val="ListParagraph"/>
        <w:numPr>
          <w:ilvl w:val="0"/>
          <w:numId w:val="2"/>
        </w:numPr>
        <w:jc w:val="both"/>
        <w:rPr>
          <w:rFonts w:cs="Calibri" w:cstheme="minorHAnsi"/>
          <w:lang w:val="uk-UA"/>
        </w:rPr>
      </w:pPr>
      <w:r>
        <w:rPr>
          <w:rStyle w:val="Strong"/>
          <w:lang w:val="uk-UA"/>
        </w:rPr>
        <w:t xml:space="preserve">Частка </w:t>
      </w:r>
      <w:r>
        <w:rPr>
          <w:b/>
          <w:lang w:val="uk-UA"/>
        </w:rPr>
        <w:t>підприємств</w:t>
      </w:r>
      <w:r>
        <w:rPr>
          <w:rStyle w:val="Strong"/>
          <w:lang w:val="uk-UA"/>
        </w:rPr>
        <w:t>, які зазнали податкових перевірок, суттєво не змінилась у період між 2021 та 2023 роками.</w:t>
      </w:r>
      <w:r>
        <w:rPr>
          <w:rStyle w:val="Strong"/>
          <w:b w:val="false"/>
          <w:bCs w:val="false"/>
          <w:lang w:val="uk-UA"/>
        </w:rPr>
        <w:t xml:space="preserve"> 14% підприємств повідомили, що їх перевіряли у 2021 році, та 13,8% - у 2023 році (Таблиця 7).</w:t>
      </w:r>
      <w:r>
        <w:rPr>
          <w:lang w:val="uk-UA"/>
        </w:rPr>
        <w:t xml:space="preserve"> Частка підприємств, які не пройшли перевірку, зросла з 73,2% до 75,3% (решта не знають або відмовилися відповідати). Крупніші підприємства стикаються з більшою кількістю перевірок, причому рівень перевірок для компаній з кількістю працівників понад 50 осіб зріс із 37,2% до 49,1% у період між 2021 та 2023 роками.</w:t>
      </w:r>
      <w:bookmarkStart w:id="18" w:name="_Ref175222600"/>
      <w:r>
        <w:rPr>
          <w:lang w:val="uk-UA"/>
        </w:rPr>
        <w:t xml:space="preserve"> Регіональні відмінності зберігаються: у Вінницькій області у 2023 році найвищий показник перевірок - 30,2%, а найнижчий - 8,6% - у Сумській області.</w:t>
      </w:r>
    </w:p>
    <w:p>
      <w:pPr>
        <w:pStyle w:val="Normal"/>
        <w:jc w:val="both"/>
        <w:rPr>
          <w:b/>
          <w:bCs/>
          <w:lang w:val="uk-UA"/>
        </w:rPr>
      </w:pPr>
      <w:r>
        <w:rPr>
          <w:b/>
          <w:bCs/>
          <w:lang w:val="uk-UA"/>
        </w:rPr>
        <w:t>Таблиця</w:t>
      </w:r>
      <w:bookmarkEnd w:id="18"/>
      <w:r>
        <w:rPr>
          <w:b/>
          <w:bCs/>
          <w:lang w:val="uk-UA"/>
        </w:rPr>
        <w:t xml:space="preserve"> 7. Відсоток підприємств, які повідомили про проходження податкових перевірок у 2021 та 2023 роках</w:t>
      </w:r>
    </w:p>
    <w:tbl>
      <w:tblPr>
        <w:tblStyle w:val="GridTable4Accent1"/>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7498"/>
        <w:gridCol w:w="927"/>
        <w:gridCol w:w="925"/>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7498"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tabs>
                <w:tab w:val="clear" w:pos="720"/>
                <w:tab w:val="left" w:pos="4897" w:leader="none"/>
              </w:tabs>
              <w:spacing w:lineRule="auto" w:line="240" w:before="0" w:after="0"/>
              <w:jc w:val="both"/>
              <w:rPr>
                <w:rFonts w:ascii="Calibri" w:hAnsi="Calibri" w:cs="Calibri" w:asciiTheme="minorHAnsi" w:cstheme="minorHAnsi" w:hAnsiTheme="minorHAnsi"/>
                <w:lang w:val="uk-UA"/>
              </w:rPr>
            </w:pPr>
            <w:r>
              <w:rPr>
                <w:rFonts w:eastAsia="SimSun" w:cs="Calibri" w:cstheme="minorHAnsi"/>
                <w:b/>
                <w:bCs/>
                <w:color w:themeColor="background1" w:val="FFFFFF"/>
                <w:kern w:val="2"/>
                <w:sz w:val="18"/>
                <w:szCs w:val="22"/>
                <w:lang w:val="uk-UA" w:eastAsia="en-GB" w:bidi="ar-SA"/>
              </w:rPr>
              <w:t>Відсоток підприємств, які повідомили про проходження податкових перевірок у:</w:t>
            </w:r>
          </w:p>
        </w:tc>
        <w:tc>
          <w:tcPr>
            <w:tcW w:w="927"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lang w:val="uk-UA"/>
              </w:rPr>
            </w:pPr>
            <w:r>
              <w:rPr>
                <w:rFonts w:eastAsia="SimSun" w:cs="Calibri" w:cstheme="minorHAnsi"/>
                <w:b/>
                <w:bCs/>
                <w:color w:themeColor="background1" w:val="FFFFFF"/>
                <w:kern w:val="2"/>
                <w:sz w:val="18"/>
                <w:szCs w:val="22"/>
                <w:lang w:val="uk-UA" w:eastAsia="en-GB" w:bidi="ar-SA"/>
              </w:rPr>
              <w:t>2021 р.</w:t>
            </w:r>
          </w:p>
        </w:tc>
        <w:tc>
          <w:tcPr>
            <w:tcW w:w="925"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lang w:val="uk-UA"/>
              </w:rPr>
            </w:pPr>
            <w:r>
              <w:rPr>
                <w:rFonts w:eastAsia="SimSun" w:cs="Calibri" w:cstheme="minorHAnsi"/>
                <w:b/>
                <w:bCs/>
                <w:color w:themeColor="background1" w:val="FFFFFF"/>
                <w:kern w:val="2"/>
                <w:sz w:val="18"/>
                <w:szCs w:val="22"/>
                <w:lang w:val="uk-UA" w:eastAsia="en-GB" w:bidi="ar-SA"/>
              </w:rPr>
              <w:t>2023 р.</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7498"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lang w:val="uk-UA"/>
              </w:rPr>
            </w:pPr>
            <w:r>
              <w:rPr>
                <w:rFonts w:eastAsia="SimSun" w:cs="Calibri" w:cstheme="minorHAnsi"/>
                <w:b w:val="false"/>
                <w:bCs/>
                <w:kern w:val="2"/>
                <w:sz w:val="18"/>
                <w:szCs w:val="22"/>
                <w:lang w:val="uk-UA" w:eastAsia="en-GB" w:bidi="ar-SA"/>
              </w:rPr>
              <w:t>Без найманих працівників</w:t>
            </w:r>
          </w:p>
        </w:tc>
        <w:tc>
          <w:tcPr>
            <w:tcW w:w="927"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lang w:val="uk-UA"/>
              </w:rPr>
            </w:pPr>
            <w:r>
              <w:rPr>
                <w:rFonts w:eastAsia="SimSun" w:cs="Calibri" w:cstheme="minorHAnsi"/>
                <w:kern w:val="2"/>
                <w:sz w:val="18"/>
                <w:szCs w:val="22"/>
                <w:lang w:val="uk-UA" w:eastAsia="en-GB" w:bidi="ar-SA"/>
              </w:rPr>
              <w:t>7,4</w:t>
            </w:r>
          </w:p>
        </w:tc>
        <w:tc>
          <w:tcPr>
            <w:tcW w:w="925"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lang w:val="uk-UA"/>
              </w:rPr>
            </w:pPr>
            <w:r>
              <w:rPr>
                <w:rFonts w:eastAsia="SimSun" w:cs="Calibri" w:cstheme="minorHAnsi"/>
                <w:kern w:val="2"/>
                <w:sz w:val="18"/>
                <w:szCs w:val="22"/>
                <w:lang w:val="uk-UA" w:eastAsia="en-GB" w:bidi="ar-SA"/>
              </w:rPr>
              <w:t>6,3</w:t>
            </w:r>
          </w:p>
        </w:tc>
      </w:tr>
      <w:tr>
        <w:trPr>
          <w:trHeight w:val="300" w:hRule="atLeast"/>
        </w:trPr>
        <w:tc>
          <w:tcPr>
            <w:tcW w:w="749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lang w:val="uk-UA"/>
              </w:rPr>
            </w:pPr>
            <w:r>
              <w:rPr>
                <w:rFonts w:eastAsia="SimSun" w:cs="Calibri" w:cstheme="minorHAnsi"/>
                <w:b w:val="false"/>
                <w:bCs/>
                <w:kern w:val="2"/>
                <w:sz w:val="18"/>
                <w:szCs w:val="22"/>
                <w:lang w:val="uk-UA" w:eastAsia="en-GB" w:bidi="ar-SA"/>
              </w:rPr>
              <w:t>До 50 працівників</w:t>
            </w:r>
          </w:p>
        </w:tc>
        <w:tc>
          <w:tcPr>
            <w:tcW w:w="927"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lang w:val="uk-UA"/>
              </w:rPr>
            </w:pPr>
            <w:r>
              <w:rPr>
                <w:rFonts w:eastAsia="SimSun" w:cs="Calibri" w:cstheme="minorHAnsi"/>
                <w:kern w:val="2"/>
                <w:sz w:val="18"/>
                <w:szCs w:val="22"/>
                <w:lang w:val="uk-UA" w:eastAsia="en-GB" w:bidi="ar-SA"/>
              </w:rPr>
              <w:t>20,7</w:t>
            </w:r>
          </w:p>
        </w:tc>
        <w:tc>
          <w:tcPr>
            <w:tcW w:w="925"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lang w:val="uk-UA"/>
              </w:rPr>
            </w:pPr>
            <w:r>
              <w:rPr>
                <w:rFonts w:eastAsia="SimSun" w:cs="Calibri" w:cstheme="minorHAnsi"/>
                <w:kern w:val="2"/>
                <w:sz w:val="18"/>
                <w:szCs w:val="22"/>
                <w:lang w:val="uk-UA" w:eastAsia="en-GB" w:bidi="ar-SA"/>
              </w:rPr>
              <w:t>23,2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7498"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lang w:val="uk-UA"/>
              </w:rPr>
            </w:pPr>
            <w:r>
              <w:rPr>
                <w:rFonts w:eastAsia="SimSun" w:cs="Calibri" w:cstheme="minorHAnsi"/>
                <w:b w:val="false"/>
                <w:bCs/>
                <w:kern w:val="2"/>
                <w:sz w:val="18"/>
                <w:szCs w:val="22"/>
                <w:lang w:val="uk-UA" w:eastAsia="en-GB" w:bidi="ar-SA"/>
              </w:rPr>
              <w:t>Понад 50 працівників</w:t>
            </w:r>
          </w:p>
        </w:tc>
        <w:tc>
          <w:tcPr>
            <w:tcW w:w="927"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lang w:val="uk-UA"/>
              </w:rPr>
            </w:pPr>
            <w:r>
              <w:rPr>
                <w:rFonts w:eastAsia="SimSun" w:cs="Calibri" w:cstheme="minorHAnsi"/>
                <w:kern w:val="2"/>
                <w:sz w:val="18"/>
                <w:szCs w:val="22"/>
                <w:lang w:val="uk-UA" w:eastAsia="en-GB" w:bidi="ar-SA"/>
              </w:rPr>
              <w:t>37,2</w:t>
            </w:r>
          </w:p>
        </w:tc>
        <w:tc>
          <w:tcPr>
            <w:tcW w:w="925"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lang w:val="uk-UA"/>
              </w:rPr>
            </w:pPr>
            <w:r>
              <w:rPr>
                <w:rFonts w:eastAsia="SimSun" w:cs="Calibri" w:cstheme="minorHAnsi"/>
                <w:kern w:val="2"/>
                <w:sz w:val="18"/>
                <w:szCs w:val="22"/>
                <w:lang w:val="uk-UA" w:eastAsia="en-GB" w:bidi="ar-SA"/>
              </w:rPr>
              <w:t>49,1</w:t>
            </w:r>
          </w:p>
        </w:tc>
      </w:tr>
      <w:tr>
        <w:trPr>
          <w:trHeight w:val="300" w:hRule="atLeast"/>
        </w:trPr>
        <w:tc>
          <w:tcPr>
            <w:tcW w:w="749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lang w:val="uk-UA"/>
              </w:rPr>
            </w:pPr>
            <w:r>
              <w:rPr>
                <w:rFonts w:eastAsia="SimSun" w:cs="Calibri" w:cstheme="minorHAnsi"/>
                <w:b w:val="false"/>
                <w:bCs/>
                <w:kern w:val="2"/>
                <w:sz w:val="18"/>
                <w:szCs w:val="22"/>
                <w:lang w:val="uk-UA" w:eastAsia="en-GB" w:bidi="ar-SA"/>
              </w:rPr>
              <w:t>Загалом</w:t>
            </w:r>
          </w:p>
        </w:tc>
        <w:tc>
          <w:tcPr>
            <w:tcW w:w="927"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lang w:val="uk-UA"/>
              </w:rPr>
            </w:pPr>
            <w:r>
              <w:rPr>
                <w:rFonts w:eastAsia="SimSun" w:cs="Calibri" w:cstheme="minorHAnsi"/>
                <w:kern w:val="2"/>
                <w:sz w:val="18"/>
                <w:szCs w:val="22"/>
                <w:lang w:val="uk-UA" w:eastAsia="en-GB" w:bidi="ar-SA"/>
              </w:rPr>
              <w:t>14,0</w:t>
            </w:r>
          </w:p>
        </w:tc>
        <w:tc>
          <w:tcPr>
            <w:tcW w:w="925"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lang w:val="uk-UA"/>
              </w:rPr>
            </w:pPr>
            <w:r>
              <w:rPr>
                <w:rFonts w:eastAsia="SimSun" w:cs="Calibri" w:cstheme="minorHAnsi"/>
                <w:kern w:val="2"/>
                <w:sz w:val="18"/>
                <w:szCs w:val="22"/>
                <w:lang w:val="uk-UA" w:eastAsia="en-GB" w:bidi="ar-SA"/>
              </w:rPr>
              <w:t>13,7</w:t>
            </w:r>
          </w:p>
        </w:tc>
      </w:tr>
    </w:tbl>
    <w:p>
      <w:pPr>
        <w:pStyle w:val="ListParagraph"/>
        <w:ind w:left="360"/>
        <w:jc w:val="both"/>
        <w:rPr>
          <w:rFonts w:cs="Calibri" w:cstheme="minorHAnsi"/>
          <w:lang w:val="uk-UA"/>
        </w:rPr>
      </w:pPr>
      <w:r>
        <w:rPr>
          <w:rFonts w:cs="Calibri" w:cstheme="minorHAnsi"/>
          <w:lang w:val="uk-UA"/>
        </w:rPr>
      </w:r>
    </w:p>
    <w:p>
      <w:pPr>
        <w:pStyle w:val="ListParagraph"/>
        <w:numPr>
          <w:ilvl w:val="0"/>
          <w:numId w:val="2"/>
        </w:numPr>
        <w:jc w:val="both"/>
        <w:rPr>
          <w:rFonts w:cs="Calibri" w:cstheme="minorHAnsi"/>
          <w:lang w:val="uk-UA"/>
        </w:rPr>
      </w:pPr>
      <w:r>
        <w:rPr>
          <w:b/>
          <w:bCs/>
          <w:lang w:val="uk-UA"/>
        </w:rPr>
        <w:t>Існують відмінності у частці підприємств у різних галузях, які повідомляють про перевірки</w:t>
      </w:r>
      <w:r>
        <w:rPr>
          <w:lang w:val="uk-UA"/>
        </w:rPr>
        <w:t>. Сектор постачання електроенергії, газу, пари та кондиційованого повітря стикався з найвищими показниками перевірок, які дещо знизилися з 46,2% у 2021 році до 45,1% у 2023 році. У переробній промисловості кількість перевірок помітно зросла з 16,6% до 22,0% за той самий період, тоді як фінансова і страхова діяльність також зазнала посиленого контролю, досягнувши 25,7% у 2023 році. На противагу цьому, такі сектори, як державне управління та оборона, залишилися практично вільними від перевірок.</w:t>
      </w:r>
    </w:p>
    <w:p>
      <w:pPr>
        <w:pStyle w:val="ListParagraph"/>
        <w:numPr>
          <w:ilvl w:val="0"/>
          <w:numId w:val="2"/>
        </w:numPr>
        <w:jc w:val="both"/>
        <w:rPr>
          <w:lang w:val="uk-UA"/>
        </w:rPr>
      </w:pPr>
      <w:r>
        <w:rPr>
          <w:rStyle w:val="Strong"/>
          <w:lang w:val="uk-UA"/>
        </w:rPr>
        <w:t xml:space="preserve">Підприємства свідчать про зростання залежності від зовнішньої підтримки при проведенні перевірок. </w:t>
      </w:r>
      <w:r>
        <w:rPr>
          <w:lang w:val="uk-UA"/>
        </w:rPr>
        <w:t xml:space="preserve">У 2023 році майже чверть респондентів (23,9%) залучали зовнішніх фахівців при проходженні податкових перевірок, що відображає реакцію на сприйняття складності або збільшення прискіпливості з боку органів влади. </w:t>
      </w:r>
    </w:p>
    <w:p>
      <w:pPr>
        <w:pStyle w:val="ListParagraph"/>
        <w:numPr>
          <w:ilvl w:val="0"/>
          <w:numId w:val="2"/>
        </w:numPr>
        <w:jc w:val="both"/>
        <w:rPr>
          <w:b/>
          <w:bCs/>
          <w:lang w:val="uk-UA"/>
        </w:rPr>
      </w:pPr>
      <w:r>
        <w:rPr>
          <w:rStyle w:val="Strong"/>
          <w:lang w:val="uk-UA"/>
        </w:rPr>
        <w:t>Підприємства</w:t>
      </w:r>
      <w:r>
        <w:rPr>
          <w:b/>
          <w:bCs/>
          <w:lang w:val="uk-UA"/>
        </w:rPr>
        <w:t xml:space="preserve"> повідомляють про відмінності у частоті пред'явлення офіційного наказу на проведення перевірки під час податкових перевірок. </w:t>
      </w:r>
      <w:r>
        <w:rPr>
          <w:lang w:val="uk-UA"/>
        </w:rPr>
        <w:t xml:space="preserve">Загалом 54,6% респондентів підтвердили, що їм пред'являли офіційний наказ на проведення перевірки, тоді як 30,8% сказали, що не бачили такого. </w:t>
      </w:r>
      <w:bookmarkStart w:id="19" w:name="_Ref175227893"/>
      <w:r>
        <w:rPr>
          <w:lang w:val="uk-UA"/>
        </w:rPr>
        <w:t xml:space="preserve">Підприємства з кількістю працівників понад 50 осіб повідомили про отримання офіційного наказу на проведення перевірки у 81,0% випадків, порівняно з 33,3% серед підприємств меншого розміру або тих, що не мають найманих працівників (Таблиця 8). Подібним чином, більша частка юридичних осіб повідомила, що їм було пред'явлено офіційний наказ (63,0%), у порівнянні з часткою фізичних осіб-підприємців (47,1%). </w:t>
      </w:r>
    </w:p>
    <w:p>
      <w:pPr>
        <w:pStyle w:val="Normal"/>
        <w:jc w:val="both"/>
        <w:rPr>
          <w:b/>
          <w:bCs/>
          <w:lang w:val="uk-UA"/>
        </w:rPr>
      </w:pPr>
      <w:r>
        <w:rPr>
          <w:b/>
          <w:bCs/>
          <w:lang w:val="uk-UA"/>
        </w:rPr>
        <w:t>Таблиця</w:t>
      </w:r>
      <w:bookmarkEnd w:id="19"/>
      <w:r>
        <w:rPr>
          <w:b/>
          <w:bCs/>
          <w:lang w:val="uk-UA"/>
        </w:rPr>
        <w:t xml:space="preserve"> 8.  Чи податковий інспектор пред'явив вам офіційний наказ на проведення перевірки під час останньої податкової перевірки у 2023 році?</w:t>
      </w:r>
    </w:p>
    <w:tbl>
      <w:tblPr>
        <w:tblStyle w:val="GridTable4Accent1"/>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329"/>
        <w:gridCol w:w="1204"/>
        <w:gridCol w:w="1206"/>
        <w:gridCol w:w="1204"/>
        <w:gridCol w:w="1202"/>
        <w:gridCol w:w="1204"/>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3329"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Всього працівників</w:t>
            </w:r>
          </w:p>
        </w:tc>
        <w:tc>
          <w:tcPr>
            <w:tcW w:w="1204"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Так</w:t>
            </w:r>
          </w:p>
        </w:tc>
        <w:tc>
          <w:tcPr>
            <w:tcW w:w="1206"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Ні</w:t>
            </w:r>
          </w:p>
        </w:tc>
        <w:tc>
          <w:tcPr>
            <w:tcW w:w="1204"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Не знає</w:t>
            </w:r>
          </w:p>
        </w:tc>
        <w:tc>
          <w:tcPr>
            <w:tcW w:w="1202"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Відмовився відповідати</w:t>
            </w:r>
          </w:p>
        </w:tc>
        <w:tc>
          <w:tcPr>
            <w:tcW w:w="1204"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Всього</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29"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Без найманих працівників</w:t>
            </w:r>
          </w:p>
        </w:tc>
        <w:tc>
          <w:tcPr>
            <w:tcW w:w="120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33,3</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46,4</w:t>
            </w:r>
          </w:p>
        </w:tc>
        <w:tc>
          <w:tcPr>
            <w:tcW w:w="120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16,3</w:t>
            </w:r>
          </w:p>
        </w:tc>
        <w:tc>
          <w:tcPr>
            <w:tcW w:w="12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4,0</w:t>
            </w:r>
          </w:p>
        </w:tc>
        <w:tc>
          <w:tcPr>
            <w:tcW w:w="120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100,0</w:t>
            </w:r>
          </w:p>
        </w:tc>
      </w:tr>
      <w:tr>
        <w:trPr>
          <w:trHeight w:val="300" w:hRule="atLeast"/>
        </w:trPr>
        <w:tc>
          <w:tcPr>
            <w:tcW w:w="3329"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До 50 працівників</w:t>
            </w:r>
          </w:p>
        </w:tc>
        <w:tc>
          <w:tcPr>
            <w:tcW w:w="120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60,8</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25,6</w:t>
            </w:r>
          </w:p>
        </w:tc>
        <w:tc>
          <w:tcPr>
            <w:tcW w:w="120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9,3</w:t>
            </w:r>
          </w:p>
        </w:tc>
        <w:tc>
          <w:tcPr>
            <w:tcW w:w="12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4,2</w:t>
            </w:r>
          </w:p>
        </w:tc>
        <w:tc>
          <w:tcPr>
            <w:tcW w:w="120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100,0</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29"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Понад 50 працівників</w:t>
            </w:r>
          </w:p>
        </w:tc>
        <w:tc>
          <w:tcPr>
            <w:tcW w:w="120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81,0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13,7</w:t>
            </w:r>
          </w:p>
        </w:tc>
        <w:tc>
          <w:tcPr>
            <w:tcW w:w="120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3,8</w:t>
            </w:r>
          </w:p>
        </w:tc>
        <w:tc>
          <w:tcPr>
            <w:tcW w:w="12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1,6</w:t>
            </w:r>
          </w:p>
        </w:tc>
        <w:tc>
          <w:tcPr>
            <w:tcW w:w="120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100,0</w:t>
            </w:r>
          </w:p>
        </w:tc>
      </w:tr>
      <w:tr>
        <w:trPr>
          <w:trHeight w:val="300" w:hRule="atLeast"/>
        </w:trPr>
        <w:tc>
          <w:tcPr>
            <w:tcW w:w="3329"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Всього</w:t>
            </w:r>
          </w:p>
        </w:tc>
        <w:tc>
          <w:tcPr>
            <w:tcW w:w="120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55,1</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30,2</w:t>
            </w:r>
          </w:p>
        </w:tc>
        <w:tc>
          <w:tcPr>
            <w:tcW w:w="120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10,7</w:t>
            </w:r>
          </w:p>
        </w:tc>
        <w:tc>
          <w:tcPr>
            <w:tcW w:w="12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3,9</w:t>
            </w:r>
          </w:p>
        </w:tc>
        <w:tc>
          <w:tcPr>
            <w:tcW w:w="120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100,0</w:t>
            </w:r>
          </w:p>
        </w:tc>
      </w:tr>
    </w:tbl>
    <w:p>
      <w:pPr>
        <w:pStyle w:val="Normal"/>
        <w:jc w:val="both"/>
        <w:rPr>
          <w:rStyle w:val="Strong"/>
          <w:lang w:val="uk-UA"/>
        </w:rPr>
      </w:pPr>
      <w:r>
        <w:rPr>
          <w:lang w:val="uk-UA"/>
        </w:rPr>
      </w:r>
    </w:p>
    <w:p>
      <w:pPr>
        <w:pStyle w:val="ListParagraph"/>
        <w:numPr>
          <w:ilvl w:val="0"/>
          <w:numId w:val="2"/>
        </w:numPr>
        <w:jc w:val="both"/>
        <w:rPr>
          <w:rFonts w:cs="Calibri" w:cstheme="minorHAnsi"/>
          <w:lang w:val="uk-UA"/>
        </w:rPr>
      </w:pPr>
      <w:r>
        <w:rPr>
          <w:rStyle w:val="Strong"/>
          <w:lang w:val="uk-UA"/>
        </w:rPr>
        <w:t xml:space="preserve">Підприємства зазначили, що середня тривалість виїзної податкової перевірки становила 6,2 години, з деякими відмінностями залежно від регіону, розміру і типу компанії. </w:t>
      </w:r>
      <w:r>
        <w:rPr>
          <w:lang w:val="uk-UA"/>
        </w:rPr>
        <w:t>Підприємства з чисельністю працівників понад 50 осіб повідомили, що середня тривалість податкових перевірок становила 14,2 години порівняно з 6,3 години для підприємств з чисельністю працівників до 50 осіб і лише 3,8 години для підприємств без найманих працівників (Таблиця 9). Юридичні особи повідомили, що середня тривалість перевірки становила 8,2 години порівняно з 4,5 годинами для фізичних осіб-підприємців. Волинська область повідомила про найбільшу середню тривалість перевірки - 14,0 годин, за нею йдуть Хмельницька (12,9 годин) та Житомирська (12,4 години), тоді як Чернігівська область повідомила про найкоротшу тривалість перевірки - лише 1,5 години, а Закарпатська і Чернівецька області йдуть з невеликим відставанням - 2,3 години.</w:t>
      </w:r>
    </w:p>
    <w:p>
      <w:pPr>
        <w:pStyle w:val="Normal"/>
        <w:jc w:val="both"/>
        <w:rPr>
          <w:b/>
          <w:bCs/>
          <w:lang w:val="uk-UA"/>
        </w:rPr>
      </w:pPr>
      <w:r>
        <w:rPr>
          <w:b/>
          <w:bCs/>
          <w:lang w:val="uk-UA"/>
        </w:rPr>
        <w:t>Таблиця 9. Час, проведений податковими інспекторами на місцях під час останніх виїзних перевірок у 2023 році</w:t>
      </w:r>
    </w:p>
    <w:tbl>
      <w:tblPr>
        <w:tblStyle w:val="GridTable4Accent1"/>
        <w:tblW w:w="510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761"/>
        <w:gridCol w:w="1338"/>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3761"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Times New Roman" w:ascii="Times New Roman" w:hAnsi="Times New Roman"/>
                <w:b/>
                <w:bCs/>
                <w:color w:themeColor="background1" w:val="FFFFFF"/>
                <w:kern w:val="2"/>
                <w:sz w:val="18"/>
                <w:szCs w:val="22"/>
                <w:lang w:val="uk-UA" w:eastAsia="en-GB" w:bidi="ar-SA"/>
              </w:rPr>
              <w:t>Всього працівників</w:t>
            </w:r>
          </w:p>
        </w:tc>
        <w:tc>
          <w:tcPr>
            <w:tcW w:w="1338"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Times New Roman" w:ascii="Times New Roman" w:hAnsi="Times New Roman"/>
                <w:b/>
                <w:bCs/>
                <w:color w:themeColor="background1" w:val="FFFFFF"/>
                <w:kern w:val="2"/>
                <w:sz w:val="18"/>
                <w:szCs w:val="22"/>
                <w:lang w:val="uk-UA" w:eastAsia="en-GB" w:bidi="ar-SA"/>
              </w:rPr>
              <w:t>Годин</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761"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Times New Roman" w:ascii="Times New Roman" w:hAnsi="Times New Roman"/>
                <w:b w:val="false"/>
                <w:bCs/>
                <w:kern w:val="2"/>
                <w:sz w:val="18"/>
                <w:szCs w:val="22"/>
                <w:lang w:val="uk-UA" w:eastAsia="en-GB" w:bidi="ar-SA"/>
              </w:rPr>
              <w:t>Без найманих працівників</w:t>
            </w:r>
          </w:p>
        </w:tc>
        <w:tc>
          <w:tcPr>
            <w:tcW w:w="133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Times New Roman" w:ascii="Times New Roman" w:hAnsi="Times New Roman"/>
                <w:kern w:val="2"/>
                <w:sz w:val="18"/>
                <w:szCs w:val="22"/>
                <w:lang w:val="uk-UA" w:eastAsia="en-GB" w:bidi="ar-SA"/>
              </w:rPr>
              <w:t>3,8</w:t>
            </w:r>
          </w:p>
        </w:tc>
      </w:tr>
      <w:tr>
        <w:trPr>
          <w:trHeight w:val="300" w:hRule="atLeast"/>
        </w:trPr>
        <w:tc>
          <w:tcPr>
            <w:tcW w:w="376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Times New Roman" w:ascii="Times New Roman" w:hAnsi="Times New Roman"/>
                <w:b w:val="false"/>
                <w:bCs/>
                <w:kern w:val="2"/>
                <w:sz w:val="18"/>
                <w:szCs w:val="22"/>
                <w:lang w:val="uk-UA" w:eastAsia="en-GB" w:bidi="ar-SA"/>
              </w:rPr>
              <w:t>До 50 працівників</w:t>
            </w:r>
          </w:p>
        </w:tc>
        <w:tc>
          <w:tcPr>
            <w:tcW w:w="133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Times New Roman" w:ascii="Times New Roman" w:hAnsi="Times New Roman"/>
                <w:kern w:val="2"/>
                <w:sz w:val="18"/>
                <w:szCs w:val="22"/>
                <w:lang w:val="uk-UA" w:eastAsia="en-GB" w:bidi="ar-SA"/>
              </w:rPr>
              <w:t>6,3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761"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Times New Roman" w:ascii="Times New Roman" w:hAnsi="Times New Roman"/>
                <w:b w:val="false"/>
                <w:bCs/>
                <w:kern w:val="2"/>
                <w:sz w:val="18"/>
                <w:szCs w:val="22"/>
                <w:lang w:val="uk-UA" w:eastAsia="en-GB" w:bidi="ar-SA"/>
              </w:rPr>
              <w:t>Понад 50 працівників</w:t>
            </w:r>
          </w:p>
        </w:tc>
        <w:tc>
          <w:tcPr>
            <w:tcW w:w="133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Times New Roman" w:ascii="Times New Roman" w:hAnsi="Times New Roman"/>
                <w:kern w:val="2"/>
                <w:sz w:val="18"/>
                <w:szCs w:val="22"/>
                <w:lang w:val="uk-UA" w:eastAsia="en-GB" w:bidi="ar-SA"/>
              </w:rPr>
              <w:t>14,2</w:t>
            </w:r>
          </w:p>
        </w:tc>
      </w:tr>
      <w:tr>
        <w:trPr>
          <w:trHeight w:val="300" w:hRule="atLeast"/>
        </w:trPr>
        <w:tc>
          <w:tcPr>
            <w:tcW w:w="5099" w:type="dxa"/>
            <w:gridSpan w:val="2"/>
            <w:cnfStyle w:val="001000000000" w:firstRow="0" w:lastRow="0" w:firstColumn="1" w:lastColumn="0" w:oddVBand="0" w:evenVBand="0" w:oddHBand="0" w:evenHBand="0" w:firstRowFirstColumn="0" w:firstRowLastColumn="0" w:lastRowFirstColumn="0" w:lastRowLastColumn="0"/>
            <w:tcBorders/>
            <w:shd w:color="auto" w:fill="4472C4" w:themeFill="accent1" w:val="clear"/>
          </w:tcPr>
          <w:p>
            <w:pPr>
              <w:pStyle w:val="Normal"/>
              <w:widowControl/>
              <w:spacing w:lineRule="auto" w:line="240" w:before="0" w:after="0"/>
              <w:jc w:val="both"/>
              <w:rPr>
                <w:b/>
                <w:color w:themeColor="background1" w:val="FFFFFF"/>
                <w:kern w:val="2"/>
                <w:lang w:val="uk-UA"/>
              </w:rPr>
            </w:pPr>
            <w:r>
              <w:rPr>
                <w:rFonts w:eastAsia="SimSun" w:cs="Times New Roman" w:ascii="Times New Roman" w:hAnsi="Times New Roman"/>
                <w:b/>
                <w:bCs/>
                <w:color w:themeColor="background1" w:val="FFFFFF"/>
                <w:kern w:val="2"/>
                <w:sz w:val="18"/>
                <w:szCs w:val="22"/>
                <w:lang w:val="uk-UA" w:eastAsia="en-GB" w:bidi="ar-SA"/>
              </w:rPr>
              <w:t>Категорія суб’єкта господарської діяльності</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761"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Times New Roman" w:ascii="Times New Roman" w:hAnsi="Times New Roman"/>
                <w:b w:val="false"/>
                <w:bCs/>
                <w:kern w:val="2"/>
                <w:sz w:val="18"/>
                <w:szCs w:val="22"/>
                <w:lang w:val="uk-UA" w:eastAsia="en-GB" w:bidi="ar-SA"/>
              </w:rPr>
              <w:t>Фізичні особи-підприємці</w:t>
            </w:r>
          </w:p>
        </w:tc>
        <w:tc>
          <w:tcPr>
            <w:tcW w:w="133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Times New Roman" w:ascii="Times New Roman" w:hAnsi="Times New Roman"/>
                <w:kern w:val="2"/>
                <w:sz w:val="18"/>
                <w:szCs w:val="22"/>
                <w:lang w:val="uk-UA" w:eastAsia="en-GB" w:bidi="ar-SA"/>
              </w:rPr>
              <w:t>4,5</w:t>
            </w:r>
          </w:p>
        </w:tc>
      </w:tr>
      <w:tr>
        <w:trPr>
          <w:trHeight w:val="300" w:hRule="atLeast"/>
        </w:trPr>
        <w:tc>
          <w:tcPr>
            <w:tcW w:w="376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Times New Roman" w:ascii="Times New Roman" w:hAnsi="Times New Roman"/>
                <w:b w:val="false"/>
                <w:bCs/>
                <w:kern w:val="2"/>
                <w:sz w:val="18"/>
                <w:szCs w:val="22"/>
                <w:lang w:val="uk-UA" w:eastAsia="en-GB" w:bidi="ar-SA"/>
              </w:rPr>
              <w:t>Юридичні особи</w:t>
            </w:r>
          </w:p>
        </w:tc>
        <w:tc>
          <w:tcPr>
            <w:tcW w:w="133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Times New Roman" w:ascii="Times New Roman" w:hAnsi="Times New Roman"/>
                <w:kern w:val="2"/>
                <w:sz w:val="18"/>
                <w:szCs w:val="22"/>
                <w:lang w:val="uk-UA" w:eastAsia="en-GB" w:bidi="ar-SA"/>
              </w:rPr>
              <w:t>8,2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761"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b/>
                <w:bCs w:val="false"/>
              </w:rPr>
            </w:pPr>
            <w:r>
              <w:rPr>
                <w:rFonts w:eastAsia="SimSun" w:cs="Times New Roman" w:ascii="Times New Roman" w:hAnsi="Times New Roman"/>
                <w:b/>
                <w:bCs/>
                <w:kern w:val="2"/>
                <w:sz w:val="18"/>
                <w:szCs w:val="22"/>
                <w:lang w:val="uk-UA" w:eastAsia="en-GB" w:bidi="ar-SA"/>
              </w:rPr>
              <w:t>Всього</w:t>
            </w:r>
          </w:p>
        </w:tc>
        <w:tc>
          <w:tcPr>
            <w:tcW w:w="133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b/>
              </w:rPr>
            </w:pPr>
            <w:r>
              <w:rPr>
                <w:rFonts w:eastAsia="SimSun" w:cs="Times New Roman" w:ascii="Times New Roman" w:hAnsi="Times New Roman"/>
                <w:b/>
                <w:kern w:val="2"/>
                <w:sz w:val="18"/>
                <w:szCs w:val="22"/>
                <w:lang w:val="uk-UA" w:eastAsia="en-GB" w:bidi="ar-SA"/>
              </w:rPr>
              <w:t>6,2</w:t>
            </w:r>
          </w:p>
        </w:tc>
      </w:tr>
    </w:tbl>
    <w:p>
      <w:pPr>
        <w:pStyle w:val="Normal"/>
        <w:jc w:val="both"/>
        <w:rPr>
          <w:b/>
          <w:bCs/>
          <w:lang w:val="uk-UA"/>
        </w:rPr>
      </w:pPr>
      <w:r>
        <w:rPr>
          <w:b/>
          <w:bCs/>
          <w:lang w:val="uk-UA"/>
        </w:rPr>
      </w:r>
    </w:p>
    <w:p>
      <w:pPr>
        <w:pStyle w:val="ListParagraph"/>
        <w:numPr>
          <w:ilvl w:val="0"/>
          <w:numId w:val="2"/>
        </w:numPr>
        <w:jc w:val="both"/>
        <w:rPr>
          <w:rFonts w:cs="Calibri" w:cstheme="minorHAnsi"/>
          <w:lang w:val="uk-UA"/>
        </w:rPr>
      </w:pPr>
      <w:r>
        <w:rPr>
          <w:b/>
          <w:bCs/>
          <w:lang w:val="uk-UA"/>
        </w:rPr>
        <w:t xml:space="preserve">Підприємства повідомляють, що нарахування штрафів і пені було частим наслідком податкових перевірок для підприємств усіх розмірів, але більші компанії частіше оскаржують збільшення своїх податкових зобов'язань. </w:t>
      </w:r>
      <w:r>
        <w:rPr>
          <w:lang w:val="uk-UA"/>
        </w:rPr>
        <w:t xml:space="preserve">Про штрафи повідомили 63,1% підприємств з кількістю працівників до 50 осіб, 52,4% підприємств з кількістю працівників понад 50 осіб та 51% підприємств, які не мають найманих працівників (Таблиця 10). </w:t>
      </w:r>
      <w:bookmarkStart w:id="20" w:name="_Ref175230422"/>
    </w:p>
    <w:p>
      <w:pPr>
        <w:pStyle w:val="Normal"/>
        <w:jc w:val="both"/>
        <w:rPr>
          <w:b/>
          <w:bCs/>
          <w:lang w:val="uk-UA"/>
        </w:rPr>
      </w:pPr>
      <w:r>
        <w:rPr>
          <w:b/>
          <w:bCs/>
          <w:lang w:val="uk-UA"/>
        </w:rPr>
        <w:t>Таблиця</w:t>
      </w:r>
      <w:bookmarkEnd w:id="20"/>
      <w:r>
        <w:rPr>
          <w:b/>
          <w:bCs/>
          <w:lang w:val="uk-UA"/>
        </w:rPr>
        <w:t xml:space="preserve"> 10. Чи призвела остання податкова перевірка у 2023 році до якихось із наведених нижче негативних наслідків?</w:t>
      </w:r>
      <w:r>
        <w:rPr>
          <w:rStyle w:val="FootnoteReference"/>
          <w:b/>
          <w:bCs/>
          <w:vertAlign w:val="superscript"/>
          <w:lang w:val="uk-UA"/>
        </w:rPr>
        <w:footnoteReference w:id="10"/>
      </w:r>
    </w:p>
    <w:tbl>
      <w:tblPr>
        <w:tblStyle w:val="GridTable4Accent1"/>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016"/>
        <w:gridCol w:w="1335"/>
        <w:gridCol w:w="1333"/>
        <w:gridCol w:w="1331"/>
        <w:gridCol w:w="1335"/>
      </w:tblGrid>
      <w:tr>
        <w:trPr>
          <w:tblHeader w:val="true"/>
          <w:trHeight w:val="525" w:hRule="atLeast"/>
          <w:cnfStyle w:val="100000000000" w:firstRow="1" w:lastRow="0" w:firstColumn="0" w:lastColumn="0" w:oddVBand="0" w:evenVBand="0" w:oddHBand="0" w:evenHBand="0" w:firstRowFirstColumn="0" w:firstRowLastColumn="0" w:lastRowFirstColumn="0" w:lastRowLastColumn="0"/>
        </w:trPr>
        <w:tc>
          <w:tcPr>
            <w:tcW w:w="4016"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r>
          </w:p>
        </w:tc>
        <w:tc>
          <w:tcPr>
            <w:tcW w:w="1335"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Без найманих працівників</w:t>
            </w:r>
          </w:p>
        </w:tc>
        <w:tc>
          <w:tcPr>
            <w:tcW w:w="1333"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До 50 працівників</w:t>
            </w:r>
          </w:p>
        </w:tc>
        <w:tc>
          <w:tcPr>
            <w:tcW w:w="1331"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Понад 50 працівників</w:t>
            </w:r>
          </w:p>
        </w:tc>
        <w:tc>
          <w:tcPr>
            <w:tcW w:w="1335"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Загалом</w:t>
            </w:r>
          </w:p>
        </w:tc>
      </w:tr>
      <w:tr>
        <w:trPr>
          <w:trHeight w:val="600" w:hRule="atLeast"/>
          <w:cnfStyle w:val="000000100000" w:firstRow="0" w:lastRow="0" w:firstColumn="0" w:lastColumn="0" w:oddVBand="0" w:evenVBand="0" w:oddHBand="1" w:evenHBand="0" w:firstRowFirstColumn="0" w:firstRowLastColumn="0" w:lastRowFirstColumn="0" w:lastRowLastColumn="0"/>
        </w:trPr>
        <w:tc>
          <w:tcPr>
            <w:tcW w:w="4016"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Збільшення податків, які потрібно сплачувати, і це не викликало заперечень</w:t>
            </w:r>
          </w:p>
        </w:tc>
        <w:tc>
          <w:tcPr>
            <w:tcW w:w="1335"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w:t>
            </w:r>
          </w:p>
        </w:tc>
        <w:tc>
          <w:tcPr>
            <w:tcW w:w="1333"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12,8</w:t>
            </w:r>
          </w:p>
        </w:tc>
        <w:tc>
          <w:tcPr>
            <w:tcW w:w="1331"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17,9</w:t>
            </w:r>
          </w:p>
        </w:tc>
        <w:tc>
          <w:tcPr>
            <w:tcW w:w="1335"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12,2</w:t>
            </w:r>
          </w:p>
        </w:tc>
      </w:tr>
      <w:tr>
        <w:trPr>
          <w:trHeight w:val="530" w:hRule="atLeast"/>
        </w:trPr>
        <w:tc>
          <w:tcPr>
            <w:tcW w:w="4016"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Збільшення податків, які необхідно сплачувати, і триває процедура оскарження</w:t>
            </w:r>
          </w:p>
        </w:tc>
        <w:tc>
          <w:tcPr>
            <w:tcW w:w="1335"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10,2</w:t>
            </w:r>
          </w:p>
        </w:tc>
        <w:tc>
          <w:tcPr>
            <w:tcW w:w="1333"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13,9</w:t>
            </w:r>
          </w:p>
        </w:tc>
        <w:tc>
          <w:tcPr>
            <w:tcW w:w="1331"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24,1</w:t>
            </w:r>
          </w:p>
        </w:tc>
        <w:tc>
          <w:tcPr>
            <w:tcW w:w="1335"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13,6</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016"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Штрафи, пеня</w:t>
            </w:r>
          </w:p>
        </w:tc>
        <w:tc>
          <w:tcPr>
            <w:tcW w:w="1335"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51</w:t>
            </w:r>
          </w:p>
        </w:tc>
        <w:tc>
          <w:tcPr>
            <w:tcW w:w="1333"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63,1</w:t>
            </w:r>
          </w:p>
        </w:tc>
        <w:tc>
          <w:tcPr>
            <w:tcW w:w="1331"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52,4</w:t>
            </w:r>
          </w:p>
        </w:tc>
        <w:tc>
          <w:tcPr>
            <w:tcW w:w="1335"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58,6</w:t>
            </w:r>
          </w:p>
        </w:tc>
      </w:tr>
      <w:tr>
        <w:trPr>
          <w:trHeight w:val="305" w:hRule="atLeast"/>
        </w:trPr>
        <w:tc>
          <w:tcPr>
            <w:tcW w:w="4016"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Тимчасове призупинення діяльності компанії</w:t>
            </w:r>
          </w:p>
        </w:tc>
        <w:tc>
          <w:tcPr>
            <w:tcW w:w="1335"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6,3</w:t>
            </w:r>
          </w:p>
        </w:tc>
        <w:tc>
          <w:tcPr>
            <w:tcW w:w="1333"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7,4</w:t>
            </w:r>
          </w:p>
        </w:tc>
        <w:tc>
          <w:tcPr>
            <w:tcW w:w="1331"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w:t>
            </w:r>
          </w:p>
        </w:tc>
        <w:tc>
          <w:tcPr>
            <w:tcW w:w="1335"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6,9</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016"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Неофіційні платежі готівкою або в натуральній формі</w:t>
            </w:r>
          </w:p>
        </w:tc>
        <w:tc>
          <w:tcPr>
            <w:tcW w:w="1335"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7,4</w:t>
            </w:r>
          </w:p>
        </w:tc>
        <w:tc>
          <w:tcPr>
            <w:tcW w:w="1333"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6,3</w:t>
            </w:r>
          </w:p>
        </w:tc>
        <w:tc>
          <w:tcPr>
            <w:tcW w:w="1331"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4,9</w:t>
            </w:r>
          </w:p>
        </w:tc>
        <w:tc>
          <w:tcPr>
            <w:tcW w:w="1335"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6,5</w:t>
            </w:r>
          </w:p>
        </w:tc>
      </w:tr>
      <w:tr>
        <w:trPr>
          <w:trHeight w:val="300" w:hRule="atLeast"/>
        </w:trPr>
        <w:tc>
          <w:tcPr>
            <w:tcW w:w="4016"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Конфіскація товарів або майна</w:t>
            </w:r>
          </w:p>
        </w:tc>
        <w:tc>
          <w:tcPr>
            <w:tcW w:w="1335"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w:t>
            </w:r>
          </w:p>
        </w:tc>
        <w:tc>
          <w:tcPr>
            <w:tcW w:w="1333"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0,3</w:t>
            </w:r>
          </w:p>
        </w:tc>
        <w:tc>
          <w:tcPr>
            <w:tcW w:w="1331"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w:t>
            </w:r>
          </w:p>
        </w:tc>
        <w:tc>
          <w:tcPr>
            <w:tcW w:w="1335"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0,2</w:t>
            </w:r>
          </w:p>
        </w:tc>
      </w:tr>
      <w:tr>
        <w:trPr>
          <w:trHeight w:val="602" w:hRule="atLeast"/>
          <w:cnfStyle w:val="000000100000" w:firstRow="0" w:lastRow="0" w:firstColumn="0" w:lastColumn="0" w:oddVBand="0" w:evenVBand="0" w:oddHBand="1" w:evenHBand="0" w:firstRowFirstColumn="0" w:firstRowLastColumn="0" w:lastRowFirstColumn="0" w:lastRowLastColumn="0"/>
        </w:trPr>
        <w:tc>
          <w:tcPr>
            <w:tcW w:w="4016"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Менше часу для виконання повсякденної роботи через спілкування з інспекторами</w:t>
            </w:r>
          </w:p>
        </w:tc>
        <w:tc>
          <w:tcPr>
            <w:tcW w:w="1335"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13,2</w:t>
            </w:r>
          </w:p>
        </w:tc>
        <w:tc>
          <w:tcPr>
            <w:tcW w:w="1333"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18,5</w:t>
            </w:r>
          </w:p>
        </w:tc>
        <w:tc>
          <w:tcPr>
            <w:tcW w:w="1331"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21,9</w:t>
            </w:r>
          </w:p>
        </w:tc>
        <w:tc>
          <w:tcPr>
            <w:tcW w:w="1335"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17,7</w:t>
            </w:r>
          </w:p>
        </w:tc>
      </w:tr>
      <w:tr>
        <w:trPr>
          <w:trHeight w:val="404" w:hRule="atLeast"/>
        </w:trPr>
        <w:tc>
          <w:tcPr>
            <w:tcW w:w="4016"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Підтверджено правильність ведення податкового обліку</w:t>
            </w:r>
          </w:p>
        </w:tc>
        <w:tc>
          <w:tcPr>
            <w:tcW w:w="1335"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22,8</w:t>
            </w:r>
          </w:p>
        </w:tc>
        <w:tc>
          <w:tcPr>
            <w:tcW w:w="1333"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14,8</w:t>
            </w:r>
          </w:p>
        </w:tc>
        <w:tc>
          <w:tcPr>
            <w:tcW w:w="1331"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17,6</w:t>
            </w:r>
          </w:p>
        </w:tc>
        <w:tc>
          <w:tcPr>
            <w:tcW w:w="1335"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16,9</w:t>
            </w:r>
          </w:p>
        </w:tc>
      </w:tr>
      <w:tr>
        <w:trPr>
          <w:trHeight w:val="782" w:hRule="atLeast"/>
          <w:cnfStyle w:val="000000100000" w:firstRow="0" w:lastRow="0" w:firstColumn="0" w:lastColumn="0" w:oddVBand="0" w:evenVBand="0" w:oddHBand="1" w:evenHBand="0" w:firstRowFirstColumn="0" w:firstRowLastColumn="0" w:lastRowFirstColumn="0" w:lastRowLastColumn="0"/>
        </w:trPr>
        <w:tc>
          <w:tcPr>
            <w:tcW w:w="4016"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Виправлено помилки податкового обліку, які могли б призвести до негативних наслідків у майбутньому</w:t>
            </w:r>
          </w:p>
        </w:tc>
        <w:tc>
          <w:tcPr>
            <w:tcW w:w="1335"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18,1</w:t>
            </w:r>
          </w:p>
        </w:tc>
        <w:tc>
          <w:tcPr>
            <w:tcW w:w="1333"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15,2</w:t>
            </w:r>
          </w:p>
        </w:tc>
        <w:tc>
          <w:tcPr>
            <w:tcW w:w="1331"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9,4</w:t>
            </w:r>
          </w:p>
        </w:tc>
        <w:tc>
          <w:tcPr>
            <w:tcW w:w="1335"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15,6</w:t>
            </w:r>
          </w:p>
        </w:tc>
      </w:tr>
      <w:tr>
        <w:trPr>
          <w:trHeight w:val="300" w:hRule="atLeast"/>
        </w:trPr>
        <w:tc>
          <w:tcPr>
            <w:tcW w:w="4016"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Інше</w:t>
            </w:r>
          </w:p>
        </w:tc>
        <w:tc>
          <w:tcPr>
            <w:tcW w:w="1335"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w:t>
            </w:r>
          </w:p>
        </w:tc>
        <w:tc>
          <w:tcPr>
            <w:tcW w:w="1333"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2,1</w:t>
            </w:r>
          </w:p>
        </w:tc>
        <w:tc>
          <w:tcPr>
            <w:tcW w:w="1331"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w:t>
            </w:r>
          </w:p>
        </w:tc>
        <w:tc>
          <w:tcPr>
            <w:tcW w:w="1335"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016"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Не знає</w:t>
            </w:r>
          </w:p>
        </w:tc>
        <w:tc>
          <w:tcPr>
            <w:tcW w:w="1335"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7,3</w:t>
            </w:r>
          </w:p>
        </w:tc>
        <w:tc>
          <w:tcPr>
            <w:tcW w:w="1333"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4,2</w:t>
            </w:r>
          </w:p>
        </w:tc>
        <w:tc>
          <w:tcPr>
            <w:tcW w:w="1331"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12,7</w:t>
            </w:r>
          </w:p>
        </w:tc>
        <w:tc>
          <w:tcPr>
            <w:tcW w:w="1335" w:type="dxa"/>
            <w:tcBorders/>
            <w:shd w:color="auto" w:fill="D9E2F3" w:themeFill="accent1" w:themeFillTint="33" w:val="clea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5,7</w:t>
            </w:r>
          </w:p>
        </w:tc>
      </w:tr>
      <w:tr>
        <w:trPr>
          <w:trHeight w:val="300" w:hRule="atLeast"/>
        </w:trPr>
        <w:tc>
          <w:tcPr>
            <w:tcW w:w="4016"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Відмовився відповідати</w:t>
            </w:r>
          </w:p>
        </w:tc>
        <w:tc>
          <w:tcPr>
            <w:tcW w:w="1335"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4,4</w:t>
            </w:r>
          </w:p>
        </w:tc>
        <w:tc>
          <w:tcPr>
            <w:tcW w:w="1333"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2,5</w:t>
            </w:r>
          </w:p>
        </w:tc>
        <w:tc>
          <w:tcPr>
            <w:tcW w:w="1331"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w:t>
            </w:r>
          </w:p>
        </w:tc>
        <w:tc>
          <w:tcPr>
            <w:tcW w:w="1335"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2,9</w:t>
            </w:r>
          </w:p>
        </w:tc>
      </w:tr>
    </w:tbl>
    <w:p>
      <w:pPr>
        <w:pStyle w:val="Normal"/>
        <w:spacing w:lineRule="auto" w:line="240" w:before="0" w:after="0"/>
        <w:rPr>
          <w:lang w:val="uk-UA"/>
        </w:rPr>
      </w:pPr>
      <w:r>
        <w:rPr>
          <w:lang w:val="uk-UA"/>
        </w:rPr>
      </w:r>
    </w:p>
    <w:p>
      <w:pPr>
        <w:pStyle w:val="Heading3"/>
        <w:rPr>
          <w:lang w:val="uk-UA"/>
        </w:rPr>
      </w:pPr>
      <w:bookmarkStart w:id="21" w:name="_Toc185882879"/>
      <w:r>
        <w:rPr>
          <w:lang w:val="uk-UA"/>
        </w:rPr>
        <w:t>Штрафні санкції та о</w:t>
      </w:r>
      <w:r>
        <w:rPr/>
        <w:t>скарження</w:t>
      </w:r>
      <w:bookmarkEnd w:id="21"/>
      <w:r>
        <w:rPr>
          <w:lang w:val="uk-UA"/>
        </w:rPr>
        <w:t xml:space="preserve"> </w:t>
      </w:r>
    </w:p>
    <w:p>
      <w:pPr>
        <w:pStyle w:val="ListParagraph"/>
        <w:numPr>
          <w:ilvl w:val="0"/>
          <w:numId w:val="2"/>
        </w:numPr>
        <w:jc w:val="both"/>
        <w:rPr>
          <w:b/>
          <w:bCs/>
          <w:lang w:val="uk-UA"/>
        </w:rPr>
      </w:pPr>
      <w:r>
        <w:rPr>
          <w:b/>
          <w:bCs/>
          <w:lang w:val="uk-UA"/>
        </w:rPr>
        <w:t>Частота нарахування штрафів, пені та додаткових податкових вимог суттєво відрізнялася залежно від регіону, розміру підприємства та галузі</w:t>
      </w:r>
      <w:r>
        <w:rPr>
          <w:lang w:val="uk-UA"/>
        </w:rPr>
        <w:t>. Загалом, 28,9% респондентів повідомили, що були оштрафовані, тоді як 67,8% оштрафовані не були. Компанії з кількістю працівників понад 50 осіб стикалися зі штрафами частіше (72,2%) ніж ті, що не мають найманих працівників (17,0%) (Рисунок 10). Юридичні особи також повідомили про більшу частоту накладання штрафів (49,8%) порівняно з фізичними особами-підприємцями (21,8%).</w:t>
      </w:r>
    </w:p>
    <w:p>
      <w:pPr>
        <w:pStyle w:val="Normal"/>
        <w:rPr>
          <w:b/>
          <w:bCs/>
          <w:lang w:val="uk-UA"/>
        </w:rPr>
      </w:pPr>
      <w:r>
        <w:rPr>
          <w:b/>
          <w:bCs/>
          <w:lang w:val="uk-UA"/>
        </w:rPr>
        <w:t>Рисунок 10. Відсоток підприємств, на які податкові органи наклали штраф, нарахували пеню або виставили додаткові податкові вимоги у вигляді податків, зборів або платежів у 2023 році.</w:t>
      </w:r>
    </w:p>
    <w:p>
      <w:pPr>
        <w:pStyle w:val="Normal"/>
        <w:keepNext w:val="true"/>
        <w:jc w:val="both"/>
        <w:rPr>
          <w:lang w:val="uk-UA"/>
        </w:rPr>
      </w:pPr>
      <w:r>
        <w:rPr/>
        <w:drawing>
          <wp:inline distT="0" distB="0" distL="0" distR="0">
            <wp:extent cx="5391150" cy="1997075"/>
            <wp:effectExtent l="0" t="0" r="0" b="0"/>
            <wp:docPr id="27" name="Object40"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Normal"/>
        <w:spacing w:lineRule="auto" w:line="240" w:before="0" w:after="0"/>
        <w:jc w:val="both"/>
        <w:rPr>
          <w:b/>
          <w:bCs/>
          <w:lang w:val="uk-UA"/>
        </w:rPr>
      </w:pPr>
      <w:r>
        <w:rPr>
          <w:b/>
          <w:bCs/>
          <w:lang w:val="uk-UA"/>
        </w:rPr>
      </w:r>
    </w:p>
    <w:p>
      <w:pPr>
        <w:pStyle w:val="ListParagraph"/>
        <w:numPr>
          <w:ilvl w:val="0"/>
          <w:numId w:val="2"/>
        </w:numPr>
        <w:jc w:val="both"/>
        <w:rPr>
          <w:rFonts w:cs="Calibri" w:cstheme="minorHAnsi"/>
          <w:lang w:val="uk-UA"/>
        </w:rPr>
      </w:pPr>
      <w:r>
        <w:rPr>
          <w:b/>
          <w:bCs/>
          <w:lang w:val="uk-UA"/>
        </w:rPr>
        <w:t xml:space="preserve">Третина підприємств, оштрафованих у 2023 році, вирішили оскаржити рішення. </w:t>
      </w:r>
      <w:r>
        <w:rPr>
          <w:lang w:val="uk-UA"/>
        </w:rPr>
        <w:t>33,8% підприємств оскаржили штрафи або додаткові податкові вимоги, 43,3% вирішили не оскаржувати їх, а 20,0% подали позови до суду. Малі підприємства, особливо ті, що не мають найманих працівників, були більш схильні звертатися до Державної податкової служби, але менш схильні використовувати судову систему. Більші компанії з кількістю працівників понад 50 осіб надавали перевагу оскарженню в суді й були найменш схильні взагалі уникати оскарження. Підприємства без найманих працівників повідомили, що вони найчастіше утримувалися від оскарження у порівнянні з крупнішими компаніями (Рисунок 11).</w:t>
      </w:r>
    </w:p>
    <w:p>
      <w:pPr>
        <w:pStyle w:val="Normal"/>
        <w:spacing w:lineRule="auto" w:line="240" w:before="0" w:after="0"/>
        <w:jc w:val="both"/>
        <w:rPr>
          <w:lang w:val="uk-UA"/>
        </w:rPr>
      </w:pPr>
      <w:r>
        <w:rPr>
          <w:lang w:val="uk-UA"/>
        </w:rPr>
      </w:r>
    </w:p>
    <w:p>
      <w:pPr>
        <w:pStyle w:val="Normal"/>
        <w:rPr>
          <w:b/>
          <w:bCs/>
          <w:lang w:val="uk-UA"/>
        </w:rPr>
      </w:pPr>
      <w:r>
        <w:rPr>
          <w:b/>
          <w:bCs/>
          <w:lang w:val="uk-UA"/>
        </w:rPr>
        <w:t>Рисунок 11. Відсоток підприємств, які оскаржують податкові рішення</w:t>
      </w:r>
    </w:p>
    <w:p>
      <w:pPr>
        <w:pStyle w:val="Normal"/>
        <w:keepNext w:val="true"/>
        <w:spacing w:lineRule="auto" w:line="240" w:before="0" w:after="0"/>
        <w:jc w:val="both"/>
        <w:rPr>
          <w:lang w:val="uk-UA"/>
        </w:rPr>
      </w:pPr>
      <w:r>
        <w:rPr/>
        <w:drawing>
          <wp:inline distT="0" distB="0" distL="0" distR="0">
            <wp:extent cx="5662295" cy="2701290"/>
            <wp:effectExtent l="0" t="0" r="0" b="0"/>
            <wp:docPr id="28" name="Object4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Normal"/>
        <w:spacing w:lineRule="auto" w:line="240" w:before="0" w:after="0"/>
        <w:jc w:val="both"/>
        <w:rPr>
          <w:rStyle w:val="Strong"/>
          <w:lang w:val="uk-UA"/>
        </w:rPr>
      </w:pPr>
      <w:r>
        <w:rPr>
          <w:lang w:val="uk-UA"/>
        </w:rPr>
      </w:r>
    </w:p>
    <w:p>
      <w:pPr>
        <w:pStyle w:val="ListParagraph"/>
        <w:numPr>
          <w:ilvl w:val="0"/>
          <w:numId w:val="2"/>
        </w:numPr>
        <w:jc w:val="both"/>
        <w:rPr>
          <w:rFonts w:cs="Calibri" w:cstheme="minorHAnsi"/>
          <w:lang w:val="uk-UA"/>
        </w:rPr>
      </w:pPr>
      <w:r>
        <w:rPr>
          <w:rStyle w:val="Strong"/>
          <w:lang w:val="uk-UA"/>
        </w:rPr>
        <w:t xml:space="preserve">Підприємства зазначають, що вони часто утримуються від оскарження податкових санкцій через низькі очікування щодо успіху таких справ і страх перед майбутніми наслідками. </w:t>
      </w:r>
      <w:r>
        <w:rPr>
          <w:lang w:val="uk-UA"/>
        </w:rPr>
        <w:t>Основною причиною неподання оскарження було переконання, що це не вплине на результат (44,3%). 27% підприємств заявили, що вони вирішили не оскаржувати рішення, аби уникнути потенційних майбутніх проблем з податковими органами (Рисунок 12). Брак кваліфікованого персоналу для роботи з оскарженнями був фактором, про який повідомили 15,1% підприємств. Для 12,4% респондентів фінансовий вплив штрафів був занадто малим, щоб виправдати оскарження, а 1,3% не знають, чому вони вирішили не оскаржувати штрафні санкції.</w:t>
      </w:r>
    </w:p>
    <w:p>
      <w:pPr>
        <w:pStyle w:val="Normal"/>
        <w:spacing w:lineRule="auto" w:line="240" w:before="0" w:after="0"/>
        <w:jc w:val="both"/>
        <w:rPr>
          <w:lang w:val="uk-UA"/>
        </w:rPr>
      </w:pPr>
      <w:r>
        <w:rPr>
          <w:lang w:val="uk-UA"/>
        </w:rPr>
      </w:r>
    </w:p>
    <w:p>
      <w:pPr>
        <w:pStyle w:val="Normal"/>
        <w:rPr>
          <w:b/>
          <w:bCs/>
          <w:lang w:val="uk-UA"/>
        </w:rPr>
      </w:pPr>
      <w:r>
        <w:rPr>
          <w:b/>
          <w:bCs/>
          <w:lang w:val="uk-UA"/>
        </w:rPr>
        <w:t xml:space="preserve">Рисунок 12. Причини неподання оскарження на рішення податкових органів </w:t>
      </w:r>
    </w:p>
    <w:p>
      <w:pPr>
        <w:pStyle w:val="Normal"/>
        <w:keepNext w:val="true"/>
        <w:spacing w:lineRule="auto" w:line="240" w:before="0" w:after="0"/>
        <w:jc w:val="both"/>
        <w:rPr>
          <w:lang w:val="uk-UA"/>
        </w:rPr>
      </w:pPr>
      <w:r>
        <w:rPr/>
        <w:drawing>
          <wp:inline distT="0" distB="0" distL="0" distR="0">
            <wp:extent cx="5783580" cy="2398395"/>
            <wp:effectExtent l="0" t="0" r="0" b="0"/>
            <wp:docPr id="29" name="Object42"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Normal"/>
        <w:spacing w:lineRule="auto" w:line="240" w:before="0" w:after="0"/>
        <w:rPr>
          <w:rFonts w:eastAsia="" w:cs="Calibri" w:cstheme="minorHAnsi" w:eastAsiaTheme="majorEastAsia"/>
          <w:b/>
          <w:bCs/>
          <w:color w:themeColor="accent2" w:val="ED7D31"/>
          <w:sz w:val="24"/>
          <w:szCs w:val="24"/>
          <w:lang w:val="uk-UA"/>
        </w:rPr>
      </w:pPr>
      <w:r>
        <w:rPr>
          <w:rFonts w:eastAsia="" w:cs="Calibri" w:cstheme="minorHAnsi" w:eastAsiaTheme="majorEastAsia"/>
          <w:b/>
          <w:bCs/>
          <w:color w:themeColor="accent2" w:val="ED7D31"/>
          <w:sz w:val="24"/>
          <w:szCs w:val="24"/>
          <w:lang w:val="uk-UA"/>
        </w:rPr>
      </w:r>
    </w:p>
    <w:p>
      <w:pPr>
        <w:pStyle w:val="Heading3"/>
        <w:rPr>
          <w:lang w:val="uk-UA"/>
        </w:rPr>
      </w:pPr>
      <w:bookmarkStart w:id="22" w:name="_Toc185882880"/>
      <w:r>
        <w:rPr>
          <w:lang w:val="uk-UA"/>
        </w:rPr>
        <w:t>Якість послуг, сприйняття податкових органів та інші аспекти бізнес-середовища</w:t>
      </w:r>
      <w:bookmarkEnd w:id="22"/>
    </w:p>
    <w:p>
      <w:pPr>
        <w:pStyle w:val="ListParagraph"/>
        <w:numPr>
          <w:ilvl w:val="0"/>
          <w:numId w:val="2"/>
        </w:numPr>
        <w:jc w:val="both"/>
        <w:rPr>
          <w:rFonts w:cs="Calibri" w:cstheme="minorHAnsi"/>
          <w:lang w:val="uk-UA"/>
        </w:rPr>
      </w:pPr>
      <w:r>
        <w:rPr>
          <w:b/>
          <w:bCs/>
          <w:lang w:val="uk-UA"/>
        </w:rPr>
        <w:t xml:space="preserve">Платники податків неоднозначно оцінюють роботу Державної податкової служби. </w:t>
      </w:r>
      <w:r>
        <w:rPr>
          <w:lang w:val="uk-UA"/>
        </w:rPr>
        <w:t>Хоча 63,1% респондентів оцінили ввічливість персоналу на рівні "добре", інші сфери, такі як кваліфікація, професіоналізм та ефективність, отримали більш критичні відгуки. Хоча 58,8% респондентів схвалили дистанційну взаємодію, 27% оцінили її негативно. Готовність персоналу допомогти позитивно оцінили 46,5% респондентів, але 35,7% висловили незадоволення нею. Думки щодо чесності та неупередженості розділилися: 43,3% оцінили це позитивно, а 28,3% - негативно. Загалом, 41,8% респондентів схвалили ефективність роботи інспекторів, але 31,4% не погодилися з цим, що свідчить про неоднозначне сприйняття ефективності роботи (Рис. 13).</w:t>
      </w:r>
    </w:p>
    <w:p>
      <w:pPr>
        <w:pStyle w:val="Normal"/>
        <w:jc w:val="both"/>
        <w:rPr>
          <w:b/>
          <w:bCs/>
          <w:lang w:val="uk-UA"/>
        </w:rPr>
      </w:pPr>
      <w:r>
        <w:rPr>
          <w:b/>
          <w:bCs/>
          <w:lang w:val="uk-UA"/>
        </w:rPr>
        <w:t>Рисунок 13. Виходячи з Вашого особистого досвіду, оцініть, будь ласка, наступні аспекти роботи персоналу та діяльності Державної податкової служби (відсоток респондентів)</w:t>
      </w:r>
    </w:p>
    <w:p>
      <w:pPr>
        <w:pStyle w:val="Normal"/>
        <w:keepNext w:val="true"/>
        <w:rPr>
          <w:lang w:val="uk-UA"/>
        </w:rPr>
      </w:pPr>
      <w:r>
        <w:rPr/>
        <w:drawing>
          <wp:inline distT="0" distB="0" distL="0" distR="0">
            <wp:extent cx="5981700" cy="3571875"/>
            <wp:effectExtent l="0" t="0" r="0" b="0"/>
            <wp:docPr id="30" name="Object43"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ListParagraph"/>
        <w:numPr>
          <w:ilvl w:val="0"/>
          <w:numId w:val="2"/>
        </w:numPr>
        <w:jc w:val="both"/>
        <w:rPr>
          <w:rFonts w:cs="Calibri" w:cstheme="minorHAnsi"/>
          <w:lang w:val="uk-UA"/>
        </w:rPr>
      </w:pPr>
      <w:r>
        <w:rPr>
          <w:b/>
          <w:bCs/>
          <w:lang w:val="uk-UA"/>
        </w:rPr>
        <w:t xml:space="preserve">Значними проблемами для бізнесу респонденти назвали часті зміни в податковому законодавстві та недостатню підтримку з боку Державної податкової служби (ДПС). </w:t>
      </w:r>
      <w:r>
        <w:rPr>
          <w:lang w:val="uk-UA"/>
        </w:rPr>
        <w:t>Майже 52% респондентів визначили часті зміни в податковому законодавстві як проблему, з яких майже 32% вважають її основною (Рисунок 14). Аналогічно, 46,1 відсотка підприємств стикалися з браком якісних консультацій з боку працівників ДПС. Майже половина респондентів відчували труднощі через складні та подекуди суперечливі законодавчі документи.</w:t>
      </w:r>
    </w:p>
    <w:p>
      <w:pPr>
        <w:pStyle w:val="ListParagraph"/>
        <w:ind w:left="360"/>
        <w:jc w:val="both"/>
        <w:rPr>
          <w:rFonts w:cs="Calibri" w:cstheme="minorHAnsi"/>
          <w:lang w:val="uk-UA"/>
        </w:rPr>
      </w:pPr>
      <w:r>
        <w:rPr>
          <w:rFonts w:cs="Calibri" w:cstheme="minorHAnsi"/>
          <w:lang w:val="uk-UA"/>
        </w:rPr>
      </w:r>
      <w:bookmarkStart w:id="23" w:name="_Ref175240659"/>
      <w:bookmarkStart w:id="24" w:name="_Ref175240659"/>
    </w:p>
    <w:p>
      <w:pPr>
        <w:pStyle w:val="Normal"/>
        <w:jc w:val="both"/>
        <w:rPr>
          <w:b/>
          <w:bCs/>
          <w:lang w:val="uk-UA"/>
        </w:rPr>
      </w:pPr>
      <w:bookmarkStart w:id="25" w:name="_Ref175240659"/>
      <w:r/>
      <w:r>
        <w:rPr>
          <w:b/>
          <w:bCs/>
          <w:lang w:val="uk-UA"/>
        </w:rPr>
        <w:drawing>
          <wp:anchor behindDoc="0" distT="0" distB="0" distL="0" distR="0" simplePos="0" locked="0" layoutInCell="1" allowOverlap="1" relativeHeight="22">
            <wp:simplePos x="0" y="0"/>
            <wp:positionH relativeFrom="margin">
              <wp:posOffset>-164465</wp:posOffset>
            </wp:positionH>
            <wp:positionV relativeFrom="paragraph">
              <wp:posOffset>549275</wp:posOffset>
            </wp:positionV>
            <wp:extent cx="6537960" cy="4254500"/>
            <wp:effectExtent l="0" t="0" r="0" b="0"/>
            <wp:wrapTopAndBottom/>
            <wp:docPr id="31" name="Object44"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t>Рисунок</w:t>
      </w:r>
      <w:bookmarkEnd w:id="25"/>
      <w:r>
        <w:rPr>
          <w:b/>
          <w:bCs/>
          <w:lang w:val="uk-UA"/>
        </w:rPr>
        <w:t xml:space="preserve"> 14. Наскільки окремі аспекти системи податкового комплаєнсу створювали проблеми для бізнесу в 2023 році (відсоток респондентів)</w:t>
      </w:r>
    </w:p>
    <w:p>
      <w:pPr>
        <w:pStyle w:val="ListParagraph"/>
        <w:ind w:left="360"/>
        <w:jc w:val="both"/>
        <w:rPr>
          <w:rFonts w:cs="Calibri" w:cstheme="minorHAnsi"/>
          <w:lang w:val="uk-UA"/>
        </w:rPr>
      </w:pPr>
      <w:r>
        <w:rPr>
          <w:rFonts w:cs="Calibri" w:cstheme="minorHAnsi"/>
          <w:lang w:val="uk-UA"/>
        </w:rPr>
      </w:r>
    </w:p>
    <w:p>
      <w:pPr>
        <w:pStyle w:val="ListParagraph"/>
        <w:numPr>
          <w:ilvl w:val="0"/>
          <w:numId w:val="2"/>
        </w:numPr>
        <w:jc w:val="both"/>
        <w:rPr>
          <w:rFonts w:cs="Calibri" w:cstheme="minorHAnsi"/>
          <w:lang w:val="uk-UA"/>
        </w:rPr>
      </w:pPr>
      <w:r>
        <w:rPr>
          <w:b/>
          <w:bCs/>
          <w:lang w:val="uk-UA"/>
        </w:rPr>
        <w:t xml:space="preserve">Бізнес схвалює відгукується про цифрові сервіси, які пропонують українські податкові органи. </w:t>
      </w:r>
      <w:r>
        <w:rPr>
          <w:lang w:val="uk-UA"/>
        </w:rPr>
        <w:t>Особливо високу оцінку отримала електронна подача податкової звітності: 81,8% респондентів оцінили її на рівні "добре", і лише 11,1% висловили незадоволення. Аналогічно, Електронний кабінет платника податків (</w:t>
      </w:r>
      <w:hyperlink r:id="rId20" w:tgtFrame="_new">
        <w:r>
          <w:rPr>
            <w:rStyle w:val="Hyperlink"/>
          </w:rPr>
          <w:t>https</w:t>
        </w:r>
        <w:r>
          <w:rPr>
            <w:rStyle w:val="Hyperlink"/>
            <w:lang w:val="ru-RU"/>
          </w:rPr>
          <w:t>://</w:t>
        </w:r>
        <w:r>
          <w:rPr>
            <w:rStyle w:val="Hyperlink"/>
          </w:rPr>
          <w:t>cabinet</w:t>
        </w:r>
        <w:r>
          <w:rPr>
            <w:rStyle w:val="Hyperlink"/>
            <w:lang w:val="ru-RU"/>
          </w:rPr>
          <w:t>.</w:t>
        </w:r>
        <w:r>
          <w:rPr>
            <w:rStyle w:val="Hyperlink"/>
          </w:rPr>
          <w:t>tax</w:t>
        </w:r>
        <w:r>
          <w:rPr>
            <w:rStyle w:val="Hyperlink"/>
            <w:lang w:val="ru-RU"/>
          </w:rPr>
          <w:t>.</w:t>
        </w:r>
        <w:r>
          <w:rPr>
            <w:rStyle w:val="Hyperlink"/>
          </w:rPr>
          <w:t>gov</w:t>
        </w:r>
        <w:r>
          <w:rPr>
            <w:rStyle w:val="Hyperlink"/>
            <w:lang w:val="ru-RU"/>
          </w:rPr>
          <w:t>.</w:t>
        </w:r>
        <w:r>
          <w:rPr>
            <w:rStyle w:val="Hyperlink"/>
          </w:rPr>
          <w:t>ua</w:t>
        </w:r>
        <w:r>
          <w:rPr>
            <w:rStyle w:val="Hyperlink"/>
            <w:lang w:val="ru-RU"/>
          </w:rPr>
          <w:t>/</w:t>
        </w:r>
      </w:hyperlink>
      <w:r>
        <w:rPr>
          <w:lang w:val="ru-RU"/>
        </w:rPr>
        <w:t>)</w:t>
      </w:r>
      <w:r>
        <w:rPr>
          <w:lang w:val="uk-UA"/>
        </w:rPr>
        <w:t xml:space="preserve"> позитивно оцінили 78,3 відсотка користувачів, хоча 15,7 відсотка вважають, що він потребує вдосконалення (див. Рисунок 15).</w:t>
      </w:r>
    </w:p>
    <w:p>
      <w:pPr>
        <w:pStyle w:val="ListParagraph"/>
        <w:numPr>
          <w:ilvl w:val="0"/>
          <w:numId w:val="2"/>
        </w:numPr>
        <w:jc w:val="both"/>
        <w:rPr>
          <w:rFonts w:cs="Calibri" w:cstheme="minorHAnsi"/>
          <w:lang w:val="uk-UA"/>
        </w:rPr>
      </w:pPr>
      <w:r>
        <w:rPr>
          <w:b/>
          <w:bCs/>
          <w:lang w:val="uk-UA"/>
        </w:rPr>
        <w:t xml:space="preserve">Відгуки про інші послуги були неоднозначними, багато респондентів не впевнені в їхній якості. </w:t>
      </w:r>
      <w:r>
        <w:rPr>
          <w:lang w:val="uk-UA"/>
        </w:rPr>
        <w:t xml:space="preserve">Загальнодоступний інформаційно-довідковий ресурс "ЗІР" </w:t>
      </w:r>
      <w:r>
        <w:rPr>
          <w:lang w:val="ru-RU"/>
        </w:rPr>
        <w:t>(</w:t>
      </w:r>
      <w:hyperlink r:id="rId21" w:tgtFrame="_new">
        <w:r>
          <w:rPr>
            <w:rStyle w:val="Hyperlink"/>
          </w:rPr>
          <w:t>https</w:t>
        </w:r>
        <w:r>
          <w:rPr>
            <w:rStyle w:val="Hyperlink"/>
            <w:lang w:val="ru-RU"/>
          </w:rPr>
          <w:t>://</w:t>
        </w:r>
        <w:r>
          <w:rPr>
            <w:rStyle w:val="Hyperlink"/>
          </w:rPr>
          <w:t>zir</w:t>
        </w:r>
        <w:r>
          <w:rPr>
            <w:rStyle w:val="Hyperlink"/>
            <w:lang w:val="ru-RU"/>
          </w:rPr>
          <w:t>.</w:t>
        </w:r>
        <w:r>
          <w:rPr>
            <w:rStyle w:val="Hyperlink"/>
          </w:rPr>
          <w:t>tax</w:t>
        </w:r>
        <w:r>
          <w:rPr>
            <w:rStyle w:val="Hyperlink"/>
            <w:lang w:val="ru-RU"/>
          </w:rPr>
          <w:t>.</w:t>
        </w:r>
        <w:r>
          <w:rPr>
            <w:rStyle w:val="Hyperlink"/>
          </w:rPr>
          <w:t>gov</w:t>
        </w:r>
        <w:r>
          <w:rPr>
            <w:rStyle w:val="Hyperlink"/>
            <w:lang w:val="ru-RU"/>
          </w:rPr>
          <w:t>.</w:t>
        </w:r>
        <w:r>
          <w:rPr>
            <w:rStyle w:val="Hyperlink"/>
          </w:rPr>
          <w:t>ua</w:t>
        </w:r>
        <w:r>
          <w:rPr>
            <w:rStyle w:val="Hyperlink"/>
            <w:lang w:val="ru-RU"/>
          </w:rPr>
          <w:t>/</w:t>
        </w:r>
      </w:hyperlink>
      <w:r>
        <w:rPr>
          <w:lang w:val="ru-RU"/>
        </w:rPr>
        <w:t>)</w:t>
      </w:r>
      <w:r>
        <w:rPr>
          <w:lang w:val="uk-UA"/>
        </w:rPr>
        <w:t xml:space="preserve"> позитивно оцінили 35,2 відсотка підприємств, негативно - 17,8 відсотка, а 46,8 відсотка або не знають про цю послугу, або не визначилися щодо неї. Аналогічно, роль Державної податкової служби як постачальника електронних довірчих послуг отримала схвалення на рівні 45,4%, але 43,8% респондентів або не користувалися нею, або утрималися від оцінки її якості. Інформаційні послуги Контакт-центру також отримали неоднозначну оцінку: 32,3% респондентів оцінили їх позитивно, 26% - негативно, а 41,7% респондентів або не користувалися послугами, або не висловили власної думки. І, нарешті,  чат-бот та електронна пошта кол-центру не були активно задіяні: лише 29,1% оцінили їх позитивно, 20,4% висловили незадоволення, а 50,5% не використовували та не оцінювали ці канали зв'язку. </w:t>
      </w:r>
    </w:p>
    <w:p>
      <w:pPr>
        <w:pStyle w:val="Normal"/>
        <w:jc w:val="both"/>
        <w:rPr>
          <w:b/>
          <w:bCs/>
          <w:lang w:val="uk-UA"/>
        </w:rPr>
      </w:pPr>
      <w:r>
        <w:rPr>
          <w:b/>
          <w:bCs/>
          <w:lang w:val="uk-UA"/>
        </w:rPr>
      </w:r>
    </w:p>
    <w:p>
      <w:pPr>
        <w:pStyle w:val="Normal"/>
        <w:jc w:val="both"/>
        <w:rPr>
          <w:b/>
          <w:bCs/>
          <w:lang w:val="uk-UA"/>
        </w:rPr>
      </w:pPr>
      <w:r>
        <w:rPr>
          <w:b/>
          <w:bCs/>
          <w:lang w:val="uk-UA"/>
        </w:rPr>
        <w:t>Рисунок 15. Оцінка якості надання послуг податковими органами та їх клієнтоорієнтованості</w:t>
      </w:r>
    </w:p>
    <w:p>
      <w:pPr>
        <w:pStyle w:val="Normal"/>
        <w:keepNext w:val="true"/>
        <w:jc w:val="both"/>
        <w:rPr>
          <w:lang w:val="uk-UA"/>
        </w:rPr>
      </w:pPr>
      <w:r>
        <w:rPr/>
        <w:drawing>
          <wp:inline distT="0" distB="0" distL="0" distR="0">
            <wp:extent cx="5962650" cy="2991485"/>
            <wp:effectExtent l="0" t="0" r="0" b="0"/>
            <wp:docPr id="32" name="Object45"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ListParagraph"/>
        <w:numPr>
          <w:ilvl w:val="0"/>
          <w:numId w:val="2"/>
        </w:numPr>
        <w:jc w:val="both"/>
        <w:rPr>
          <w:rFonts w:cs="Calibri" w:cstheme="minorHAnsi"/>
          <w:lang w:val="uk-UA"/>
        </w:rPr>
      </w:pPr>
      <w:r>
        <w:rPr>
          <w:rStyle w:val="Strong"/>
          <w:lang w:val="uk-UA"/>
        </w:rPr>
        <w:t xml:space="preserve">Українські платники податків вважають сплату податків корисною, але дорожнеча послуг та складні процедури залишаються основними проблемами, що викликають занепокоєння. </w:t>
      </w:r>
      <w:r>
        <w:rPr>
          <w:lang w:val="uk-UA"/>
        </w:rPr>
        <w:t xml:space="preserve">Більшість респондентів (42,2%) повністю згодні з тим, що сплата податків створює позитивну ділову історію, а 39,9% вважають, що всі компанії повинні сплачувати податки незалежно від прибутку. Думки щодо податкових ставок розділилися: 31,4% повністю згодні з тим, що вони є обґрунтованими, а 31,8% - скоріше згодні, ніж ні. Високі витрати на професійні податкові послуги є помітною проблемою, оскільки 38,0% та 39,7% "повністю згодні" з тим, що послуги бухгалтерів та податкових бухгалтерів коштують надто дорого. Довіра до справедливості податкових органів є низькою: лише 7,8% повністю згодні з цим, і лише 9,6% вважають податкові процедури простими та зрозумілими, тоді як 31,5% не згодні з цим. 40,0% респондентів погоджуються з тим, що податкова інформація є загальнодоступною (Рисунок 16).  </w:t>
      </w:r>
    </w:p>
    <w:p>
      <w:pPr>
        <w:pStyle w:val="Normal"/>
        <w:suppressAutoHyphens w:val="false"/>
        <w:rPr>
          <w:b/>
          <w:bCs/>
          <w:lang w:val="uk-UA"/>
        </w:rPr>
      </w:pPr>
      <w:r>
        <w:rPr>
          <w:b/>
          <w:bCs/>
          <w:lang w:val="uk-UA"/>
        </w:rPr>
      </w:r>
      <w:r>
        <w:br w:type="page"/>
      </w:r>
    </w:p>
    <w:p>
      <w:pPr>
        <w:pStyle w:val="Normal"/>
        <w:spacing w:before="0" w:after="160"/>
        <w:rPr>
          <w:b/>
          <w:bCs/>
          <w:i/>
          <w:i/>
          <w:iCs/>
          <w:lang w:val="uk-UA"/>
        </w:rPr>
      </w:pPr>
      <w:r>
        <w:rPr>
          <w:b/>
          <w:bCs/>
          <w:lang w:val="uk-UA"/>
        </w:rPr>
        <w:t>Рисунок 16. Думки українських платників податків про податкову систему</w:t>
      </w:r>
      <w:r>
        <w:rPr>
          <w:rStyle w:val="FootnoteReference"/>
          <w:b/>
          <w:bCs/>
          <w:vertAlign w:val="superscript"/>
          <w:lang w:val="uk-UA"/>
        </w:rPr>
        <w:footnoteReference w:id="11"/>
      </w:r>
    </w:p>
    <w:p>
      <w:pPr>
        <w:pStyle w:val="Normal"/>
        <w:keepNext w:val="true"/>
        <w:rPr>
          <w:lang w:val="uk-UA"/>
        </w:rPr>
      </w:pPr>
      <w:r>
        <mc:AlternateContent>
          <mc:Choice Requires="wps">
            <w:drawing>
              <wp:anchor behindDoc="0" distT="0" distB="3175" distL="0" distR="8255" simplePos="0" locked="0" layoutInCell="1" allowOverlap="1" relativeHeight="40" wp14:anchorId="3AE19D87">
                <wp:simplePos x="0" y="0"/>
                <wp:positionH relativeFrom="column">
                  <wp:posOffset>0</wp:posOffset>
                </wp:positionH>
                <wp:positionV relativeFrom="paragraph">
                  <wp:posOffset>-36830</wp:posOffset>
                </wp:positionV>
                <wp:extent cx="6755130" cy="206375"/>
                <wp:effectExtent l="0" t="635" r="0" b="0"/>
                <wp:wrapNone/>
                <wp:docPr id="33" name="Text Box 2"/>
                <a:graphic xmlns:a="http://schemas.openxmlformats.org/drawingml/2006/main">
                  <a:graphicData uri="http://schemas.microsoft.com/office/word/2010/wordprocessingShape">
                    <wps:wsp>
                      <wps:cNvSpPr/>
                      <wps:spPr>
                        <a:xfrm>
                          <a:off x="0" y="0"/>
                          <a:ext cx="6755040" cy="206280"/>
                        </a:xfrm>
                        <a:prstGeom prst="rect">
                          <a:avLst/>
                        </a:prstGeom>
                        <a:solidFill>
                          <a:srgbClr val="ffffff"/>
                        </a:solidFill>
                        <a:ln w="9525">
                          <a:noFill/>
                        </a:ln>
                      </wps:spPr>
                      <wps:style>
                        <a:lnRef idx="0"/>
                        <a:fillRef idx="0"/>
                        <a:effectRef idx="0"/>
                        <a:fontRef idx="minor"/>
                      </wps:style>
                      <wps:txbx>
                        <w:txbxContent>
                          <w:p>
                            <w:pPr>
                              <w:pStyle w:val="121"/>
                              <w:tabs>
                                <w:tab w:val="clear" w:pos="720"/>
                                <w:tab w:val="left" w:pos="1968" w:leader="none"/>
                              </w:tabs>
                              <w:spacing w:lineRule="auto" w:line="240"/>
                              <w:ind w:left="0"/>
                              <w:rPr>
                                <w:sz w:val="14"/>
                                <w:szCs w:val="14"/>
                                <w:lang w:val="uk-UA"/>
                              </w:rPr>
                            </w:pPr>
                            <w:r>
                              <w:rPr>
                                <w:color w:val="1170AA"/>
                                <w:sz w:val="14"/>
                                <w:szCs w:val="14"/>
                                <w:lang w:val="uk-UA" w:eastAsia="uk-UA" w:bidi="uk-UA"/>
                              </w:rPr>
                              <w:t xml:space="preserve">■ </w:t>
                            </w:r>
                            <w:r>
                              <w:rPr>
                                <w:sz w:val="14"/>
                                <w:szCs w:val="14"/>
                                <w:lang w:val="uk-UA"/>
                              </w:rPr>
                              <w:t xml:space="preserve">Повністю згоден </w:t>
                              <w:tab/>
                            </w:r>
                            <w:r>
                              <w:rPr>
                                <w:color w:val="A3CCE8"/>
                                <w:sz w:val="14"/>
                                <w:szCs w:val="14"/>
                                <w:lang w:val="uk-UA"/>
                              </w:rPr>
                              <w:t xml:space="preserve">■ </w:t>
                            </w:r>
                            <w:r>
                              <w:rPr>
                                <w:sz w:val="14"/>
                                <w:szCs w:val="14"/>
                                <w:lang w:val="uk-UA"/>
                              </w:rPr>
                              <w:t>Скоріше згоден, ніж не згоден</w:t>
                              <w:tab/>
                              <w:t xml:space="preserve">   </w:t>
                            </w:r>
                            <w:r>
                              <w:rPr>
                                <w:color w:val="FC7D0C"/>
                                <w:sz w:val="14"/>
                                <w:szCs w:val="14"/>
                                <w:lang w:val="uk-UA"/>
                              </w:rPr>
                              <w:t xml:space="preserve">■ </w:t>
                            </w:r>
                            <w:r>
                              <w:rPr>
                                <w:sz w:val="14"/>
                                <w:szCs w:val="14"/>
                                <w:lang w:val="uk-UA"/>
                              </w:rPr>
                              <w:t xml:space="preserve"> Скоріше не згоден, ніж згоден</w:t>
                            </w:r>
                            <w:r>
                              <w:rPr>
                                <w:color w:val="3E1716"/>
                                <w:sz w:val="14"/>
                                <w:szCs w:val="14"/>
                                <w:lang w:val="uk-UA"/>
                              </w:rPr>
                              <w:tab/>
                            </w:r>
                            <w:r>
                              <w:rPr>
                                <w:color w:val="C95200"/>
                                <w:sz w:val="14"/>
                                <w:szCs w:val="14"/>
                                <w:lang w:val="uk-UA"/>
                              </w:rPr>
                              <w:t xml:space="preserve">■ </w:t>
                            </w:r>
                            <w:r>
                              <w:rPr>
                                <w:sz w:val="14"/>
                                <w:szCs w:val="14"/>
                                <w:lang w:val="uk-UA"/>
                              </w:rPr>
                              <w:t xml:space="preserve"> Повністю не згоден</w:t>
                            </w:r>
                          </w:p>
                          <w:p>
                            <w:pPr>
                              <w:pStyle w:val="Style27"/>
                              <w:spacing w:before="0" w:after="160"/>
                              <w:rPr>
                                <w:sz w:val="16"/>
                                <w:szCs w:val="16"/>
                                <w:lang w:val="ru-RU"/>
                              </w:rPr>
                            </w:pPr>
                            <w:r>
                              <w:rPr/>
                            </w:r>
                          </w:p>
                        </w:txbxContent>
                      </wps:txbx>
                      <wps:bodyPr anchor="t">
                        <a:noAutofit/>
                      </wps:bodyPr>
                    </wps:wsp>
                  </a:graphicData>
                </a:graphic>
              </wp:anchor>
            </w:drawing>
          </mc:Choice>
          <mc:Fallback>
            <w:pict>
              <v:rect id="shape_0" ID="Text Box 2" path="m0,0l-2147483645,0l-2147483645,-2147483646l0,-2147483646xe" fillcolor="white" stroked="f" o:allowincell="f" style="position:absolute;margin-left:0pt;margin-top:-2.9pt;width:531.85pt;height:16.2pt;mso-wrap-style:square;v-text-anchor:top" wp14:anchorId="3AE19D87">
                <v:fill o:detectmouseclick="t" type="solid" color2="black"/>
                <v:stroke color="#3465a4" weight="9360" joinstyle="miter" endcap="flat"/>
                <v:textbox>
                  <w:txbxContent>
                    <w:p>
                      <w:pPr>
                        <w:pStyle w:val="121"/>
                        <w:tabs>
                          <w:tab w:val="clear" w:pos="720"/>
                          <w:tab w:val="left" w:pos="1968" w:leader="none"/>
                        </w:tabs>
                        <w:spacing w:lineRule="auto" w:line="240"/>
                        <w:ind w:left="0"/>
                        <w:rPr>
                          <w:sz w:val="14"/>
                          <w:szCs w:val="14"/>
                          <w:lang w:val="uk-UA"/>
                        </w:rPr>
                      </w:pPr>
                      <w:r>
                        <w:rPr>
                          <w:color w:val="1170AA"/>
                          <w:sz w:val="14"/>
                          <w:szCs w:val="14"/>
                          <w:lang w:val="uk-UA" w:eastAsia="uk-UA" w:bidi="uk-UA"/>
                        </w:rPr>
                        <w:t xml:space="preserve">■ </w:t>
                      </w:r>
                      <w:r>
                        <w:rPr>
                          <w:sz w:val="14"/>
                          <w:szCs w:val="14"/>
                          <w:lang w:val="uk-UA"/>
                        </w:rPr>
                        <w:t xml:space="preserve">Повністю згоден </w:t>
                        <w:tab/>
                      </w:r>
                      <w:r>
                        <w:rPr>
                          <w:color w:val="A3CCE8"/>
                          <w:sz w:val="14"/>
                          <w:szCs w:val="14"/>
                          <w:lang w:val="uk-UA"/>
                        </w:rPr>
                        <w:t xml:space="preserve">■ </w:t>
                      </w:r>
                      <w:r>
                        <w:rPr>
                          <w:sz w:val="14"/>
                          <w:szCs w:val="14"/>
                          <w:lang w:val="uk-UA"/>
                        </w:rPr>
                        <w:t>Скоріше згоден, ніж не згоден</w:t>
                        <w:tab/>
                        <w:t xml:space="preserve">   </w:t>
                      </w:r>
                      <w:r>
                        <w:rPr>
                          <w:color w:val="FC7D0C"/>
                          <w:sz w:val="14"/>
                          <w:szCs w:val="14"/>
                          <w:lang w:val="uk-UA"/>
                        </w:rPr>
                        <w:t xml:space="preserve">■ </w:t>
                      </w:r>
                      <w:r>
                        <w:rPr>
                          <w:sz w:val="14"/>
                          <w:szCs w:val="14"/>
                          <w:lang w:val="uk-UA"/>
                        </w:rPr>
                        <w:t xml:space="preserve"> Скоріше не згоден, ніж згоден</w:t>
                      </w:r>
                      <w:r>
                        <w:rPr>
                          <w:color w:val="3E1716"/>
                          <w:sz w:val="14"/>
                          <w:szCs w:val="14"/>
                          <w:lang w:val="uk-UA"/>
                        </w:rPr>
                        <w:tab/>
                      </w:r>
                      <w:r>
                        <w:rPr>
                          <w:color w:val="C95200"/>
                          <w:sz w:val="14"/>
                          <w:szCs w:val="14"/>
                          <w:lang w:val="uk-UA"/>
                        </w:rPr>
                        <w:t xml:space="preserve">■ </w:t>
                      </w:r>
                      <w:r>
                        <w:rPr>
                          <w:sz w:val="14"/>
                          <w:szCs w:val="14"/>
                          <w:lang w:val="uk-UA"/>
                        </w:rPr>
                        <w:t xml:space="preserve"> Повністю не згоден</w:t>
                      </w:r>
                    </w:p>
                    <w:p>
                      <w:pPr>
                        <w:pStyle w:val="Style27"/>
                        <w:spacing w:before="0" w:after="160"/>
                        <w:rPr>
                          <w:sz w:val="16"/>
                          <w:szCs w:val="16"/>
                          <w:lang w:val="ru-RU"/>
                        </w:rPr>
                      </w:pPr>
                      <w:r>
                        <w:rPr/>
                      </w:r>
                    </w:p>
                  </w:txbxContent>
                </v:textbox>
                <w10:wrap type="none"/>
              </v:rect>
            </w:pict>
          </mc:Fallback>
        </mc:AlternateContent>
        <mc:AlternateContent>
          <mc:Choice Requires="wps">
            <w:drawing>
              <wp:anchor behindDoc="0" distT="0" distB="0" distL="0" distR="7620" simplePos="0" locked="0" layoutInCell="1" allowOverlap="1" relativeHeight="42" wp14:anchorId="0CEFA7A0">
                <wp:simplePos x="0" y="0"/>
                <wp:positionH relativeFrom="column">
                  <wp:posOffset>-74295</wp:posOffset>
                </wp:positionH>
                <wp:positionV relativeFrom="paragraph">
                  <wp:posOffset>168910</wp:posOffset>
                </wp:positionV>
                <wp:extent cx="1991995" cy="2912110"/>
                <wp:effectExtent l="635" t="0" r="0" b="0"/>
                <wp:wrapNone/>
                <wp:docPr id="34" name="Text Box 2"/>
                <a:graphic xmlns:a="http://schemas.openxmlformats.org/drawingml/2006/main">
                  <a:graphicData uri="http://schemas.microsoft.com/office/word/2010/wordprocessingShape">
                    <wps:wsp>
                      <wps:cNvSpPr/>
                      <wps:spPr>
                        <a:xfrm>
                          <a:off x="0" y="0"/>
                          <a:ext cx="1991880" cy="2912040"/>
                        </a:xfrm>
                        <a:prstGeom prst="rect">
                          <a:avLst/>
                        </a:prstGeom>
                        <a:solidFill>
                          <a:srgbClr val="ffffff"/>
                        </a:solidFill>
                        <a:ln w="9525">
                          <a:noFill/>
                        </a:ln>
                      </wps:spPr>
                      <wps:style>
                        <a:lnRef idx="0"/>
                        <a:fillRef idx="0"/>
                        <a:effectRef idx="0"/>
                        <a:fontRef idx="minor"/>
                      </wps:style>
                      <wps:txbx>
                        <w:txbxContent>
                          <w:tbl>
                            <w:tblPr>
                              <w:tblW w:w="2976" w:type="dxa"/>
                              <w:jc w:val="left"/>
                              <w:tblInd w:w="0" w:type="dxa"/>
                              <w:tblLayout w:type="fixed"/>
                              <w:tblCellMar>
                                <w:top w:w="0" w:type="dxa"/>
                                <w:left w:w="10" w:type="dxa"/>
                                <w:bottom w:w="0" w:type="dxa"/>
                                <w:right w:w="10" w:type="dxa"/>
                              </w:tblCellMar>
                              <w:tblLook w:firstRow="1" w:noVBand="1" w:lastRow="0" w:firstColumn="1" w:lastColumn="0" w:noHBand="0" w:val="04a0"/>
                            </w:tblPr>
                            <w:tblGrid>
                              <w:gridCol w:w="2976"/>
                            </w:tblGrid>
                            <w:tr>
                              <w:trPr>
                                <w:trHeight w:val="706" w:hRule="exact"/>
                              </w:trPr>
                              <w:tc>
                                <w:tcPr>
                                  <w:tcW w:w="2976" w:type="dxa"/>
                                  <w:tcBorders>
                                    <w:top w:val="single" w:sz="4" w:space="0" w:color="000000"/>
                                  </w:tcBorders>
                                  <w:shd w:color="auto" w:fill="auto" w:val="clear"/>
                                  <w:vAlign w:val="center"/>
                                </w:tcPr>
                                <w:p>
                                  <w:pPr>
                                    <w:pStyle w:val="Style26"/>
                                    <w:spacing w:before="0" w:after="0"/>
                                    <w:rPr>
                                      <w:sz w:val="15"/>
                                      <w:szCs w:val="15"/>
                                      <w:lang w:val="uk-UA"/>
                                    </w:rPr>
                                  </w:pPr>
                                  <w:r>
                                    <w:rPr>
                                      <w:rFonts w:eastAsia="Arial" w:cs="Arial" w:ascii="Arial" w:hAnsi="Arial"/>
                                      <w:color w:val="000000"/>
                                      <w:sz w:val="15"/>
                                      <w:szCs w:val="15"/>
                                      <w:lang w:val="uk-UA"/>
                                    </w:rPr>
                                    <w:t>**G5h. Податкові органи справедливі**</w:t>
                                  </w:r>
                                </w:p>
                              </w:tc>
                            </w:tr>
                            <w:tr>
                              <w:trPr>
                                <w:trHeight w:val="758" w:hRule="exact"/>
                              </w:trPr>
                              <w:tc>
                                <w:tcPr>
                                  <w:tcW w:w="2976" w:type="dxa"/>
                                  <w:tcBorders>
                                    <w:top w:val="single" w:sz="4" w:space="0" w:color="000000"/>
                                  </w:tcBorders>
                                  <w:shd w:color="auto" w:fill="auto" w:val="clear"/>
                                  <w:vAlign w:val="center"/>
                                </w:tcPr>
                                <w:p>
                                  <w:pPr>
                                    <w:pStyle w:val="Style26"/>
                                    <w:spacing w:lineRule="auto" w:line="331" w:before="0" w:after="0"/>
                                    <w:rPr>
                                      <w:sz w:val="15"/>
                                      <w:szCs w:val="15"/>
                                      <w:lang w:val="uk-UA"/>
                                    </w:rPr>
                                  </w:pPr>
                                  <w:r>
                                    <w:rPr>
                                      <w:rFonts w:eastAsia="Arial" w:cs="Arial" w:ascii="Arial" w:hAnsi="Arial"/>
                                      <w:color w:val="000000"/>
                                      <w:sz w:val="15"/>
                                      <w:szCs w:val="15"/>
                                      <w:lang w:val="uk-UA"/>
                                    </w:rPr>
                                    <w:t>**G5i. Всі компанії повинні сплачувати податки, незалежно від їхнього прибутку та обороту**</w:t>
                                  </w:r>
                                </w:p>
                              </w:tc>
                            </w:tr>
                            <w:tr>
                              <w:trPr>
                                <w:trHeight w:val="763" w:hRule="exact"/>
                              </w:trPr>
                              <w:tc>
                                <w:tcPr>
                                  <w:tcW w:w="2976" w:type="dxa"/>
                                  <w:tcBorders>
                                    <w:top w:val="single" w:sz="4" w:space="0" w:color="000000"/>
                                  </w:tcBorders>
                                  <w:shd w:color="auto" w:fill="auto" w:val="clear"/>
                                  <w:vAlign w:val="center"/>
                                </w:tcPr>
                                <w:p>
                                  <w:pPr>
                                    <w:pStyle w:val="Style26"/>
                                    <w:spacing w:lineRule="auto" w:line="324" w:before="0" w:after="0"/>
                                    <w:rPr>
                                      <w:sz w:val="15"/>
                                      <w:szCs w:val="15"/>
                                      <w:lang w:val="uk-UA"/>
                                    </w:rPr>
                                  </w:pPr>
                                  <w:r>
                                    <w:rPr>
                                      <w:rFonts w:eastAsia="Arial" w:cs="Arial" w:ascii="Arial" w:hAnsi="Arial"/>
                                      <w:color w:val="000000"/>
                                      <w:sz w:val="15"/>
                                      <w:szCs w:val="15"/>
                                      <w:lang w:val="uk-UA"/>
                                    </w:rPr>
                                    <w:t>**G5j. Податкові процедури прості та зрозумілі**</w:t>
                                  </w:r>
                                </w:p>
                              </w:tc>
                            </w:tr>
                            <w:tr>
                              <w:trPr>
                                <w:trHeight w:val="763" w:hRule="exact"/>
                              </w:trPr>
                              <w:tc>
                                <w:tcPr>
                                  <w:tcW w:w="2976" w:type="dxa"/>
                                  <w:tcBorders>
                                    <w:top w:val="single" w:sz="4" w:space="0" w:color="000000"/>
                                  </w:tcBorders>
                                  <w:shd w:color="auto" w:fill="auto" w:val="clear"/>
                                  <w:vAlign w:val="center"/>
                                </w:tcPr>
                                <w:p>
                                  <w:pPr>
                                    <w:pStyle w:val="Style26"/>
                                    <w:spacing w:lineRule="auto" w:line="324" w:before="0" w:after="0"/>
                                    <w:rPr>
                                      <w:sz w:val="15"/>
                                      <w:szCs w:val="15"/>
                                      <w:lang w:val="uk-UA"/>
                                    </w:rPr>
                                  </w:pPr>
                                  <w:r>
                                    <w:rPr>
                                      <w:rFonts w:eastAsia="Arial" w:cs="Arial" w:ascii="Arial" w:hAnsi="Arial"/>
                                      <w:color w:val="000000"/>
                                      <w:sz w:val="15"/>
                                      <w:szCs w:val="15"/>
                                      <w:lang w:val="uk-UA"/>
                                    </w:rPr>
                                    <w:t xml:space="preserve">**G5k. Розбіжності </w:t>
                                  </w:r>
                                  <w:r>
                                    <w:rPr>
                                      <w:rFonts w:eastAsia="Arial" w:cs="Arial" w:ascii="Arial" w:hAnsi="Arial"/>
                                      <w:color w:val="0A0F29"/>
                                      <w:sz w:val="15"/>
                                      <w:szCs w:val="15"/>
                                      <w:lang w:val="uk-UA"/>
                                    </w:rPr>
                                    <w:t xml:space="preserve">з </w:t>
                                  </w:r>
                                  <w:r>
                                    <w:rPr>
                                      <w:rFonts w:eastAsia="Arial" w:cs="Arial" w:ascii="Arial" w:hAnsi="Arial"/>
                                      <w:color w:val="000000"/>
                                      <w:sz w:val="15"/>
                                      <w:szCs w:val="15"/>
                                      <w:lang w:val="uk-UA"/>
                                    </w:rPr>
                                    <w:t>інспекторами ДПС легко вирішити, запропонувавши неофіційний платіж або подарунок**</w:t>
                                  </w:r>
                                </w:p>
                              </w:tc>
                            </w:tr>
                            <w:tr>
                              <w:trPr>
                                <w:trHeight w:val="758" w:hRule="exact"/>
                              </w:trPr>
                              <w:tc>
                                <w:tcPr>
                                  <w:tcW w:w="2976" w:type="dxa"/>
                                  <w:tcBorders>
                                    <w:top w:val="single" w:sz="4" w:space="0" w:color="000000"/>
                                  </w:tcBorders>
                                  <w:shd w:color="auto" w:fill="auto" w:val="clear"/>
                                  <w:vAlign w:val="center"/>
                                </w:tcPr>
                                <w:p>
                                  <w:pPr>
                                    <w:pStyle w:val="Style26"/>
                                    <w:spacing w:lineRule="auto" w:line="324" w:before="0" w:after="0"/>
                                    <w:rPr>
                                      <w:sz w:val="15"/>
                                      <w:szCs w:val="15"/>
                                      <w:lang w:val="uk-UA"/>
                                    </w:rPr>
                                  </w:pPr>
                                  <w:r>
                                    <w:rPr>
                                      <w:rFonts w:eastAsia="Arial" w:cs="Arial" w:ascii="Arial" w:hAnsi="Arial"/>
                                      <w:color w:val="000000"/>
                                      <w:sz w:val="15"/>
                                      <w:szCs w:val="15"/>
                                      <w:lang w:val="uk-UA"/>
                                    </w:rPr>
                                    <w:t>**G5</w:t>
                                  </w:r>
                                  <w:r>
                                    <w:rPr>
                                      <w:rFonts w:eastAsia="Arial" w:cs="Arial" w:ascii="Arial" w:hAnsi="Arial"/>
                                      <w:color w:val="000000"/>
                                      <w:sz w:val="15"/>
                                      <w:szCs w:val="15"/>
                                    </w:rPr>
                                    <w:t>l</w:t>
                                  </w:r>
                                  <w:r>
                                    <w:rPr>
                                      <w:rFonts w:eastAsia="Arial" w:cs="Arial" w:ascii="Arial" w:hAnsi="Arial"/>
                                      <w:color w:val="000000"/>
                                      <w:sz w:val="15"/>
                                      <w:szCs w:val="15"/>
                                      <w:lang w:val="ru-RU"/>
                                    </w:rPr>
                                    <w:t>.</w:t>
                                  </w:r>
                                  <w:r>
                                    <w:rPr>
                                      <w:rFonts w:eastAsia="Arial" w:cs="Arial" w:ascii="Arial" w:hAnsi="Arial"/>
                                      <w:color w:val="000000"/>
                                      <w:sz w:val="15"/>
                                      <w:szCs w:val="15"/>
                                      <w:lang w:val="uk-UA"/>
                                    </w:rPr>
                                    <w:t xml:space="preserve"> Інформація про податкове законодавство є загальнодоступною**</w:t>
                                  </w:r>
                                </w:p>
                              </w:tc>
                            </w:tr>
                            <w:tr>
                              <w:trPr>
                                <w:trHeight w:val="758" w:hRule="exact"/>
                              </w:trPr>
                              <w:tc>
                                <w:tcPr>
                                  <w:tcW w:w="2976" w:type="dxa"/>
                                  <w:tcBorders>
                                    <w:top w:val="single" w:sz="4" w:space="0" w:color="000000"/>
                                  </w:tcBorders>
                                  <w:shd w:color="auto" w:fill="auto" w:val="clear"/>
                                  <w:vAlign w:val="center"/>
                                </w:tcPr>
                                <w:p>
                                  <w:pPr>
                                    <w:pStyle w:val="Style26"/>
                                    <w:spacing w:lineRule="auto" w:line="324" w:before="0" w:after="0"/>
                                    <w:rPr>
                                      <w:sz w:val="15"/>
                                      <w:szCs w:val="15"/>
                                      <w:lang w:val="uk-UA"/>
                                    </w:rPr>
                                  </w:pPr>
                                  <w:r>
                                    <w:rPr>
                                      <w:rFonts w:eastAsia="Arial" w:cs="Arial" w:ascii="Arial" w:hAnsi="Arial"/>
                                      <w:color w:val="000000"/>
                                      <w:sz w:val="15"/>
                                      <w:szCs w:val="15"/>
                                      <w:lang w:val="uk-UA"/>
                                    </w:rPr>
                                    <w:t>**G5</w:t>
                                  </w:r>
                                  <w:r>
                                    <w:rPr>
                                      <w:rFonts w:eastAsia="Arial" w:cs="Arial" w:ascii="Arial" w:hAnsi="Arial"/>
                                      <w:color w:val="000000"/>
                                      <w:sz w:val="15"/>
                                      <w:szCs w:val="15"/>
                                    </w:rPr>
                                    <w:t>m</w:t>
                                  </w:r>
                                  <w:r>
                                    <w:rPr>
                                      <w:rFonts w:eastAsia="Arial" w:cs="Arial" w:ascii="Arial" w:hAnsi="Arial"/>
                                      <w:color w:val="000000"/>
                                      <w:sz w:val="15"/>
                                      <w:szCs w:val="15"/>
                                      <w:lang w:val="uk-UA"/>
                                    </w:rPr>
                                    <w:t xml:space="preserve">. Рівень контролю з боку податкових органів </w:t>
                                  </w:r>
                                  <w:r>
                                    <w:rPr>
                                      <w:rFonts w:eastAsia="Arial" w:cs="Arial" w:ascii="Arial" w:hAnsi="Arial"/>
                                      <w:color w:val="182D54"/>
                                      <w:sz w:val="15"/>
                                      <w:szCs w:val="15"/>
                                      <w:lang w:val="uk-UA"/>
                                    </w:rPr>
                                    <w:t xml:space="preserve">є </w:t>
                                  </w:r>
                                  <w:r>
                                    <w:rPr>
                                      <w:rFonts w:eastAsia="Arial" w:cs="Arial" w:ascii="Arial" w:hAnsi="Arial"/>
                                      <w:color w:val="000000"/>
                                      <w:sz w:val="15"/>
                                      <w:szCs w:val="15"/>
                                      <w:lang w:val="uk-UA"/>
                                    </w:rPr>
                                    <w:t>надмірним**</w:t>
                                  </w:r>
                                </w:p>
                              </w:tc>
                            </w:tr>
                          </w:tbl>
                          <w:p>
                            <w:pPr>
                              <w:pStyle w:val="Style27"/>
                              <w:spacing w:before="0" w:after="160"/>
                              <w:rPr>
                                <w:sz w:val="16"/>
                                <w:szCs w:val="16"/>
                                <w:lang w:val="uk-UA"/>
                              </w:rPr>
                            </w:pPr>
                            <w:r>
                              <w:rPr/>
                            </w:r>
                          </w:p>
                        </w:txbxContent>
                      </wps:txbx>
                      <wps:bodyPr anchor="t">
                        <a:noAutofit/>
                      </wps:bodyPr>
                    </wps:wsp>
                  </a:graphicData>
                </a:graphic>
              </wp:anchor>
            </w:drawing>
          </mc:Choice>
          <mc:Fallback>
            <w:pict>
              <v:rect id="shape_0" ID="Text Box 2" path="m0,0l-2147483645,0l-2147483645,-2147483646l0,-2147483646xe" fillcolor="white" stroked="f" o:allowincell="f" style="position:absolute;margin-left:-5.85pt;margin-top:13.3pt;width:156.8pt;height:229.25pt;mso-wrap-style:none;v-text-anchor:middle" wp14:anchorId="0CEFA7A0">
                <v:fill o:detectmouseclick="t" type="solid" color2="black"/>
                <v:stroke color="#3465a4" weight="9360" joinstyle="miter" endcap="flat"/>
                <v:textbox>
                  <w:txbxContent>
                    <w:tbl>
                      <w:tblPr>
                        <w:tblW w:w="2976" w:type="dxa"/>
                        <w:jc w:val="left"/>
                        <w:tblInd w:w="0" w:type="dxa"/>
                        <w:tblLayout w:type="fixed"/>
                        <w:tblCellMar>
                          <w:top w:w="0" w:type="dxa"/>
                          <w:left w:w="10" w:type="dxa"/>
                          <w:bottom w:w="0" w:type="dxa"/>
                          <w:right w:w="10" w:type="dxa"/>
                        </w:tblCellMar>
                        <w:tblLook w:firstRow="1" w:noVBand="1" w:lastRow="0" w:firstColumn="1" w:lastColumn="0" w:noHBand="0" w:val="04a0"/>
                      </w:tblPr>
                      <w:tblGrid>
                        <w:gridCol w:w="2976"/>
                      </w:tblGrid>
                      <w:tr>
                        <w:trPr>
                          <w:trHeight w:val="706" w:hRule="exact"/>
                        </w:trPr>
                        <w:tc>
                          <w:tcPr>
                            <w:tcW w:w="2976" w:type="dxa"/>
                            <w:tcBorders>
                              <w:top w:val="single" w:sz="4" w:space="0" w:color="000000"/>
                            </w:tcBorders>
                            <w:shd w:color="auto" w:fill="auto" w:val="clear"/>
                            <w:vAlign w:val="center"/>
                          </w:tcPr>
                          <w:p>
                            <w:pPr>
                              <w:pStyle w:val="Style26"/>
                              <w:spacing w:before="0" w:after="0"/>
                              <w:rPr>
                                <w:sz w:val="15"/>
                                <w:szCs w:val="15"/>
                                <w:lang w:val="uk-UA"/>
                              </w:rPr>
                            </w:pPr>
                            <w:r>
                              <w:rPr>
                                <w:rFonts w:eastAsia="Arial" w:cs="Arial" w:ascii="Arial" w:hAnsi="Arial"/>
                                <w:color w:val="000000"/>
                                <w:sz w:val="15"/>
                                <w:szCs w:val="15"/>
                                <w:lang w:val="uk-UA"/>
                              </w:rPr>
                              <w:t>**G5h. Податкові органи справедливі**</w:t>
                            </w:r>
                          </w:p>
                        </w:tc>
                      </w:tr>
                      <w:tr>
                        <w:trPr>
                          <w:trHeight w:val="758" w:hRule="exact"/>
                        </w:trPr>
                        <w:tc>
                          <w:tcPr>
                            <w:tcW w:w="2976" w:type="dxa"/>
                            <w:tcBorders>
                              <w:top w:val="single" w:sz="4" w:space="0" w:color="000000"/>
                            </w:tcBorders>
                            <w:shd w:color="auto" w:fill="auto" w:val="clear"/>
                            <w:vAlign w:val="center"/>
                          </w:tcPr>
                          <w:p>
                            <w:pPr>
                              <w:pStyle w:val="Style26"/>
                              <w:spacing w:lineRule="auto" w:line="331" w:before="0" w:after="0"/>
                              <w:rPr>
                                <w:sz w:val="15"/>
                                <w:szCs w:val="15"/>
                                <w:lang w:val="uk-UA"/>
                              </w:rPr>
                            </w:pPr>
                            <w:r>
                              <w:rPr>
                                <w:rFonts w:eastAsia="Arial" w:cs="Arial" w:ascii="Arial" w:hAnsi="Arial"/>
                                <w:color w:val="000000"/>
                                <w:sz w:val="15"/>
                                <w:szCs w:val="15"/>
                                <w:lang w:val="uk-UA"/>
                              </w:rPr>
                              <w:t>**G5i. Всі компанії повинні сплачувати податки, незалежно від їхнього прибутку та обороту**</w:t>
                            </w:r>
                          </w:p>
                        </w:tc>
                      </w:tr>
                      <w:tr>
                        <w:trPr>
                          <w:trHeight w:val="763" w:hRule="exact"/>
                        </w:trPr>
                        <w:tc>
                          <w:tcPr>
                            <w:tcW w:w="2976" w:type="dxa"/>
                            <w:tcBorders>
                              <w:top w:val="single" w:sz="4" w:space="0" w:color="000000"/>
                            </w:tcBorders>
                            <w:shd w:color="auto" w:fill="auto" w:val="clear"/>
                            <w:vAlign w:val="center"/>
                          </w:tcPr>
                          <w:p>
                            <w:pPr>
                              <w:pStyle w:val="Style26"/>
                              <w:spacing w:lineRule="auto" w:line="324" w:before="0" w:after="0"/>
                              <w:rPr>
                                <w:sz w:val="15"/>
                                <w:szCs w:val="15"/>
                                <w:lang w:val="uk-UA"/>
                              </w:rPr>
                            </w:pPr>
                            <w:r>
                              <w:rPr>
                                <w:rFonts w:eastAsia="Arial" w:cs="Arial" w:ascii="Arial" w:hAnsi="Arial"/>
                                <w:color w:val="000000"/>
                                <w:sz w:val="15"/>
                                <w:szCs w:val="15"/>
                                <w:lang w:val="uk-UA"/>
                              </w:rPr>
                              <w:t>**G5j. Податкові процедури прості та зрозумілі**</w:t>
                            </w:r>
                          </w:p>
                        </w:tc>
                      </w:tr>
                      <w:tr>
                        <w:trPr>
                          <w:trHeight w:val="763" w:hRule="exact"/>
                        </w:trPr>
                        <w:tc>
                          <w:tcPr>
                            <w:tcW w:w="2976" w:type="dxa"/>
                            <w:tcBorders>
                              <w:top w:val="single" w:sz="4" w:space="0" w:color="000000"/>
                            </w:tcBorders>
                            <w:shd w:color="auto" w:fill="auto" w:val="clear"/>
                            <w:vAlign w:val="center"/>
                          </w:tcPr>
                          <w:p>
                            <w:pPr>
                              <w:pStyle w:val="Style26"/>
                              <w:spacing w:lineRule="auto" w:line="324" w:before="0" w:after="0"/>
                              <w:rPr>
                                <w:sz w:val="15"/>
                                <w:szCs w:val="15"/>
                                <w:lang w:val="uk-UA"/>
                              </w:rPr>
                            </w:pPr>
                            <w:r>
                              <w:rPr>
                                <w:rFonts w:eastAsia="Arial" w:cs="Arial" w:ascii="Arial" w:hAnsi="Arial"/>
                                <w:color w:val="000000"/>
                                <w:sz w:val="15"/>
                                <w:szCs w:val="15"/>
                                <w:lang w:val="uk-UA"/>
                              </w:rPr>
                              <w:t xml:space="preserve">**G5k. Розбіжності </w:t>
                            </w:r>
                            <w:r>
                              <w:rPr>
                                <w:rFonts w:eastAsia="Arial" w:cs="Arial" w:ascii="Arial" w:hAnsi="Arial"/>
                                <w:color w:val="0A0F29"/>
                                <w:sz w:val="15"/>
                                <w:szCs w:val="15"/>
                                <w:lang w:val="uk-UA"/>
                              </w:rPr>
                              <w:t xml:space="preserve">з </w:t>
                            </w:r>
                            <w:r>
                              <w:rPr>
                                <w:rFonts w:eastAsia="Arial" w:cs="Arial" w:ascii="Arial" w:hAnsi="Arial"/>
                                <w:color w:val="000000"/>
                                <w:sz w:val="15"/>
                                <w:szCs w:val="15"/>
                                <w:lang w:val="uk-UA"/>
                              </w:rPr>
                              <w:t>інспекторами ДПС легко вирішити, запропонувавши неофіційний платіж або подарунок**</w:t>
                            </w:r>
                          </w:p>
                        </w:tc>
                      </w:tr>
                      <w:tr>
                        <w:trPr>
                          <w:trHeight w:val="758" w:hRule="exact"/>
                        </w:trPr>
                        <w:tc>
                          <w:tcPr>
                            <w:tcW w:w="2976" w:type="dxa"/>
                            <w:tcBorders>
                              <w:top w:val="single" w:sz="4" w:space="0" w:color="000000"/>
                            </w:tcBorders>
                            <w:shd w:color="auto" w:fill="auto" w:val="clear"/>
                            <w:vAlign w:val="center"/>
                          </w:tcPr>
                          <w:p>
                            <w:pPr>
                              <w:pStyle w:val="Style26"/>
                              <w:spacing w:lineRule="auto" w:line="324" w:before="0" w:after="0"/>
                              <w:rPr>
                                <w:sz w:val="15"/>
                                <w:szCs w:val="15"/>
                                <w:lang w:val="uk-UA"/>
                              </w:rPr>
                            </w:pPr>
                            <w:r>
                              <w:rPr>
                                <w:rFonts w:eastAsia="Arial" w:cs="Arial" w:ascii="Arial" w:hAnsi="Arial"/>
                                <w:color w:val="000000"/>
                                <w:sz w:val="15"/>
                                <w:szCs w:val="15"/>
                                <w:lang w:val="uk-UA"/>
                              </w:rPr>
                              <w:t>**G5</w:t>
                            </w:r>
                            <w:r>
                              <w:rPr>
                                <w:rFonts w:eastAsia="Arial" w:cs="Arial" w:ascii="Arial" w:hAnsi="Arial"/>
                                <w:color w:val="000000"/>
                                <w:sz w:val="15"/>
                                <w:szCs w:val="15"/>
                              </w:rPr>
                              <w:t>l</w:t>
                            </w:r>
                            <w:r>
                              <w:rPr>
                                <w:rFonts w:eastAsia="Arial" w:cs="Arial" w:ascii="Arial" w:hAnsi="Arial"/>
                                <w:color w:val="000000"/>
                                <w:sz w:val="15"/>
                                <w:szCs w:val="15"/>
                                <w:lang w:val="ru-RU"/>
                              </w:rPr>
                              <w:t>.</w:t>
                            </w:r>
                            <w:r>
                              <w:rPr>
                                <w:rFonts w:eastAsia="Arial" w:cs="Arial" w:ascii="Arial" w:hAnsi="Arial"/>
                                <w:color w:val="000000"/>
                                <w:sz w:val="15"/>
                                <w:szCs w:val="15"/>
                                <w:lang w:val="uk-UA"/>
                              </w:rPr>
                              <w:t xml:space="preserve"> Інформація про податкове законодавство є загальнодоступною**</w:t>
                            </w:r>
                          </w:p>
                        </w:tc>
                      </w:tr>
                      <w:tr>
                        <w:trPr>
                          <w:trHeight w:val="758" w:hRule="exact"/>
                        </w:trPr>
                        <w:tc>
                          <w:tcPr>
                            <w:tcW w:w="2976" w:type="dxa"/>
                            <w:tcBorders>
                              <w:top w:val="single" w:sz="4" w:space="0" w:color="000000"/>
                            </w:tcBorders>
                            <w:shd w:color="auto" w:fill="auto" w:val="clear"/>
                            <w:vAlign w:val="center"/>
                          </w:tcPr>
                          <w:p>
                            <w:pPr>
                              <w:pStyle w:val="Style26"/>
                              <w:spacing w:lineRule="auto" w:line="324" w:before="0" w:after="0"/>
                              <w:rPr>
                                <w:sz w:val="15"/>
                                <w:szCs w:val="15"/>
                                <w:lang w:val="uk-UA"/>
                              </w:rPr>
                            </w:pPr>
                            <w:r>
                              <w:rPr>
                                <w:rFonts w:eastAsia="Arial" w:cs="Arial" w:ascii="Arial" w:hAnsi="Arial"/>
                                <w:color w:val="000000"/>
                                <w:sz w:val="15"/>
                                <w:szCs w:val="15"/>
                                <w:lang w:val="uk-UA"/>
                              </w:rPr>
                              <w:t>**G5</w:t>
                            </w:r>
                            <w:r>
                              <w:rPr>
                                <w:rFonts w:eastAsia="Arial" w:cs="Arial" w:ascii="Arial" w:hAnsi="Arial"/>
                                <w:color w:val="000000"/>
                                <w:sz w:val="15"/>
                                <w:szCs w:val="15"/>
                              </w:rPr>
                              <w:t>m</w:t>
                            </w:r>
                            <w:r>
                              <w:rPr>
                                <w:rFonts w:eastAsia="Arial" w:cs="Arial" w:ascii="Arial" w:hAnsi="Arial"/>
                                <w:color w:val="000000"/>
                                <w:sz w:val="15"/>
                                <w:szCs w:val="15"/>
                                <w:lang w:val="uk-UA"/>
                              </w:rPr>
                              <w:t xml:space="preserve">. Рівень контролю з боку податкових органів </w:t>
                            </w:r>
                            <w:r>
                              <w:rPr>
                                <w:rFonts w:eastAsia="Arial" w:cs="Arial" w:ascii="Arial" w:hAnsi="Arial"/>
                                <w:color w:val="182D54"/>
                                <w:sz w:val="15"/>
                                <w:szCs w:val="15"/>
                                <w:lang w:val="uk-UA"/>
                              </w:rPr>
                              <w:t xml:space="preserve">є </w:t>
                            </w:r>
                            <w:r>
                              <w:rPr>
                                <w:rFonts w:eastAsia="Arial" w:cs="Arial" w:ascii="Arial" w:hAnsi="Arial"/>
                                <w:color w:val="000000"/>
                                <w:sz w:val="15"/>
                                <w:szCs w:val="15"/>
                                <w:lang w:val="uk-UA"/>
                              </w:rPr>
                              <w:t>надмірним**</w:t>
                            </w:r>
                          </w:p>
                        </w:tc>
                      </w:tr>
                    </w:tbl>
                    <w:p>
                      <w:pPr>
                        <w:pStyle w:val="Style27"/>
                        <w:spacing w:before="0" w:after="160"/>
                        <w:rPr>
                          <w:sz w:val="16"/>
                          <w:szCs w:val="16"/>
                          <w:lang w:val="uk-UA"/>
                        </w:rPr>
                      </w:pPr>
                      <w:r>
                        <w:rPr/>
                      </w:r>
                    </w:p>
                  </w:txbxContent>
                </v:textbox>
                <w10:wrap type="none"/>
              </v:rect>
            </w:pict>
          </mc:Fallback>
        </mc:AlternateContent>
        <mc:AlternateContent>
          <mc:Choice Requires="wps">
            <w:drawing>
              <wp:anchor behindDoc="0" distT="0" distB="0" distL="0" distR="7620" simplePos="0" locked="0" layoutInCell="1" allowOverlap="1" relativeHeight="53" wp14:anchorId="29309F4E">
                <wp:simplePos x="0" y="0"/>
                <wp:positionH relativeFrom="column">
                  <wp:posOffset>-74295</wp:posOffset>
                </wp:positionH>
                <wp:positionV relativeFrom="paragraph">
                  <wp:posOffset>3159760</wp:posOffset>
                </wp:positionV>
                <wp:extent cx="1991995" cy="3277235"/>
                <wp:effectExtent l="635" t="635" r="0" b="0"/>
                <wp:wrapNone/>
                <wp:docPr id="35" name="Text Box 2"/>
                <a:graphic xmlns:a="http://schemas.openxmlformats.org/drawingml/2006/main">
                  <a:graphicData uri="http://schemas.microsoft.com/office/word/2010/wordprocessingShape">
                    <wps:wsp>
                      <wps:cNvSpPr/>
                      <wps:spPr>
                        <a:xfrm>
                          <a:off x="0" y="0"/>
                          <a:ext cx="1991880" cy="3277080"/>
                        </a:xfrm>
                        <a:prstGeom prst="rect">
                          <a:avLst/>
                        </a:prstGeom>
                        <a:solidFill>
                          <a:srgbClr val="ffffff"/>
                        </a:solidFill>
                        <a:ln w="9525">
                          <a:noFill/>
                        </a:ln>
                      </wps:spPr>
                      <wps:style>
                        <a:lnRef idx="0"/>
                        <a:fillRef idx="0"/>
                        <a:effectRef idx="0"/>
                        <a:fontRef idx="minor"/>
                      </wps:style>
                      <wps:txbx>
                        <w:txbxContent>
                          <w:tbl>
                            <w:tblPr>
                              <w:tblW w:w="2976" w:type="dxa"/>
                              <w:jc w:val="left"/>
                              <w:tblInd w:w="0" w:type="dxa"/>
                              <w:tblLayout w:type="fixed"/>
                              <w:tblCellMar>
                                <w:top w:w="0" w:type="dxa"/>
                                <w:left w:w="10" w:type="dxa"/>
                                <w:bottom w:w="0" w:type="dxa"/>
                                <w:right w:w="10" w:type="dxa"/>
                              </w:tblCellMar>
                              <w:tblLook w:firstRow="1" w:noVBand="1" w:lastRow="0" w:firstColumn="1" w:lastColumn="0" w:noHBand="0" w:val="04a0"/>
                            </w:tblPr>
                            <w:tblGrid>
                              <w:gridCol w:w="2976"/>
                            </w:tblGrid>
                            <w:tr>
                              <w:trPr>
                                <w:trHeight w:val="715" w:hRule="exact"/>
                              </w:trPr>
                              <w:tc>
                                <w:tcPr>
                                  <w:tcW w:w="2976" w:type="dxa"/>
                                  <w:tcBorders>
                                    <w:top w:val="single" w:sz="4" w:space="0" w:color="000000"/>
                                  </w:tcBorders>
                                  <w:shd w:color="auto" w:fill="auto" w:val="clear"/>
                                  <w:vAlign w:val="bottom"/>
                                </w:tcPr>
                                <w:p>
                                  <w:pPr>
                                    <w:pStyle w:val="Style26"/>
                                    <w:spacing w:lineRule="auto" w:line="312" w:before="0" w:after="0"/>
                                    <w:rPr>
                                      <w:sz w:val="15"/>
                                      <w:szCs w:val="15"/>
                                      <w:lang w:val="uk-UA"/>
                                    </w:rPr>
                                  </w:pPr>
                                  <w:r>
                                    <w:rPr>
                                      <w:rFonts w:eastAsia="Arial" w:cs="Arial" w:ascii="Arial" w:hAnsi="Arial"/>
                                      <w:color w:val="000000"/>
                                      <w:sz w:val="15"/>
                                      <w:szCs w:val="15"/>
                                      <w:lang w:val="uk-UA"/>
                                    </w:rPr>
                                    <w:t xml:space="preserve">**G5a. Податкові </w:t>
                                  </w:r>
                                  <w:r>
                                    <w:rPr>
                                      <w:rFonts w:eastAsia="Arial" w:cs="Arial" w:ascii="Arial" w:hAnsi="Arial"/>
                                      <w:color w:val="0A0F29"/>
                                      <w:sz w:val="15"/>
                                      <w:szCs w:val="15"/>
                                      <w:lang w:val="uk-UA"/>
                                    </w:rPr>
                                    <w:t xml:space="preserve">органи </w:t>
                                  </w:r>
                                  <w:r>
                                    <w:rPr>
                                      <w:rFonts w:eastAsia="Arial" w:cs="Arial" w:ascii="Arial" w:hAnsi="Arial"/>
                                      <w:color w:val="000000"/>
                                      <w:sz w:val="15"/>
                                      <w:szCs w:val="15"/>
                                      <w:lang w:val="uk-UA"/>
                                    </w:rPr>
                                    <w:t xml:space="preserve">надавали </w:t>
                                  </w:r>
                                  <w:r>
                                    <w:rPr>
                                      <w:rFonts w:eastAsia="Arial" w:cs="Arial" w:ascii="Arial" w:hAnsi="Arial"/>
                                      <w:color w:val="0A0F29"/>
                                      <w:sz w:val="15"/>
                                      <w:szCs w:val="15"/>
                                      <w:lang w:val="uk-UA"/>
                                    </w:rPr>
                                    <w:t xml:space="preserve">бізнесу </w:t>
                                  </w:r>
                                  <w:r>
                                    <w:rPr>
                                      <w:rFonts w:eastAsia="Arial" w:cs="Arial" w:ascii="Arial" w:hAnsi="Arial"/>
                                      <w:color w:val="000000"/>
                                      <w:sz w:val="15"/>
                                      <w:szCs w:val="15"/>
                                      <w:lang w:val="uk-UA"/>
                                    </w:rPr>
                                    <w:t xml:space="preserve">послуги, передбачені </w:t>
                                  </w:r>
                                  <w:r>
                                    <w:rPr>
                                      <w:rFonts w:eastAsia="Arial" w:cs="Arial" w:ascii="Arial" w:hAnsi="Arial"/>
                                      <w:color w:val="0A0F29"/>
                                      <w:sz w:val="15"/>
                                      <w:szCs w:val="15"/>
                                      <w:lang w:val="uk-UA"/>
                                    </w:rPr>
                                    <w:t>законом і нормами**</w:t>
                                  </w:r>
                                </w:p>
                              </w:tc>
                            </w:tr>
                            <w:tr>
                              <w:trPr>
                                <w:trHeight w:val="720" w:hRule="exact"/>
                              </w:trPr>
                              <w:tc>
                                <w:tcPr>
                                  <w:tcW w:w="2976" w:type="dxa"/>
                                  <w:tcBorders>
                                    <w:top w:val="single" w:sz="4" w:space="0" w:color="000000"/>
                                  </w:tcBorders>
                                  <w:shd w:color="auto" w:fill="auto" w:val="clear"/>
                                  <w:vAlign w:val="center"/>
                                </w:tcPr>
                                <w:p>
                                  <w:pPr>
                                    <w:pStyle w:val="Style26"/>
                                    <w:spacing w:lineRule="auto" w:line="312" w:before="0" w:after="0"/>
                                    <w:rPr>
                                      <w:sz w:val="15"/>
                                      <w:szCs w:val="15"/>
                                      <w:lang w:val="uk-UA"/>
                                    </w:rPr>
                                  </w:pPr>
                                  <w:r>
                                    <w:rPr>
                                      <w:rFonts w:eastAsia="Arial" w:cs="Arial" w:ascii="Arial" w:hAnsi="Arial"/>
                                      <w:color w:val="000000"/>
                                      <w:sz w:val="15"/>
                                      <w:szCs w:val="15"/>
                                      <w:lang w:val="uk-UA"/>
                                    </w:rPr>
                                    <w:t>**G5b. Сплата податків створює позитивну податкову історію бізнесу**</w:t>
                                  </w:r>
                                </w:p>
                              </w:tc>
                            </w:tr>
                            <w:tr>
                              <w:trPr>
                                <w:trHeight w:val="720" w:hRule="exact"/>
                              </w:trPr>
                              <w:tc>
                                <w:tcPr>
                                  <w:tcW w:w="2976" w:type="dxa"/>
                                  <w:tcBorders>
                                    <w:top w:val="single" w:sz="4" w:space="0" w:color="000000"/>
                                  </w:tcBorders>
                                  <w:shd w:color="auto" w:fill="auto" w:val="clear"/>
                                  <w:vAlign w:val="center"/>
                                </w:tcPr>
                                <w:p>
                                  <w:pPr>
                                    <w:pStyle w:val="Style26"/>
                                    <w:spacing w:lineRule="auto" w:line="312" w:before="0" w:after="0"/>
                                    <w:rPr>
                                      <w:sz w:val="15"/>
                                      <w:szCs w:val="15"/>
                                      <w:lang w:val="uk-UA"/>
                                    </w:rPr>
                                  </w:pPr>
                                  <w:r>
                                    <w:rPr>
                                      <w:rFonts w:eastAsia="Arial" w:cs="Arial" w:ascii="Arial" w:hAnsi="Arial"/>
                                      <w:color w:val="000000"/>
                                      <w:sz w:val="15"/>
                                      <w:szCs w:val="15"/>
                                      <w:lang w:val="uk-UA"/>
                                    </w:rPr>
                                    <w:t>**G5c. Податкові ставки для бізнесу</w:t>
                                  </w:r>
                                  <w:r>
                                    <w:rPr>
                                      <w:rFonts w:eastAsia="Arial" w:cs="Arial" w:ascii="Arial" w:hAnsi="Arial"/>
                                      <w:color w:val="041D48"/>
                                      <w:sz w:val="15"/>
                                      <w:szCs w:val="15"/>
                                      <w:lang w:val="uk-UA"/>
                                    </w:rPr>
                                    <w:t xml:space="preserve">, подібного </w:t>
                                  </w:r>
                                  <w:r>
                                    <w:rPr>
                                      <w:rFonts w:eastAsia="Arial" w:cs="Arial" w:ascii="Arial" w:hAnsi="Arial"/>
                                      <w:color w:val="000000"/>
                                      <w:sz w:val="15"/>
                                      <w:szCs w:val="15"/>
                                      <w:lang w:val="uk-UA"/>
                                    </w:rPr>
                                    <w:t>до вашого, є обґрунтованими**</w:t>
                                  </w:r>
                                </w:p>
                              </w:tc>
                            </w:tr>
                            <w:tr>
                              <w:trPr>
                                <w:trHeight w:val="730" w:hRule="exact"/>
                              </w:trPr>
                              <w:tc>
                                <w:tcPr>
                                  <w:tcW w:w="2976" w:type="dxa"/>
                                  <w:tcBorders>
                                    <w:top w:val="single" w:sz="4" w:space="0" w:color="000000"/>
                                  </w:tcBorders>
                                  <w:shd w:color="auto" w:fill="auto" w:val="clear"/>
                                  <w:vAlign w:val="center"/>
                                </w:tcPr>
                                <w:p>
                                  <w:pPr>
                                    <w:pStyle w:val="Style26"/>
                                    <w:spacing w:lineRule="auto" w:line="312" w:before="0" w:after="0"/>
                                    <w:rPr>
                                      <w:sz w:val="15"/>
                                      <w:szCs w:val="15"/>
                                      <w:lang w:val="uk-UA"/>
                                    </w:rPr>
                                  </w:pPr>
                                  <w:r>
                                    <w:rPr>
                                      <w:rFonts w:eastAsia="Arial" w:cs="Arial" w:ascii="Arial" w:hAnsi="Arial"/>
                                      <w:color w:val="000000"/>
                                      <w:sz w:val="15"/>
                                      <w:szCs w:val="15"/>
                                      <w:lang w:val="uk-UA"/>
                                    </w:rPr>
                                    <w:t>**G5d. Як тільки компанія зареєструвалась</w:t>
                                  </w:r>
                                  <w:r>
                                    <w:rPr>
                                      <w:rFonts w:eastAsia="Arial" w:cs="Arial" w:ascii="Arial" w:hAnsi="Arial"/>
                                      <w:color w:val="0A0F29"/>
                                      <w:sz w:val="15"/>
                                      <w:szCs w:val="15"/>
                                      <w:lang w:val="uk-UA"/>
                                    </w:rPr>
                                    <w:t xml:space="preserve">, вона стала </w:t>
                                  </w:r>
                                  <w:r>
                                    <w:rPr>
                                      <w:rFonts w:eastAsia="Arial" w:cs="Arial" w:ascii="Arial" w:hAnsi="Arial"/>
                                      <w:color w:val="000000"/>
                                      <w:sz w:val="15"/>
                                      <w:szCs w:val="15"/>
                                      <w:lang w:val="uk-UA"/>
                                    </w:rPr>
                                    <w:t>об'єктом податкових перевірок**</w:t>
                                  </w:r>
                                </w:p>
                              </w:tc>
                            </w:tr>
                            <w:tr>
                              <w:trPr>
                                <w:trHeight w:val="720" w:hRule="exact"/>
                              </w:trPr>
                              <w:tc>
                                <w:tcPr>
                                  <w:tcW w:w="2976" w:type="dxa"/>
                                  <w:tcBorders>
                                    <w:top w:val="single" w:sz="4" w:space="0" w:color="000000"/>
                                  </w:tcBorders>
                                  <w:shd w:color="auto" w:fill="auto" w:val="clear"/>
                                  <w:vAlign w:val="center"/>
                                </w:tcPr>
                                <w:p>
                                  <w:pPr>
                                    <w:pStyle w:val="Style26"/>
                                    <w:spacing w:lineRule="auto" w:line="307" w:before="0" w:after="0"/>
                                    <w:rPr>
                                      <w:sz w:val="15"/>
                                      <w:szCs w:val="15"/>
                                      <w:lang w:val="uk-UA"/>
                                    </w:rPr>
                                  </w:pPr>
                                  <w:r>
                                    <w:rPr>
                                      <w:rFonts w:eastAsia="Arial" w:cs="Arial" w:ascii="Arial" w:hAnsi="Arial"/>
                                      <w:color w:val="000000"/>
                                      <w:sz w:val="15"/>
                                      <w:szCs w:val="15"/>
                                      <w:lang w:val="uk-UA"/>
                                    </w:rPr>
                                    <w:t xml:space="preserve">**G5e. Податковий облік вимагає додаткового часу та грошових </w:t>
                                  </w:r>
                                  <w:r>
                                    <w:rPr>
                                      <w:rFonts w:eastAsia="Arial" w:cs="Arial" w:ascii="Arial" w:hAnsi="Arial"/>
                                      <w:color w:val="0A0F29"/>
                                      <w:sz w:val="15"/>
                                      <w:szCs w:val="15"/>
                                      <w:lang w:val="uk-UA"/>
                                    </w:rPr>
                                    <w:t>витрат**</w:t>
                                  </w:r>
                                </w:p>
                              </w:tc>
                            </w:tr>
                            <w:tr>
                              <w:trPr>
                                <w:trHeight w:val="720" w:hRule="exact"/>
                              </w:trPr>
                              <w:tc>
                                <w:tcPr>
                                  <w:tcW w:w="2976" w:type="dxa"/>
                                  <w:tcBorders>
                                    <w:top w:val="single" w:sz="4" w:space="0" w:color="000000"/>
                                  </w:tcBorders>
                                  <w:shd w:color="auto" w:fill="auto" w:val="clear"/>
                                  <w:vAlign w:val="center"/>
                                </w:tcPr>
                                <w:p>
                                  <w:pPr>
                                    <w:pStyle w:val="Style26"/>
                                    <w:spacing w:lineRule="auto" w:line="307" w:before="0" w:after="0"/>
                                    <w:rPr>
                                      <w:sz w:val="15"/>
                                      <w:szCs w:val="15"/>
                                      <w:lang w:val="uk-UA"/>
                                    </w:rPr>
                                  </w:pPr>
                                  <w:r>
                                    <w:rPr>
                                      <w:rFonts w:eastAsia="Arial" w:cs="Arial" w:ascii="Arial" w:hAnsi="Arial"/>
                                      <w:color w:val="000000"/>
                                      <w:sz w:val="15"/>
                                      <w:szCs w:val="15"/>
                                      <w:lang w:val="uk-UA"/>
                                    </w:rPr>
                                    <w:t>**G5f. Професійні бухгалтери занадто дорогі для нашого бізнесу**</w:t>
                                  </w:r>
                                </w:p>
                              </w:tc>
                            </w:tr>
                            <w:tr>
                              <w:trPr>
                                <w:trHeight w:val="542" w:hRule="exact"/>
                              </w:trPr>
                              <w:tc>
                                <w:tcPr>
                                  <w:tcW w:w="2976" w:type="dxa"/>
                                  <w:tcBorders>
                                    <w:top w:val="single" w:sz="4" w:space="0" w:color="000000"/>
                                  </w:tcBorders>
                                  <w:shd w:color="auto" w:fill="auto" w:val="clear"/>
                                  <w:vAlign w:val="bottom"/>
                                </w:tcPr>
                                <w:p>
                                  <w:pPr>
                                    <w:pStyle w:val="Style26"/>
                                    <w:spacing w:lineRule="auto" w:line="307" w:before="0" w:after="0"/>
                                    <w:rPr>
                                      <w:sz w:val="15"/>
                                      <w:szCs w:val="15"/>
                                      <w:lang w:val="uk-UA"/>
                                    </w:rPr>
                                  </w:pPr>
                                  <w:r>
                                    <w:rPr>
                                      <w:rFonts w:eastAsia="Arial" w:cs="Arial" w:ascii="Arial" w:hAnsi="Arial"/>
                                      <w:color w:val="000000"/>
                                      <w:sz w:val="15"/>
                                      <w:szCs w:val="15"/>
                                      <w:lang w:val="uk-UA"/>
                                    </w:rPr>
                                    <w:t>**G5g. Професійні податкові бухгалтери занадто дорогі для нашого бізнесу**</w:t>
                                  </w:r>
                                </w:p>
                              </w:tc>
                            </w:tr>
                          </w:tbl>
                          <w:p>
                            <w:pPr>
                              <w:pStyle w:val="Style27"/>
                              <w:spacing w:before="0" w:after="160"/>
                              <w:rPr>
                                <w:sz w:val="14"/>
                                <w:szCs w:val="14"/>
                                <w:lang w:val="uk-UA"/>
                              </w:rPr>
                            </w:pPr>
                            <w:r>
                              <w:rPr/>
                            </w:r>
                          </w:p>
                        </w:txbxContent>
                      </wps:txbx>
                      <wps:bodyPr anchor="t">
                        <a:noAutofit/>
                      </wps:bodyPr>
                    </wps:wsp>
                  </a:graphicData>
                </a:graphic>
              </wp:anchor>
            </w:drawing>
          </mc:Choice>
          <mc:Fallback>
            <w:pict>
              <v:rect id="shape_0" ID="Text Box 2" path="m0,0l-2147483645,0l-2147483645,-2147483646l0,-2147483646xe" fillcolor="white" stroked="f" o:allowincell="f" style="position:absolute;margin-left:-5.85pt;margin-top:248.8pt;width:156.8pt;height:258pt;mso-wrap-style:none;v-text-anchor:middle" wp14:anchorId="29309F4E">
                <v:fill o:detectmouseclick="t" type="solid" color2="black"/>
                <v:stroke color="#3465a4" weight="9360" joinstyle="miter" endcap="flat"/>
                <v:textbox>
                  <w:txbxContent>
                    <w:tbl>
                      <w:tblPr>
                        <w:tblW w:w="2976" w:type="dxa"/>
                        <w:jc w:val="left"/>
                        <w:tblInd w:w="0" w:type="dxa"/>
                        <w:tblLayout w:type="fixed"/>
                        <w:tblCellMar>
                          <w:top w:w="0" w:type="dxa"/>
                          <w:left w:w="10" w:type="dxa"/>
                          <w:bottom w:w="0" w:type="dxa"/>
                          <w:right w:w="10" w:type="dxa"/>
                        </w:tblCellMar>
                        <w:tblLook w:firstRow="1" w:noVBand="1" w:lastRow="0" w:firstColumn="1" w:lastColumn="0" w:noHBand="0" w:val="04a0"/>
                      </w:tblPr>
                      <w:tblGrid>
                        <w:gridCol w:w="2976"/>
                      </w:tblGrid>
                      <w:tr>
                        <w:trPr>
                          <w:trHeight w:val="715" w:hRule="exact"/>
                        </w:trPr>
                        <w:tc>
                          <w:tcPr>
                            <w:tcW w:w="2976" w:type="dxa"/>
                            <w:tcBorders>
                              <w:top w:val="single" w:sz="4" w:space="0" w:color="000000"/>
                            </w:tcBorders>
                            <w:shd w:color="auto" w:fill="auto" w:val="clear"/>
                            <w:vAlign w:val="bottom"/>
                          </w:tcPr>
                          <w:p>
                            <w:pPr>
                              <w:pStyle w:val="Style26"/>
                              <w:spacing w:lineRule="auto" w:line="312" w:before="0" w:after="0"/>
                              <w:rPr>
                                <w:sz w:val="15"/>
                                <w:szCs w:val="15"/>
                                <w:lang w:val="uk-UA"/>
                              </w:rPr>
                            </w:pPr>
                            <w:r>
                              <w:rPr>
                                <w:rFonts w:eastAsia="Arial" w:cs="Arial" w:ascii="Arial" w:hAnsi="Arial"/>
                                <w:color w:val="000000"/>
                                <w:sz w:val="15"/>
                                <w:szCs w:val="15"/>
                                <w:lang w:val="uk-UA"/>
                              </w:rPr>
                              <w:t xml:space="preserve">**G5a. Податкові </w:t>
                            </w:r>
                            <w:r>
                              <w:rPr>
                                <w:rFonts w:eastAsia="Arial" w:cs="Arial" w:ascii="Arial" w:hAnsi="Arial"/>
                                <w:color w:val="0A0F29"/>
                                <w:sz w:val="15"/>
                                <w:szCs w:val="15"/>
                                <w:lang w:val="uk-UA"/>
                              </w:rPr>
                              <w:t xml:space="preserve">органи </w:t>
                            </w:r>
                            <w:r>
                              <w:rPr>
                                <w:rFonts w:eastAsia="Arial" w:cs="Arial" w:ascii="Arial" w:hAnsi="Arial"/>
                                <w:color w:val="000000"/>
                                <w:sz w:val="15"/>
                                <w:szCs w:val="15"/>
                                <w:lang w:val="uk-UA"/>
                              </w:rPr>
                              <w:t xml:space="preserve">надавали </w:t>
                            </w:r>
                            <w:r>
                              <w:rPr>
                                <w:rFonts w:eastAsia="Arial" w:cs="Arial" w:ascii="Arial" w:hAnsi="Arial"/>
                                <w:color w:val="0A0F29"/>
                                <w:sz w:val="15"/>
                                <w:szCs w:val="15"/>
                                <w:lang w:val="uk-UA"/>
                              </w:rPr>
                              <w:t xml:space="preserve">бізнесу </w:t>
                            </w:r>
                            <w:r>
                              <w:rPr>
                                <w:rFonts w:eastAsia="Arial" w:cs="Arial" w:ascii="Arial" w:hAnsi="Arial"/>
                                <w:color w:val="000000"/>
                                <w:sz w:val="15"/>
                                <w:szCs w:val="15"/>
                                <w:lang w:val="uk-UA"/>
                              </w:rPr>
                              <w:t xml:space="preserve">послуги, передбачені </w:t>
                            </w:r>
                            <w:r>
                              <w:rPr>
                                <w:rFonts w:eastAsia="Arial" w:cs="Arial" w:ascii="Arial" w:hAnsi="Arial"/>
                                <w:color w:val="0A0F29"/>
                                <w:sz w:val="15"/>
                                <w:szCs w:val="15"/>
                                <w:lang w:val="uk-UA"/>
                              </w:rPr>
                              <w:t>законом і нормами**</w:t>
                            </w:r>
                          </w:p>
                        </w:tc>
                      </w:tr>
                      <w:tr>
                        <w:trPr>
                          <w:trHeight w:val="720" w:hRule="exact"/>
                        </w:trPr>
                        <w:tc>
                          <w:tcPr>
                            <w:tcW w:w="2976" w:type="dxa"/>
                            <w:tcBorders>
                              <w:top w:val="single" w:sz="4" w:space="0" w:color="000000"/>
                            </w:tcBorders>
                            <w:shd w:color="auto" w:fill="auto" w:val="clear"/>
                            <w:vAlign w:val="center"/>
                          </w:tcPr>
                          <w:p>
                            <w:pPr>
                              <w:pStyle w:val="Style26"/>
                              <w:spacing w:lineRule="auto" w:line="312" w:before="0" w:after="0"/>
                              <w:rPr>
                                <w:sz w:val="15"/>
                                <w:szCs w:val="15"/>
                                <w:lang w:val="uk-UA"/>
                              </w:rPr>
                            </w:pPr>
                            <w:r>
                              <w:rPr>
                                <w:rFonts w:eastAsia="Arial" w:cs="Arial" w:ascii="Arial" w:hAnsi="Arial"/>
                                <w:color w:val="000000"/>
                                <w:sz w:val="15"/>
                                <w:szCs w:val="15"/>
                                <w:lang w:val="uk-UA"/>
                              </w:rPr>
                              <w:t>**G5b. Сплата податків створює позитивну податкову історію бізнесу**</w:t>
                            </w:r>
                          </w:p>
                        </w:tc>
                      </w:tr>
                      <w:tr>
                        <w:trPr>
                          <w:trHeight w:val="720" w:hRule="exact"/>
                        </w:trPr>
                        <w:tc>
                          <w:tcPr>
                            <w:tcW w:w="2976" w:type="dxa"/>
                            <w:tcBorders>
                              <w:top w:val="single" w:sz="4" w:space="0" w:color="000000"/>
                            </w:tcBorders>
                            <w:shd w:color="auto" w:fill="auto" w:val="clear"/>
                            <w:vAlign w:val="center"/>
                          </w:tcPr>
                          <w:p>
                            <w:pPr>
                              <w:pStyle w:val="Style26"/>
                              <w:spacing w:lineRule="auto" w:line="312" w:before="0" w:after="0"/>
                              <w:rPr>
                                <w:sz w:val="15"/>
                                <w:szCs w:val="15"/>
                                <w:lang w:val="uk-UA"/>
                              </w:rPr>
                            </w:pPr>
                            <w:r>
                              <w:rPr>
                                <w:rFonts w:eastAsia="Arial" w:cs="Arial" w:ascii="Arial" w:hAnsi="Arial"/>
                                <w:color w:val="000000"/>
                                <w:sz w:val="15"/>
                                <w:szCs w:val="15"/>
                                <w:lang w:val="uk-UA"/>
                              </w:rPr>
                              <w:t>**G5c. Податкові ставки для бізнесу</w:t>
                            </w:r>
                            <w:r>
                              <w:rPr>
                                <w:rFonts w:eastAsia="Arial" w:cs="Arial" w:ascii="Arial" w:hAnsi="Arial"/>
                                <w:color w:val="041D48"/>
                                <w:sz w:val="15"/>
                                <w:szCs w:val="15"/>
                                <w:lang w:val="uk-UA"/>
                              </w:rPr>
                              <w:t xml:space="preserve">, подібного </w:t>
                            </w:r>
                            <w:r>
                              <w:rPr>
                                <w:rFonts w:eastAsia="Arial" w:cs="Arial" w:ascii="Arial" w:hAnsi="Arial"/>
                                <w:color w:val="000000"/>
                                <w:sz w:val="15"/>
                                <w:szCs w:val="15"/>
                                <w:lang w:val="uk-UA"/>
                              </w:rPr>
                              <w:t>до вашого, є обґрунтованими**</w:t>
                            </w:r>
                          </w:p>
                        </w:tc>
                      </w:tr>
                      <w:tr>
                        <w:trPr>
                          <w:trHeight w:val="730" w:hRule="exact"/>
                        </w:trPr>
                        <w:tc>
                          <w:tcPr>
                            <w:tcW w:w="2976" w:type="dxa"/>
                            <w:tcBorders>
                              <w:top w:val="single" w:sz="4" w:space="0" w:color="000000"/>
                            </w:tcBorders>
                            <w:shd w:color="auto" w:fill="auto" w:val="clear"/>
                            <w:vAlign w:val="center"/>
                          </w:tcPr>
                          <w:p>
                            <w:pPr>
                              <w:pStyle w:val="Style26"/>
                              <w:spacing w:lineRule="auto" w:line="312" w:before="0" w:after="0"/>
                              <w:rPr>
                                <w:sz w:val="15"/>
                                <w:szCs w:val="15"/>
                                <w:lang w:val="uk-UA"/>
                              </w:rPr>
                            </w:pPr>
                            <w:r>
                              <w:rPr>
                                <w:rFonts w:eastAsia="Arial" w:cs="Arial" w:ascii="Arial" w:hAnsi="Arial"/>
                                <w:color w:val="000000"/>
                                <w:sz w:val="15"/>
                                <w:szCs w:val="15"/>
                                <w:lang w:val="uk-UA"/>
                              </w:rPr>
                              <w:t>**G5d. Як тільки компанія зареєструвалась</w:t>
                            </w:r>
                            <w:r>
                              <w:rPr>
                                <w:rFonts w:eastAsia="Arial" w:cs="Arial" w:ascii="Arial" w:hAnsi="Arial"/>
                                <w:color w:val="0A0F29"/>
                                <w:sz w:val="15"/>
                                <w:szCs w:val="15"/>
                                <w:lang w:val="uk-UA"/>
                              </w:rPr>
                              <w:t xml:space="preserve">, вона стала </w:t>
                            </w:r>
                            <w:r>
                              <w:rPr>
                                <w:rFonts w:eastAsia="Arial" w:cs="Arial" w:ascii="Arial" w:hAnsi="Arial"/>
                                <w:color w:val="000000"/>
                                <w:sz w:val="15"/>
                                <w:szCs w:val="15"/>
                                <w:lang w:val="uk-UA"/>
                              </w:rPr>
                              <w:t>об'єктом податкових перевірок**</w:t>
                            </w:r>
                          </w:p>
                        </w:tc>
                      </w:tr>
                      <w:tr>
                        <w:trPr>
                          <w:trHeight w:val="720" w:hRule="exact"/>
                        </w:trPr>
                        <w:tc>
                          <w:tcPr>
                            <w:tcW w:w="2976" w:type="dxa"/>
                            <w:tcBorders>
                              <w:top w:val="single" w:sz="4" w:space="0" w:color="000000"/>
                            </w:tcBorders>
                            <w:shd w:color="auto" w:fill="auto" w:val="clear"/>
                            <w:vAlign w:val="center"/>
                          </w:tcPr>
                          <w:p>
                            <w:pPr>
                              <w:pStyle w:val="Style26"/>
                              <w:spacing w:lineRule="auto" w:line="307" w:before="0" w:after="0"/>
                              <w:rPr>
                                <w:sz w:val="15"/>
                                <w:szCs w:val="15"/>
                                <w:lang w:val="uk-UA"/>
                              </w:rPr>
                            </w:pPr>
                            <w:r>
                              <w:rPr>
                                <w:rFonts w:eastAsia="Arial" w:cs="Arial" w:ascii="Arial" w:hAnsi="Arial"/>
                                <w:color w:val="000000"/>
                                <w:sz w:val="15"/>
                                <w:szCs w:val="15"/>
                                <w:lang w:val="uk-UA"/>
                              </w:rPr>
                              <w:t xml:space="preserve">**G5e. Податковий облік вимагає додаткового часу та грошових </w:t>
                            </w:r>
                            <w:r>
                              <w:rPr>
                                <w:rFonts w:eastAsia="Arial" w:cs="Arial" w:ascii="Arial" w:hAnsi="Arial"/>
                                <w:color w:val="0A0F29"/>
                                <w:sz w:val="15"/>
                                <w:szCs w:val="15"/>
                                <w:lang w:val="uk-UA"/>
                              </w:rPr>
                              <w:t>витрат**</w:t>
                            </w:r>
                          </w:p>
                        </w:tc>
                      </w:tr>
                      <w:tr>
                        <w:trPr>
                          <w:trHeight w:val="720" w:hRule="exact"/>
                        </w:trPr>
                        <w:tc>
                          <w:tcPr>
                            <w:tcW w:w="2976" w:type="dxa"/>
                            <w:tcBorders>
                              <w:top w:val="single" w:sz="4" w:space="0" w:color="000000"/>
                            </w:tcBorders>
                            <w:shd w:color="auto" w:fill="auto" w:val="clear"/>
                            <w:vAlign w:val="center"/>
                          </w:tcPr>
                          <w:p>
                            <w:pPr>
                              <w:pStyle w:val="Style26"/>
                              <w:spacing w:lineRule="auto" w:line="307" w:before="0" w:after="0"/>
                              <w:rPr>
                                <w:sz w:val="15"/>
                                <w:szCs w:val="15"/>
                                <w:lang w:val="uk-UA"/>
                              </w:rPr>
                            </w:pPr>
                            <w:r>
                              <w:rPr>
                                <w:rFonts w:eastAsia="Arial" w:cs="Arial" w:ascii="Arial" w:hAnsi="Arial"/>
                                <w:color w:val="000000"/>
                                <w:sz w:val="15"/>
                                <w:szCs w:val="15"/>
                                <w:lang w:val="uk-UA"/>
                              </w:rPr>
                              <w:t>**G5f. Професійні бухгалтери занадто дорогі для нашого бізнесу**</w:t>
                            </w:r>
                          </w:p>
                        </w:tc>
                      </w:tr>
                      <w:tr>
                        <w:trPr>
                          <w:trHeight w:val="542" w:hRule="exact"/>
                        </w:trPr>
                        <w:tc>
                          <w:tcPr>
                            <w:tcW w:w="2976" w:type="dxa"/>
                            <w:tcBorders>
                              <w:top w:val="single" w:sz="4" w:space="0" w:color="000000"/>
                            </w:tcBorders>
                            <w:shd w:color="auto" w:fill="auto" w:val="clear"/>
                            <w:vAlign w:val="bottom"/>
                          </w:tcPr>
                          <w:p>
                            <w:pPr>
                              <w:pStyle w:val="Style26"/>
                              <w:spacing w:lineRule="auto" w:line="307" w:before="0" w:after="0"/>
                              <w:rPr>
                                <w:sz w:val="15"/>
                                <w:szCs w:val="15"/>
                                <w:lang w:val="uk-UA"/>
                              </w:rPr>
                            </w:pPr>
                            <w:r>
                              <w:rPr>
                                <w:rFonts w:eastAsia="Arial" w:cs="Arial" w:ascii="Arial" w:hAnsi="Arial"/>
                                <w:color w:val="000000"/>
                                <w:sz w:val="15"/>
                                <w:szCs w:val="15"/>
                                <w:lang w:val="uk-UA"/>
                              </w:rPr>
                              <w:t>**G5g. Професійні податкові бухгалтери занадто дорогі для нашого бізнесу**</w:t>
                            </w:r>
                          </w:p>
                        </w:tc>
                      </w:tr>
                    </w:tbl>
                    <w:p>
                      <w:pPr>
                        <w:pStyle w:val="Style27"/>
                        <w:spacing w:before="0" w:after="160"/>
                        <w:rPr>
                          <w:sz w:val="14"/>
                          <w:szCs w:val="14"/>
                          <w:lang w:val="uk-UA"/>
                        </w:rPr>
                      </w:pPr>
                      <w:r>
                        <w:rPr/>
                      </w:r>
                    </w:p>
                  </w:txbxContent>
                </v:textbox>
                <w10:wrap type="none"/>
              </v:rect>
            </w:pict>
          </mc:Fallback>
        </mc:AlternateContent>
      </w:r>
      <w:r>
        <w:rPr/>
        <w:drawing>
          <wp:inline distT="0" distB="0" distL="0" distR="0">
            <wp:extent cx="5943600" cy="3143885"/>
            <wp:effectExtent l="0" t="0" r="0" b="0"/>
            <wp:docPr id="36" name="Image23" descr="Dashboar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 descr="Dashboard 4"/>
                    <pic:cNvPicPr>
                      <a:picLocks noChangeAspect="1" noChangeArrowheads="1"/>
                    </pic:cNvPicPr>
                  </pic:nvPicPr>
                  <pic:blipFill>
                    <a:blip r:embed="rId23"/>
                    <a:stretch>
                      <a:fillRect/>
                    </a:stretch>
                  </pic:blipFill>
                  <pic:spPr bwMode="auto">
                    <a:xfrm>
                      <a:off x="0" y="0"/>
                      <a:ext cx="5943600" cy="3143885"/>
                    </a:xfrm>
                    <a:prstGeom prst="rect">
                      <a:avLst/>
                    </a:prstGeom>
                  </pic:spPr>
                </pic:pic>
              </a:graphicData>
            </a:graphic>
          </wp:inline>
        </w:drawing>
      </w:r>
      <w:r>
        <w:rPr/>
        <w:drawing>
          <wp:inline distT="0" distB="0" distL="0" distR="0">
            <wp:extent cx="5943600" cy="3143885"/>
            <wp:effectExtent l="0" t="0" r="0" b="0"/>
            <wp:docPr id="37" name="Image22" descr="Dashboar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2" descr="Dashboard 3"/>
                    <pic:cNvPicPr>
                      <a:picLocks noChangeAspect="1" noChangeArrowheads="1"/>
                    </pic:cNvPicPr>
                  </pic:nvPicPr>
                  <pic:blipFill>
                    <a:blip r:embed="rId24"/>
                    <a:srcRect l="0" t="4762" r="0" b="4762"/>
                    <a:stretch>
                      <a:fillRect/>
                    </a:stretch>
                  </pic:blipFill>
                  <pic:spPr bwMode="auto">
                    <a:xfrm>
                      <a:off x="0" y="0"/>
                      <a:ext cx="5943600" cy="3143885"/>
                    </a:xfrm>
                    <a:prstGeom prst="rect">
                      <a:avLst/>
                    </a:prstGeom>
                  </pic:spPr>
                </pic:pic>
              </a:graphicData>
            </a:graphic>
          </wp:inline>
        </w:drawing>
      </w:r>
    </w:p>
    <w:p>
      <w:pPr>
        <w:pStyle w:val="ListParagraph"/>
        <w:numPr>
          <w:ilvl w:val="0"/>
          <w:numId w:val="2"/>
        </w:numPr>
        <w:jc w:val="both"/>
        <w:rPr>
          <w:lang w:val="uk-UA"/>
        </w:rPr>
      </w:pPr>
      <w:r>
        <w:rPr>
          <w:b/>
          <w:bCs/>
          <w:lang w:val="uk-UA"/>
        </w:rPr>
        <w:t xml:space="preserve">Платники податків повідомили, що вони використовують веб-портал ДПС переважно для подання звітності та отримання інформації про податкове законодавство </w:t>
      </w:r>
      <w:r>
        <w:rPr>
          <w:lang w:val="uk-UA"/>
        </w:rPr>
        <w:t>(Рисунок 17). Майже три чверті (73%) українських платників податків користувалися порталом для подання звітності. Ще 45,9 відсотка відвідували портал, аби знайти новини та оновлення податкового законодавства, що підкреслює роль порталу як джерела актуальної інформації. 33,7% респондентів повідомили, що використовували веб-портал ДПС для отримання таких послуг для платників податків, як оплата та перевірка податкового статусу; 25% - для завантаження податкових форм; 28,8% - для пошуку відповідей на запитання в інформаційних розділах; 10,2% - для пошуку логістичної інформації, наприклад, інформації про місцезнаходження центрів обслуговування або черги в них. Фізичні особи-підприємці повідомили, що вони частіше, ніж юридичні особи, використовують портал для подання звітності (78,6%), доступу до сервісів для платників податків (37,4%), тоді як юридичні особи лідирують у використанні порталу для отримання інформації про податкове законодавство (60,5%), а також для отримання відповідей від ресурсу «ЗІР» або кол-центру (43%).</w:t>
      </w:r>
    </w:p>
    <w:p>
      <w:pPr>
        <w:pStyle w:val="Normal"/>
        <w:jc w:val="both"/>
        <w:rPr>
          <w:b/>
          <w:bCs/>
          <w:lang w:val="uk-UA"/>
        </w:rPr>
      </w:pPr>
      <w:r>
        <w:rPr>
          <w:b/>
          <w:bCs/>
          <w:lang w:val="uk-UA"/>
        </w:rPr>
        <w:t>Рисунок 17. Причини відвідування веб-порталу ДПС (відсоток респондентів)</w:t>
      </w:r>
    </w:p>
    <w:p>
      <w:pPr>
        <w:pStyle w:val="Normal"/>
        <w:keepNext w:val="true"/>
        <w:rPr>
          <w:lang w:val="uk-UA"/>
        </w:rPr>
      </w:pPr>
      <w:r>
        <w:rPr/>
        <w:drawing>
          <wp:inline distT="0" distB="0" distL="0" distR="0">
            <wp:extent cx="5695950" cy="3619500"/>
            <wp:effectExtent l="0" t="0" r="0" b="0"/>
            <wp:docPr id="38" name="Object46"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ectPr>
          <w:headerReference w:type="first" r:id="rId26"/>
          <w:footerReference w:type="default" r:id="rId27"/>
          <w:footerReference w:type="first" r:id="rId28"/>
          <w:footnotePr>
            <w:numFmt w:val="decimal"/>
          </w:footnotePr>
          <w:type w:val="nextPage"/>
          <w:pgSz w:w="12240" w:h="15840"/>
          <w:pgMar w:left="1440" w:right="1440" w:gutter="0" w:header="720" w:top="1440" w:footer="720" w:bottom="1440"/>
          <w:pgNumType w:start="0" w:fmt="decimal"/>
          <w:formProt w:val="false"/>
          <w:titlePg/>
          <w:textDirection w:val="lrTb"/>
          <w:docGrid w:type="default" w:linePitch="360" w:charSpace="4096"/>
        </w:sectPr>
        <w:pStyle w:val="ListParagraph"/>
        <w:numPr>
          <w:ilvl w:val="0"/>
          <w:numId w:val="2"/>
        </w:numPr>
        <w:jc w:val="both"/>
        <w:rPr>
          <w:rFonts w:cs="Calibri" w:cstheme="minorHAnsi"/>
          <w:lang w:val="uk-UA"/>
        </w:rPr>
      </w:pPr>
      <w:r>
        <w:rPr>
          <w:b/>
          <w:bCs/>
          <w:lang w:val="uk-UA"/>
        </w:rPr>
        <w:t xml:space="preserve">Респонденти зазначили, що основним джерелом інформації про податки для українських платників податків були цифрові платформи. </w:t>
      </w:r>
      <w:r>
        <w:rPr>
          <w:lang w:val="uk-UA"/>
        </w:rPr>
        <w:t>Найбільш</w:t>
      </w:r>
      <w:r>
        <w:rPr>
          <w:lang w:val="ru-RU"/>
        </w:rPr>
        <w:t xml:space="preserve"> </w:t>
      </w:r>
      <w:r>
        <w:rPr>
          <w:lang w:val="uk-UA"/>
        </w:rPr>
        <w:t>використовуваним ресурсом</w:t>
      </w:r>
      <w:r>
        <w:rPr>
          <w:lang w:val="ru-RU"/>
        </w:rPr>
        <w:t xml:space="preserve"> став Е</w:t>
      </w:r>
      <w:r>
        <w:rPr>
          <w:lang w:val="uk-UA"/>
        </w:rPr>
        <w:t xml:space="preserve">лектронний кабінет платника податків: 78,8% респондентів покладалися на нього для отримання податкової інформації. Інтернет-форуми та інші онлайн-платформи були наступними за популярністю джерелами, якими користувалися 49,4% платників податків, що підкреслює важливість цифрових спільнот у доступі до податкового контенту (Рисунок 18). 36,3% респондентів використовували офіційний веб-сайт ДПС як основне джерело інформації; 25,2% запитували офіційні листи; 28,5% зверталися до баз даних нормативно-правових актів; 21,5% запитували спеціалізовані друковані видання та користувалися розділом «Мої податки» на веб-сайті ДПС; 18,8% користувалися Telegram-каналом ДПС; 13,4% використовували Загальнодоступний інформаційний ресурс «ЗІР»; 11,7% зверталися до підприємницьких асоціацій. Респонденти повідомляють, що сторінка ДПС у Facebook (2,7%), чат-бот «InfoTAX» (7,9%) та канал ДПС на YouTube (5,2%) майже не використовувалися. </w:t>
      </w:r>
    </w:p>
    <w:p>
      <w:pPr>
        <w:pStyle w:val="Caption1"/>
        <w:rPr>
          <w:b/>
          <w:bCs/>
          <w:i w:val="false"/>
          <w:i w:val="false"/>
          <w:iCs w:val="false"/>
          <w:color w:val="auto"/>
          <w:sz w:val="22"/>
          <w:szCs w:val="22"/>
          <w:lang w:val="uk-UA"/>
        </w:rPr>
      </w:pPr>
      <w:bookmarkStart w:id="26" w:name="_Ref175303299"/>
      <w:r>
        <w:rPr>
          <w:b/>
          <w:bCs/>
          <w:i w:val="false"/>
          <w:iCs w:val="false"/>
          <w:color w:val="auto"/>
          <w:sz w:val="22"/>
          <w:szCs w:val="22"/>
          <w:lang w:val="uk-UA"/>
        </w:rPr>
        <w:t>Малюнок</w:t>
      </w:r>
      <w:bookmarkEnd w:id="26"/>
      <w:r>
        <w:rPr>
          <w:b/>
          <w:bCs/>
          <w:i w:val="false"/>
          <w:iCs w:val="false"/>
          <w:color w:val="auto"/>
          <w:sz w:val="22"/>
          <w:szCs w:val="22"/>
          <w:lang w:val="uk-UA"/>
        </w:rPr>
        <w:t xml:space="preserve"> 30. Будь ласка, перелічіть усі джерела інформації про податки та податкове законодавство, якими ви користуєтесь</w:t>
      </w:r>
      <w:r>
        <w:rPr>
          <w:rStyle w:val="FootnoteReference"/>
          <w:lang w:val="uk-UA"/>
        </w:rPr>
        <w:footnoteReference w:id="12"/>
      </w:r>
    </w:p>
    <w:p>
      <w:pPr>
        <w:sectPr>
          <w:headerReference w:type="even" r:id="rId30"/>
          <w:headerReference w:type="default" r:id="rId31"/>
          <w:headerReference w:type="first" r:id="rId32"/>
          <w:footerReference w:type="even" r:id="rId33"/>
          <w:footerReference w:type="default" r:id="rId34"/>
          <w:footerReference w:type="first" r:id="rId35"/>
          <w:footnotePr>
            <w:numFmt w:val="decimal"/>
          </w:footnotePr>
          <w:type w:val="nextPage"/>
          <w:pgSz w:orient="landscape" w:w="15840" w:h="12240"/>
          <w:pgMar w:left="1440" w:right="1440" w:gutter="0" w:header="720" w:top="1440" w:footer="720" w:bottom="1440"/>
          <w:pgNumType w:fmt="decimal"/>
          <w:formProt w:val="false"/>
          <w:titlePg/>
          <w:textDirection w:val="lrTb"/>
          <w:docGrid w:type="default" w:linePitch="360" w:charSpace="4096"/>
        </w:sectPr>
        <w:pStyle w:val="Normal"/>
        <w:rPr>
          <w:lang w:val="uk-UA"/>
        </w:rPr>
      </w:pPr>
      <w:r>
        <w:rPr/>
        <mc:AlternateContent>
          <mc:Choice Requires="wps">
            <w:drawing>
              <wp:anchor behindDoc="0" distT="0" distB="0" distL="0" distR="0" simplePos="0" locked="0" layoutInCell="1" allowOverlap="1" relativeHeight="44" wp14:anchorId="6BB118AA">
                <wp:simplePos x="0" y="0"/>
                <wp:positionH relativeFrom="column">
                  <wp:posOffset>-281305</wp:posOffset>
                </wp:positionH>
                <wp:positionV relativeFrom="paragraph">
                  <wp:posOffset>164465</wp:posOffset>
                </wp:positionV>
                <wp:extent cx="3773805" cy="3988435"/>
                <wp:effectExtent l="0" t="0" r="0" b="0"/>
                <wp:wrapNone/>
                <wp:docPr id="39" name="Text Box 2"/>
                <a:graphic xmlns:a="http://schemas.openxmlformats.org/drawingml/2006/main">
                  <a:graphicData uri="http://schemas.microsoft.com/office/word/2010/wordprocessingShape">
                    <wps:wsp>
                      <wps:cNvSpPr/>
                      <wps:spPr>
                        <a:xfrm>
                          <a:off x="0" y="0"/>
                          <a:ext cx="3773880" cy="3988440"/>
                        </a:xfrm>
                        <a:prstGeom prst="rect">
                          <a:avLst/>
                        </a:prstGeom>
                        <a:solidFill>
                          <a:srgbClr val="ffffff"/>
                        </a:solidFill>
                        <a:ln w="9525">
                          <a:noFill/>
                        </a:ln>
                      </wps:spPr>
                      <wps:style>
                        <a:lnRef idx="0"/>
                        <a:fillRef idx="0"/>
                        <a:effectRef idx="0"/>
                        <a:fontRef idx="minor"/>
                      </wps:style>
                      <wps:txbx>
                        <w:txbxContent>
                          <w:p>
                            <w:pPr>
                              <w:pStyle w:val="121"/>
                              <w:tabs>
                                <w:tab w:val="clear" w:pos="720"/>
                                <w:tab w:val="left" w:pos="5954" w:leader="none"/>
                              </w:tabs>
                              <w:ind w:left="0" w:right="-36"/>
                              <w:jc w:val="right"/>
                              <w:rPr>
                                <w:sz w:val="17"/>
                                <w:szCs w:val="17"/>
                                <w:lang w:val="uk-UA"/>
                              </w:rPr>
                            </w:pPr>
                            <w:r>
                              <w:rPr>
                                <w:sz w:val="17"/>
                                <w:szCs w:val="17"/>
                                <w:lang w:val="uk-UA"/>
                              </w:rPr>
                              <w:t>Онлайн-ресурси ДПС: електронний кабінет</w:t>
                              <w:br/>
                              <w:t>Інтернет-форуми та інші інтернет-ресурси</w:t>
                            </w:r>
                          </w:p>
                          <w:p>
                            <w:pPr>
                              <w:pStyle w:val="121"/>
                              <w:tabs>
                                <w:tab w:val="clear" w:pos="720"/>
                                <w:tab w:val="left" w:pos="5954" w:leader="none"/>
                              </w:tabs>
                              <w:ind w:left="0" w:right="-36"/>
                              <w:jc w:val="right"/>
                              <w:rPr>
                                <w:sz w:val="17"/>
                                <w:szCs w:val="17"/>
                                <w:lang w:val="uk-UA"/>
                              </w:rPr>
                            </w:pPr>
                            <w:r>
                              <w:rPr>
                                <w:sz w:val="17"/>
                                <w:szCs w:val="17"/>
                                <w:lang w:val="uk-UA"/>
                              </w:rPr>
                              <w:t>Онлайн-ресурси ДПС: офіційний веб-сайт</w:t>
                            </w:r>
                          </w:p>
                          <w:p>
                            <w:pPr>
                              <w:pStyle w:val="121"/>
                              <w:tabs>
                                <w:tab w:val="clear" w:pos="720"/>
                                <w:tab w:val="left" w:pos="5954" w:leader="none"/>
                              </w:tabs>
                              <w:ind w:left="0" w:right="-36"/>
                              <w:jc w:val="right"/>
                              <w:rPr>
                                <w:sz w:val="17"/>
                                <w:szCs w:val="17"/>
                                <w:lang w:val="uk-UA"/>
                              </w:rPr>
                            </w:pPr>
                            <w:r>
                              <w:rPr>
                                <w:sz w:val="17"/>
                                <w:szCs w:val="17"/>
                                <w:lang w:val="uk-UA"/>
                              </w:rPr>
                              <w:t>Бази даних нормативно-правових актів</w:t>
                            </w:r>
                          </w:p>
                          <w:p>
                            <w:pPr>
                              <w:pStyle w:val="121"/>
                              <w:tabs>
                                <w:tab w:val="clear" w:pos="720"/>
                                <w:tab w:val="left" w:pos="5954" w:leader="none"/>
                              </w:tabs>
                              <w:ind w:left="0" w:right="-36"/>
                              <w:jc w:val="right"/>
                              <w:rPr>
                                <w:sz w:val="17"/>
                                <w:szCs w:val="17"/>
                                <w:lang w:val="uk-UA"/>
                              </w:rPr>
                            </w:pPr>
                            <w:r>
                              <w:rPr>
                                <w:sz w:val="17"/>
                                <w:szCs w:val="17"/>
                                <w:lang w:val="uk-UA"/>
                              </w:rPr>
                              <w:t>Листи від податкових органів на ваш запит</w:t>
                            </w:r>
                          </w:p>
                          <w:p>
                            <w:pPr>
                              <w:pStyle w:val="121"/>
                              <w:tabs>
                                <w:tab w:val="clear" w:pos="720"/>
                                <w:tab w:val="left" w:pos="5954" w:leader="none"/>
                              </w:tabs>
                              <w:ind w:left="0" w:right="-36"/>
                              <w:jc w:val="right"/>
                              <w:rPr>
                                <w:sz w:val="17"/>
                                <w:szCs w:val="17"/>
                                <w:lang w:val="uk-UA"/>
                              </w:rPr>
                            </w:pPr>
                            <w:r>
                              <w:rPr>
                                <w:sz w:val="17"/>
                                <w:szCs w:val="17"/>
                                <w:lang w:val="uk-UA"/>
                              </w:rPr>
                              <w:t>Спеціалізовані друковані видання для бухгалтерів</w:t>
                              <w:br/>
                              <w:t>Онлайн-ресурси ДПС: Розділ «Мої податки»</w:t>
                              <w:br/>
                              <w:t>Офіційні роз'яснення податкового законодавства та інші питання</w:t>
                              <w:br/>
                              <w:t>Онлайн-ресурси ДПС: канал ДПС у Telegram</w:t>
                            </w:r>
                          </w:p>
                          <w:p>
                            <w:pPr>
                              <w:pStyle w:val="121"/>
                              <w:tabs>
                                <w:tab w:val="clear" w:pos="720"/>
                                <w:tab w:val="left" w:pos="5954" w:leader="none"/>
                              </w:tabs>
                              <w:ind w:left="0" w:right="-36"/>
                              <w:jc w:val="right"/>
                              <w:rPr>
                                <w:sz w:val="17"/>
                                <w:szCs w:val="17"/>
                                <w:lang w:val="uk-UA"/>
                              </w:rPr>
                            </w:pPr>
                            <w:r>
                              <w:rPr>
                                <w:sz w:val="17"/>
                                <w:szCs w:val="17"/>
                                <w:lang w:val="uk-UA"/>
                              </w:rPr>
                              <w:t>Онлайн-ресурси ДПС: кол-центр ДПС</w:t>
                            </w:r>
                          </w:p>
                          <w:p>
                            <w:pPr>
                              <w:pStyle w:val="121"/>
                              <w:tabs>
                                <w:tab w:val="clear" w:pos="720"/>
                                <w:tab w:val="left" w:pos="5954" w:leader="none"/>
                              </w:tabs>
                              <w:ind w:left="0" w:right="-36"/>
                              <w:jc w:val="right"/>
                              <w:rPr>
                                <w:sz w:val="17"/>
                                <w:szCs w:val="17"/>
                                <w:lang w:val="uk-UA"/>
                              </w:rPr>
                            </w:pPr>
                            <w:r>
                              <w:rPr>
                                <w:sz w:val="17"/>
                                <w:szCs w:val="17"/>
                                <w:lang w:val="uk-UA"/>
                              </w:rPr>
                              <w:t>Онлайн-ресурси ДПС: Загальнодоступний інформаційний ресурс «ЗІР»</w:t>
                            </w:r>
                          </w:p>
                          <w:p>
                            <w:pPr>
                              <w:pStyle w:val="121"/>
                              <w:tabs>
                                <w:tab w:val="clear" w:pos="720"/>
                                <w:tab w:val="left" w:pos="5954" w:leader="none"/>
                              </w:tabs>
                              <w:ind w:left="0" w:right="-36"/>
                              <w:jc w:val="right"/>
                              <w:rPr>
                                <w:sz w:val="17"/>
                                <w:szCs w:val="17"/>
                                <w:lang w:val="uk-UA"/>
                              </w:rPr>
                            </w:pPr>
                            <w:r>
                              <w:rPr>
                                <w:sz w:val="17"/>
                                <w:szCs w:val="17"/>
                                <w:lang w:val="uk-UA"/>
                              </w:rPr>
                              <w:t>Асоціації, об'єднання підприємців</w:t>
                            </w:r>
                          </w:p>
                          <w:p>
                            <w:pPr>
                              <w:pStyle w:val="121"/>
                              <w:tabs>
                                <w:tab w:val="clear" w:pos="720"/>
                                <w:tab w:val="left" w:pos="5954" w:leader="none"/>
                              </w:tabs>
                              <w:ind w:left="0" w:right="-36"/>
                              <w:jc w:val="right"/>
                              <w:rPr>
                                <w:sz w:val="17"/>
                                <w:szCs w:val="17"/>
                                <w:lang w:val="uk-UA"/>
                              </w:rPr>
                            </w:pPr>
                            <w:r>
                              <w:rPr>
                                <w:sz w:val="17"/>
                                <w:szCs w:val="17"/>
                                <w:lang w:val="uk-UA"/>
                              </w:rPr>
                              <w:t>Онлайн-ресурси ДПС: консультації, опубліковані на сайті</w:t>
                            </w:r>
                          </w:p>
                          <w:p>
                            <w:pPr>
                              <w:pStyle w:val="121"/>
                              <w:tabs>
                                <w:tab w:val="clear" w:pos="720"/>
                                <w:tab w:val="left" w:pos="5954" w:leader="none"/>
                              </w:tabs>
                              <w:ind w:left="0" w:right="-36"/>
                              <w:jc w:val="right"/>
                              <w:rPr>
                                <w:sz w:val="17"/>
                                <w:szCs w:val="17"/>
                                <w:lang w:val="uk-UA"/>
                              </w:rPr>
                            </w:pPr>
                            <w:r>
                              <w:rPr>
                                <w:sz w:val="17"/>
                                <w:szCs w:val="17"/>
                                <w:lang w:val="uk-UA"/>
                              </w:rPr>
                              <w:t>Онлайн-ресурси ДПС: консультації на індивідуальні запити</w:t>
                            </w:r>
                          </w:p>
                          <w:p>
                            <w:pPr>
                              <w:pStyle w:val="121"/>
                              <w:tabs>
                                <w:tab w:val="clear" w:pos="720"/>
                                <w:tab w:val="left" w:pos="5954" w:leader="none"/>
                              </w:tabs>
                              <w:ind w:left="0" w:right="-36"/>
                              <w:jc w:val="right"/>
                              <w:rPr>
                                <w:sz w:val="17"/>
                                <w:szCs w:val="17"/>
                                <w:lang w:val="uk-UA"/>
                              </w:rPr>
                            </w:pPr>
                            <w:r>
                              <w:rPr>
                                <w:sz w:val="17"/>
                                <w:szCs w:val="17"/>
                                <w:lang w:val="uk-UA"/>
                              </w:rPr>
                              <w:t>Онлайн-ресурси ДПС: чат-бот «</w:t>
                            </w:r>
                            <w:r>
                              <w:rPr>
                                <w:sz w:val="17"/>
                                <w:szCs w:val="17"/>
                              </w:rPr>
                              <w:t>InfoTAX</w:t>
                            </w:r>
                            <w:r>
                              <w:rPr>
                                <w:sz w:val="17"/>
                                <w:szCs w:val="17"/>
                                <w:lang w:val="uk-UA"/>
                              </w:rPr>
                              <w:t>»</w:t>
                              <w:br/>
                              <w:t>Онлайн-ресурси ДПС: електронна скринька</w:t>
                            </w:r>
                          </w:p>
                          <w:p>
                            <w:pPr>
                              <w:pStyle w:val="121"/>
                              <w:tabs>
                                <w:tab w:val="clear" w:pos="720"/>
                                <w:tab w:val="left" w:pos="5954" w:leader="none"/>
                              </w:tabs>
                              <w:ind w:left="0" w:right="-36"/>
                              <w:jc w:val="right"/>
                              <w:rPr>
                                <w:sz w:val="17"/>
                                <w:szCs w:val="17"/>
                                <w:lang w:val="uk-UA"/>
                              </w:rPr>
                            </w:pPr>
                            <w:r>
                              <w:rPr>
                                <w:sz w:val="17"/>
                                <w:szCs w:val="17"/>
                                <w:lang w:val="uk-UA"/>
                              </w:rPr>
                              <w:t>ТБ</w:t>
                            </w:r>
                          </w:p>
                          <w:p>
                            <w:pPr>
                              <w:pStyle w:val="121"/>
                              <w:tabs>
                                <w:tab w:val="clear" w:pos="720"/>
                                <w:tab w:val="left" w:pos="5954" w:leader="none"/>
                              </w:tabs>
                              <w:ind w:left="0" w:right="-36"/>
                              <w:jc w:val="right"/>
                              <w:rPr>
                                <w:sz w:val="17"/>
                                <w:szCs w:val="17"/>
                                <w:lang w:val="uk-UA"/>
                              </w:rPr>
                            </w:pPr>
                            <w:r>
                              <w:rPr>
                                <w:sz w:val="17"/>
                                <w:szCs w:val="17"/>
                                <w:lang w:val="uk-UA"/>
                              </w:rPr>
                              <w:t>Онлайн-ресурси ДПС: канал ДПС на YouTube</w:t>
                              <w:br/>
                              <w:t>Онлайн-ресурси ДПС: семінари, що проводяться ДПС</w:t>
                              <w:br/>
                              <w:t>Онлайн-ресурси ДПС: Чат з ДПС</w:t>
                            </w:r>
                          </w:p>
                          <w:p>
                            <w:pPr>
                              <w:pStyle w:val="121"/>
                              <w:tabs>
                                <w:tab w:val="clear" w:pos="720"/>
                                <w:tab w:val="left" w:pos="5954" w:leader="none"/>
                              </w:tabs>
                              <w:ind w:left="0" w:right="-36"/>
                              <w:jc w:val="right"/>
                              <w:rPr>
                                <w:sz w:val="17"/>
                                <w:szCs w:val="17"/>
                                <w:lang w:val="uk-UA"/>
                              </w:rPr>
                            </w:pPr>
                            <w:r>
                              <w:rPr>
                                <w:sz w:val="17"/>
                                <w:szCs w:val="17"/>
                                <w:lang w:val="uk-UA"/>
                              </w:rPr>
                              <w:t>Онлайн-ресурси ДПС: сторінка ДПС у Facebook</w:t>
                              <w:br/>
                              <w:t>Інше (вкажіть)</w:t>
                            </w:r>
                          </w:p>
                        </w:txbxContent>
                      </wps:txbx>
                      <wps:bodyPr anchor="t">
                        <a:noAutofit/>
                      </wps:bodyPr>
                    </wps:wsp>
                  </a:graphicData>
                </a:graphic>
              </wp:anchor>
            </w:drawing>
          </mc:Choice>
          <mc:Fallback>
            <w:pict>
              <v:rect id="shape_0" ID="Text Box 2" path="m0,0l-2147483645,0l-2147483645,-2147483646l0,-2147483646xe" fillcolor="white" stroked="f" o:allowincell="f" style="position:absolute;margin-left:-22.15pt;margin-top:12.95pt;width:297.1pt;height:314pt;mso-wrap-style:square;v-text-anchor:top" wp14:anchorId="6BB118AA">
                <v:fill o:detectmouseclick="t" type="solid" color2="black"/>
                <v:stroke color="#3465a4" weight="9360" joinstyle="miter" endcap="flat"/>
                <v:textbox>
                  <w:txbxContent>
                    <w:p>
                      <w:pPr>
                        <w:pStyle w:val="121"/>
                        <w:tabs>
                          <w:tab w:val="clear" w:pos="720"/>
                          <w:tab w:val="left" w:pos="5954" w:leader="none"/>
                        </w:tabs>
                        <w:ind w:left="0" w:right="-36"/>
                        <w:jc w:val="right"/>
                        <w:rPr>
                          <w:sz w:val="17"/>
                          <w:szCs w:val="17"/>
                          <w:lang w:val="uk-UA"/>
                        </w:rPr>
                      </w:pPr>
                      <w:r>
                        <w:rPr>
                          <w:sz w:val="17"/>
                          <w:szCs w:val="17"/>
                          <w:lang w:val="uk-UA"/>
                        </w:rPr>
                        <w:t>Онлайн-ресурси ДПС: електронний кабінет</w:t>
                        <w:br/>
                        <w:t>Інтернет-форуми та інші інтернет-ресурси</w:t>
                      </w:r>
                    </w:p>
                    <w:p>
                      <w:pPr>
                        <w:pStyle w:val="121"/>
                        <w:tabs>
                          <w:tab w:val="clear" w:pos="720"/>
                          <w:tab w:val="left" w:pos="5954" w:leader="none"/>
                        </w:tabs>
                        <w:ind w:left="0" w:right="-36"/>
                        <w:jc w:val="right"/>
                        <w:rPr>
                          <w:sz w:val="17"/>
                          <w:szCs w:val="17"/>
                          <w:lang w:val="uk-UA"/>
                        </w:rPr>
                      </w:pPr>
                      <w:r>
                        <w:rPr>
                          <w:sz w:val="17"/>
                          <w:szCs w:val="17"/>
                          <w:lang w:val="uk-UA"/>
                        </w:rPr>
                        <w:t>Онлайн-ресурси ДПС: офіційний веб-сайт</w:t>
                      </w:r>
                    </w:p>
                    <w:p>
                      <w:pPr>
                        <w:pStyle w:val="121"/>
                        <w:tabs>
                          <w:tab w:val="clear" w:pos="720"/>
                          <w:tab w:val="left" w:pos="5954" w:leader="none"/>
                        </w:tabs>
                        <w:ind w:left="0" w:right="-36"/>
                        <w:jc w:val="right"/>
                        <w:rPr>
                          <w:sz w:val="17"/>
                          <w:szCs w:val="17"/>
                          <w:lang w:val="uk-UA"/>
                        </w:rPr>
                      </w:pPr>
                      <w:r>
                        <w:rPr>
                          <w:sz w:val="17"/>
                          <w:szCs w:val="17"/>
                          <w:lang w:val="uk-UA"/>
                        </w:rPr>
                        <w:t>Бази даних нормативно-правових актів</w:t>
                      </w:r>
                    </w:p>
                    <w:p>
                      <w:pPr>
                        <w:pStyle w:val="121"/>
                        <w:tabs>
                          <w:tab w:val="clear" w:pos="720"/>
                          <w:tab w:val="left" w:pos="5954" w:leader="none"/>
                        </w:tabs>
                        <w:ind w:left="0" w:right="-36"/>
                        <w:jc w:val="right"/>
                        <w:rPr>
                          <w:sz w:val="17"/>
                          <w:szCs w:val="17"/>
                          <w:lang w:val="uk-UA"/>
                        </w:rPr>
                      </w:pPr>
                      <w:r>
                        <w:rPr>
                          <w:sz w:val="17"/>
                          <w:szCs w:val="17"/>
                          <w:lang w:val="uk-UA"/>
                        </w:rPr>
                        <w:t>Листи від податкових органів на ваш запит</w:t>
                      </w:r>
                    </w:p>
                    <w:p>
                      <w:pPr>
                        <w:pStyle w:val="121"/>
                        <w:tabs>
                          <w:tab w:val="clear" w:pos="720"/>
                          <w:tab w:val="left" w:pos="5954" w:leader="none"/>
                        </w:tabs>
                        <w:ind w:left="0" w:right="-36"/>
                        <w:jc w:val="right"/>
                        <w:rPr>
                          <w:sz w:val="17"/>
                          <w:szCs w:val="17"/>
                          <w:lang w:val="uk-UA"/>
                        </w:rPr>
                      </w:pPr>
                      <w:r>
                        <w:rPr>
                          <w:sz w:val="17"/>
                          <w:szCs w:val="17"/>
                          <w:lang w:val="uk-UA"/>
                        </w:rPr>
                        <w:t>Спеціалізовані друковані видання для бухгалтерів</w:t>
                        <w:br/>
                        <w:t>Онлайн-ресурси ДПС: Розділ «Мої податки»</w:t>
                        <w:br/>
                        <w:t>Офіційні роз'яснення податкового законодавства та інші питання</w:t>
                        <w:br/>
                        <w:t>Онлайн-ресурси ДПС: канал ДПС у Telegram</w:t>
                      </w:r>
                    </w:p>
                    <w:p>
                      <w:pPr>
                        <w:pStyle w:val="121"/>
                        <w:tabs>
                          <w:tab w:val="clear" w:pos="720"/>
                          <w:tab w:val="left" w:pos="5954" w:leader="none"/>
                        </w:tabs>
                        <w:ind w:left="0" w:right="-36"/>
                        <w:jc w:val="right"/>
                        <w:rPr>
                          <w:sz w:val="17"/>
                          <w:szCs w:val="17"/>
                          <w:lang w:val="uk-UA"/>
                        </w:rPr>
                      </w:pPr>
                      <w:r>
                        <w:rPr>
                          <w:sz w:val="17"/>
                          <w:szCs w:val="17"/>
                          <w:lang w:val="uk-UA"/>
                        </w:rPr>
                        <w:t>Онлайн-ресурси ДПС: кол-центр ДПС</w:t>
                      </w:r>
                    </w:p>
                    <w:p>
                      <w:pPr>
                        <w:pStyle w:val="121"/>
                        <w:tabs>
                          <w:tab w:val="clear" w:pos="720"/>
                          <w:tab w:val="left" w:pos="5954" w:leader="none"/>
                        </w:tabs>
                        <w:ind w:left="0" w:right="-36"/>
                        <w:jc w:val="right"/>
                        <w:rPr>
                          <w:sz w:val="17"/>
                          <w:szCs w:val="17"/>
                          <w:lang w:val="uk-UA"/>
                        </w:rPr>
                      </w:pPr>
                      <w:r>
                        <w:rPr>
                          <w:sz w:val="17"/>
                          <w:szCs w:val="17"/>
                          <w:lang w:val="uk-UA"/>
                        </w:rPr>
                        <w:t>Онлайн-ресурси ДПС: Загальнодоступний інформаційний ресурс «ЗІР»</w:t>
                      </w:r>
                    </w:p>
                    <w:p>
                      <w:pPr>
                        <w:pStyle w:val="121"/>
                        <w:tabs>
                          <w:tab w:val="clear" w:pos="720"/>
                          <w:tab w:val="left" w:pos="5954" w:leader="none"/>
                        </w:tabs>
                        <w:ind w:left="0" w:right="-36"/>
                        <w:jc w:val="right"/>
                        <w:rPr>
                          <w:sz w:val="17"/>
                          <w:szCs w:val="17"/>
                          <w:lang w:val="uk-UA"/>
                        </w:rPr>
                      </w:pPr>
                      <w:r>
                        <w:rPr>
                          <w:sz w:val="17"/>
                          <w:szCs w:val="17"/>
                          <w:lang w:val="uk-UA"/>
                        </w:rPr>
                        <w:t>Асоціації, об'єднання підприємців</w:t>
                      </w:r>
                    </w:p>
                    <w:p>
                      <w:pPr>
                        <w:pStyle w:val="121"/>
                        <w:tabs>
                          <w:tab w:val="clear" w:pos="720"/>
                          <w:tab w:val="left" w:pos="5954" w:leader="none"/>
                        </w:tabs>
                        <w:ind w:left="0" w:right="-36"/>
                        <w:jc w:val="right"/>
                        <w:rPr>
                          <w:sz w:val="17"/>
                          <w:szCs w:val="17"/>
                          <w:lang w:val="uk-UA"/>
                        </w:rPr>
                      </w:pPr>
                      <w:r>
                        <w:rPr>
                          <w:sz w:val="17"/>
                          <w:szCs w:val="17"/>
                          <w:lang w:val="uk-UA"/>
                        </w:rPr>
                        <w:t>Онлайн-ресурси ДПС: консультації, опубліковані на сайті</w:t>
                      </w:r>
                    </w:p>
                    <w:p>
                      <w:pPr>
                        <w:pStyle w:val="121"/>
                        <w:tabs>
                          <w:tab w:val="clear" w:pos="720"/>
                          <w:tab w:val="left" w:pos="5954" w:leader="none"/>
                        </w:tabs>
                        <w:ind w:left="0" w:right="-36"/>
                        <w:jc w:val="right"/>
                        <w:rPr>
                          <w:sz w:val="17"/>
                          <w:szCs w:val="17"/>
                          <w:lang w:val="uk-UA"/>
                        </w:rPr>
                      </w:pPr>
                      <w:r>
                        <w:rPr>
                          <w:sz w:val="17"/>
                          <w:szCs w:val="17"/>
                          <w:lang w:val="uk-UA"/>
                        </w:rPr>
                        <w:t>Онлайн-ресурси ДПС: консультації на індивідуальні запити</w:t>
                      </w:r>
                    </w:p>
                    <w:p>
                      <w:pPr>
                        <w:pStyle w:val="121"/>
                        <w:tabs>
                          <w:tab w:val="clear" w:pos="720"/>
                          <w:tab w:val="left" w:pos="5954" w:leader="none"/>
                        </w:tabs>
                        <w:ind w:left="0" w:right="-36"/>
                        <w:jc w:val="right"/>
                        <w:rPr>
                          <w:sz w:val="17"/>
                          <w:szCs w:val="17"/>
                          <w:lang w:val="uk-UA"/>
                        </w:rPr>
                      </w:pPr>
                      <w:r>
                        <w:rPr>
                          <w:sz w:val="17"/>
                          <w:szCs w:val="17"/>
                          <w:lang w:val="uk-UA"/>
                        </w:rPr>
                        <w:t>Онлайн-ресурси ДПС: чат-бот «</w:t>
                      </w:r>
                      <w:r>
                        <w:rPr>
                          <w:sz w:val="17"/>
                          <w:szCs w:val="17"/>
                        </w:rPr>
                        <w:t>InfoTAX</w:t>
                      </w:r>
                      <w:r>
                        <w:rPr>
                          <w:sz w:val="17"/>
                          <w:szCs w:val="17"/>
                          <w:lang w:val="uk-UA"/>
                        </w:rPr>
                        <w:t>»</w:t>
                        <w:br/>
                        <w:t>Онлайн-ресурси ДПС: електронна скринька</w:t>
                      </w:r>
                    </w:p>
                    <w:p>
                      <w:pPr>
                        <w:pStyle w:val="121"/>
                        <w:tabs>
                          <w:tab w:val="clear" w:pos="720"/>
                          <w:tab w:val="left" w:pos="5954" w:leader="none"/>
                        </w:tabs>
                        <w:ind w:left="0" w:right="-36"/>
                        <w:jc w:val="right"/>
                        <w:rPr>
                          <w:sz w:val="17"/>
                          <w:szCs w:val="17"/>
                          <w:lang w:val="uk-UA"/>
                        </w:rPr>
                      </w:pPr>
                      <w:r>
                        <w:rPr>
                          <w:sz w:val="17"/>
                          <w:szCs w:val="17"/>
                          <w:lang w:val="uk-UA"/>
                        </w:rPr>
                        <w:t>ТБ</w:t>
                      </w:r>
                    </w:p>
                    <w:p>
                      <w:pPr>
                        <w:pStyle w:val="121"/>
                        <w:tabs>
                          <w:tab w:val="clear" w:pos="720"/>
                          <w:tab w:val="left" w:pos="5954" w:leader="none"/>
                        </w:tabs>
                        <w:ind w:left="0" w:right="-36"/>
                        <w:jc w:val="right"/>
                        <w:rPr>
                          <w:sz w:val="17"/>
                          <w:szCs w:val="17"/>
                          <w:lang w:val="uk-UA"/>
                        </w:rPr>
                      </w:pPr>
                      <w:r>
                        <w:rPr>
                          <w:sz w:val="17"/>
                          <w:szCs w:val="17"/>
                          <w:lang w:val="uk-UA"/>
                        </w:rPr>
                        <w:t>Онлайн-ресурси ДПС: канал ДПС на YouTube</w:t>
                        <w:br/>
                        <w:t>Онлайн-ресурси ДПС: семінари, що проводяться ДПС</w:t>
                        <w:br/>
                        <w:t>Онлайн-ресурси ДПС: Чат з ДПС</w:t>
                      </w:r>
                    </w:p>
                    <w:p>
                      <w:pPr>
                        <w:pStyle w:val="121"/>
                        <w:tabs>
                          <w:tab w:val="clear" w:pos="720"/>
                          <w:tab w:val="left" w:pos="5954" w:leader="none"/>
                        </w:tabs>
                        <w:ind w:left="0" w:right="-36"/>
                        <w:jc w:val="right"/>
                        <w:rPr>
                          <w:sz w:val="17"/>
                          <w:szCs w:val="17"/>
                          <w:lang w:val="uk-UA"/>
                        </w:rPr>
                      </w:pPr>
                      <w:r>
                        <w:rPr>
                          <w:sz w:val="17"/>
                          <w:szCs w:val="17"/>
                          <w:lang w:val="uk-UA"/>
                        </w:rPr>
                        <w:t>Онлайн-ресурси ДПС: сторінка ДПС у Facebook</w:t>
                        <w:br/>
                        <w:t>Інше (вкажіть)</w:t>
                      </w:r>
                    </w:p>
                  </w:txbxContent>
                </v:textbox>
                <w10:wrap type="none"/>
              </v:rect>
            </w:pict>
          </mc:Fallback>
        </mc:AlternateContent>
        <w:drawing>
          <wp:inline distT="0" distB="0" distL="0" distR="0">
            <wp:extent cx="8229600" cy="4320540"/>
            <wp:effectExtent l="0" t="0" r="0" b="0"/>
            <wp:docPr id="40" name="Image25" descr="A graph with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 descr="A graph with blue and black text&#10;&#10;Description automatically generated"/>
                    <pic:cNvPicPr>
                      <a:picLocks noChangeAspect="1" noChangeArrowheads="1"/>
                    </pic:cNvPicPr>
                  </pic:nvPicPr>
                  <pic:blipFill>
                    <a:blip r:embed="rId29"/>
                    <a:stretch>
                      <a:fillRect/>
                    </a:stretch>
                  </pic:blipFill>
                  <pic:spPr bwMode="auto">
                    <a:xfrm>
                      <a:off x="0" y="0"/>
                      <a:ext cx="8229600" cy="4320540"/>
                    </a:xfrm>
                    <a:prstGeom prst="rect">
                      <a:avLst/>
                    </a:prstGeom>
                  </pic:spPr>
                </pic:pic>
              </a:graphicData>
            </a:graphic>
          </wp:inline>
        </w:drawing>
      </w:r>
    </w:p>
    <w:p>
      <w:pPr>
        <w:pStyle w:val="ListParagraph"/>
        <w:numPr>
          <w:ilvl w:val="0"/>
          <w:numId w:val="2"/>
        </w:numPr>
        <w:jc w:val="both"/>
        <w:rPr>
          <w:lang w:val="uk-UA"/>
        </w:rPr>
      </w:pPr>
      <w:r>
        <w:rPr>
          <w:b/>
          <w:bCs/>
          <w:lang w:val="uk-UA"/>
        </w:rPr>
        <w:t>Респонденти зазначили, що</w:t>
      </w:r>
      <w:r>
        <w:rPr>
          <w:lang w:val="ru-RU"/>
        </w:rPr>
        <w:t xml:space="preserve"> </w:t>
      </w:r>
      <w:r>
        <w:rPr>
          <w:b/>
          <w:bCs/>
          <w:lang w:val="ru-RU"/>
        </w:rPr>
        <w:t>ресурсом</w:t>
      </w:r>
      <w:r>
        <w:rPr>
          <w:rStyle w:val="Strong"/>
          <w:lang w:val="uk-UA"/>
        </w:rPr>
        <w:t xml:space="preserve">, на який найбільше покладаються платники податків, є Електронний кабінет платника податків. </w:t>
      </w:r>
      <w:r>
        <w:rPr>
          <w:lang w:val="uk-UA"/>
        </w:rPr>
        <w:t xml:space="preserve">Підприємства, які не мають найманих працівників, значно частіше користуються Електронним кабінетом платника податків (50,2%) порівняно з тими, що мають до 50 працівників (42,8%) (Таблиця 11). Найменші підприємства повідомили, що користуються інтернет-форумами та іншими інтернет-ресурсами більше, ніж великі. Також існує невелика гендерна різниця: 49,6% респондентів-чоловіків повідомили, що вони користуються цією послугою, порівняно з 42,6% респондентів-жінок.  </w:t>
      </w:r>
    </w:p>
    <w:p>
      <w:pPr>
        <w:pStyle w:val="Caption1"/>
        <w:rPr>
          <w:b/>
          <w:bCs/>
          <w:i w:val="false"/>
          <w:i w:val="false"/>
          <w:iCs w:val="false"/>
          <w:color w:val="auto"/>
          <w:sz w:val="22"/>
          <w:szCs w:val="22"/>
          <w:lang w:val="uk-UA"/>
        </w:rPr>
      </w:pPr>
      <w:bookmarkStart w:id="27" w:name="_Ref175303862"/>
      <w:bookmarkStart w:id="28" w:name="_Ref175303870"/>
      <w:r>
        <w:rPr>
          <w:b/>
          <w:bCs/>
          <w:i w:val="false"/>
          <w:iCs w:val="false"/>
          <w:color w:val="auto"/>
          <w:sz w:val="22"/>
          <w:szCs w:val="22"/>
          <w:lang w:val="uk-UA"/>
        </w:rPr>
        <w:t>Таблиця</w:t>
      </w:r>
      <w:bookmarkEnd w:id="28"/>
      <w:r>
        <w:rPr>
          <w:b/>
          <w:bCs/>
          <w:i w:val="false"/>
          <w:iCs w:val="false"/>
          <w:color w:val="auto"/>
          <w:sz w:val="22"/>
          <w:szCs w:val="22"/>
          <w:lang w:val="uk-UA"/>
        </w:rPr>
        <w:t xml:space="preserve"> 11. Топ-три електронні джерела ДПС, якими найбільше користувалися у 2023 році</w:t>
      </w:r>
      <w:bookmarkEnd w:id="27"/>
      <w:r>
        <w:rPr>
          <w:b/>
          <w:bCs/>
          <w:i w:val="false"/>
          <w:iCs w:val="false"/>
          <w:color w:val="auto"/>
          <w:sz w:val="22"/>
          <w:szCs w:val="22"/>
          <w:lang w:val="uk-UA"/>
        </w:rPr>
        <w:t xml:space="preserve"> (відсоток респондентів)</w:t>
      </w:r>
    </w:p>
    <w:tbl>
      <w:tblPr>
        <w:tblStyle w:val="GridTable4Accent1"/>
        <w:tblW w:w="949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097"/>
        <w:gridCol w:w="1200"/>
        <w:gridCol w:w="1175"/>
        <w:gridCol w:w="1175"/>
        <w:gridCol w:w="846"/>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5097"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b/>
                <w:bCs/>
                <w:color w:themeColor="background1" w:val="FFFFFF"/>
                <w:sz w:val="18"/>
                <w:szCs w:val="22"/>
                <w:lang w:eastAsia="en-GB" w:bidi="ar-SA"/>
              </w:rPr>
            </w:r>
          </w:p>
        </w:tc>
        <w:tc>
          <w:tcPr>
            <w:tcW w:w="1200"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Без найманих працівників</w:t>
            </w:r>
          </w:p>
        </w:tc>
        <w:tc>
          <w:tcPr>
            <w:tcW w:w="1175"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До 50 працівників</w:t>
            </w:r>
          </w:p>
        </w:tc>
        <w:tc>
          <w:tcPr>
            <w:tcW w:w="1175"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Понад 50 працівників</w:t>
            </w:r>
          </w:p>
        </w:tc>
        <w:tc>
          <w:tcPr>
            <w:tcW w:w="846"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Всього</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097"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bCs w:val="false"/>
                <w:lang w:val="uk-UA"/>
              </w:rPr>
            </w:pPr>
            <w:r>
              <w:rPr>
                <w:rFonts w:eastAsia="SimSun" w:cs="Calibri" w:cstheme="minorHAnsi"/>
                <w:b w:val="false"/>
                <w:bCs w:val="false"/>
                <w:kern w:val="2"/>
                <w:sz w:val="18"/>
                <w:szCs w:val="22"/>
                <w:lang w:val="uk-UA" w:eastAsia="en-GB" w:bidi="ar-SA"/>
              </w:rPr>
              <w:t>Онлайн-ресурси ДПС: електронний кабінет платника податків</w:t>
            </w:r>
          </w:p>
        </w:tc>
        <w:tc>
          <w:tcPr>
            <w:tcW w:w="12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50,2</w:t>
            </w:r>
          </w:p>
        </w:tc>
        <w:tc>
          <w:tcPr>
            <w:tcW w:w="117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42,8</w:t>
            </w:r>
          </w:p>
        </w:tc>
        <w:tc>
          <w:tcPr>
            <w:tcW w:w="117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35,3</w:t>
            </w:r>
          </w:p>
        </w:tc>
        <w:tc>
          <w:tcPr>
            <w:tcW w:w="84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46,9</w:t>
            </w:r>
          </w:p>
        </w:tc>
      </w:tr>
      <w:tr>
        <w:trPr>
          <w:trHeight w:val="300" w:hRule="atLeast"/>
        </w:trPr>
        <w:tc>
          <w:tcPr>
            <w:tcW w:w="5097"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bCs w:val="false"/>
                <w:lang w:val="uk-UA"/>
              </w:rPr>
            </w:pPr>
            <w:r>
              <w:rPr>
                <w:rFonts w:eastAsia="SimSun" w:cs="Calibri" w:cstheme="minorHAnsi"/>
                <w:b w:val="false"/>
                <w:bCs w:val="false"/>
                <w:kern w:val="2"/>
                <w:sz w:val="18"/>
                <w:szCs w:val="22"/>
                <w:lang w:val="uk-UA" w:eastAsia="en-GB" w:bidi="ar-SA"/>
              </w:rPr>
              <w:t>Інтернет-форуми та інші інтернет-ресурси</w:t>
            </w:r>
          </w:p>
        </w:tc>
        <w:tc>
          <w:tcPr>
            <w:tcW w:w="12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20,8</w:t>
            </w:r>
          </w:p>
        </w:tc>
        <w:tc>
          <w:tcPr>
            <w:tcW w:w="117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17,4</w:t>
            </w:r>
          </w:p>
        </w:tc>
        <w:tc>
          <w:tcPr>
            <w:tcW w:w="117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9,8</w:t>
            </w:r>
          </w:p>
        </w:tc>
        <w:tc>
          <w:tcPr>
            <w:tcW w:w="84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19,1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097"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bCs w:val="false"/>
                <w:lang w:val="uk-UA"/>
              </w:rPr>
            </w:pPr>
            <w:r>
              <w:rPr>
                <w:rFonts w:eastAsia="SimSun" w:cs="Calibri" w:cstheme="minorHAnsi"/>
                <w:b w:val="false"/>
                <w:bCs w:val="false"/>
                <w:kern w:val="2"/>
                <w:sz w:val="18"/>
                <w:szCs w:val="22"/>
                <w:lang w:val="uk-UA" w:eastAsia="en-GB" w:bidi="ar-SA"/>
              </w:rPr>
              <w:t>Бази даних нормативно-правових актів</w:t>
            </w:r>
          </w:p>
        </w:tc>
        <w:tc>
          <w:tcPr>
            <w:tcW w:w="12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3,5</w:t>
            </w:r>
          </w:p>
        </w:tc>
        <w:tc>
          <w:tcPr>
            <w:tcW w:w="117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8,0</w:t>
            </w:r>
          </w:p>
        </w:tc>
        <w:tc>
          <w:tcPr>
            <w:tcW w:w="117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12,6</w:t>
            </w:r>
          </w:p>
        </w:tc>
        <w:tc>
          <w:tcPr>
            <w:tcW w:w="84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5,6</w:t>
            </w:r>
          </w:p>
        </w:tc>
      </w:tr>
    </w:tbl>
    <w:p>
      <w:pPr>
        <w:pStyle w:val="ListParagraph"/>
        <w:ind w:left="360"/>
        <w:jc w:val="both"/>
        <w:rPr>
          <w:rStyle w:val="Strong"/>
          <w:rFonts w:cs="Calibri" w:cstheme="minorHAnsi"/>
          <w:b w:val="false"/>
          <w:bCs w:val="false"/>
          <w:lang w:val="uk-UA"/>
        </w:rPr>
      </w:pPr>
      <w:r>
        <w:rPr>
          <w:rFonts w:cs="Calibri" w:cstheme="minorHAnsi"/>
          <w:b w:val="false"/>
          <w:bCs w:val="false"/>
          <w:lang w:val="uk-UA"/>
        </w:rPr>
      </w:r>
    </w:p>
    <w:p>
      <w:pPr>
        <w:pStyle w:val="ListParagraph"/>
        <w:numPr>
          <w:ilvl w:val="0"/>
          <w:numId w:val="2"/>
        </w:numPr>
        <w:jc w:val="both"/>
        <w:rPr>
          <w:rFonts w:cs="Calibri" w:cstheme="minorHAnsi"/>
          <w:lang w:val="uk-UA"/>
        </w:rPr>
      </w:pPr>
      <w:r>
        <w:rPr>
          <w:b/>
          <w:bCs/>
          <w:lang w:val="uk-UA"/>
        </w:rPr>
        <w:t>Респонденти зазначили, що е</w:t>
      </w:r>
      <w:r>
        <w:rPr>
          <w:rStyle w:val="Strong"/>
          <w:lang w:val="uk-UA"/>
        </w:rPr>
        <w:t xml:space="preserve">лектронне подання податкової звітності пов'язане з численними проблемами, серед яких найбільш значущими є логічні помилки та відсутність зворотного зв'язку з ДПС. </w:t>
      </w:r>
      <w:r>
        <w:rPr>
          <w:lang w:val="uk-UA"/>
        </w:rPr>
        <w:t xml:space="preserve">Найбільш поширеною проблемою були логічні помилки при поданні нових звітів, з якими зіткнулися 46,4% респондентів (Таблиця 12). Крім того, 24,7% респондентів заявили про відсутність інформування про запровадження нових форм та зміну старих форм звітності ДПС. Інші виклики, про які повідомлялося, включали труднощі з отриманням повідомлень від ДПС (17,2%), складнощі з отриманням довідок онлайн (15%) та проблеми з тим, що електронний кабінет не зберігав заповнені форми (9,3%). Водночас 23,3% респондентів не зазначили жодних труднощів під час подання звітності в електронному вигляді. </w:t>
      </w:r>
    </w:p>
    <w:p>
      <w:pPr>
        <w:pStyle w:val="ListParagraph"/>
        <w:ind w:left="360"/>
        <w:jc w:val="both"/>
        <w:rPr>
          <w:b/>
          <w:bCs/>
          <w:lang w:val="uk-UA"/>
        </w:rPr>
      </w:pPr>
      <w:r>
        <w:rPr>
          <w:b/>
          <w:bCs/>
          <w:lang w:val="uk-UA"/>
        </w:rPr>
      </w:r>
    </w:p>
    <w:p>
      <w:pPr>
        <w:pStyle w:val="Normal"/>
        <w:suppressAutoHyphens w:val="false"/>
        <w:rPr>
          <w:b/>
          <w:bCs/>
          <w:lang w:val="uk-UA"/>
        </w:rPr>
      </w:pPr>
      <w:r>
        <w:rPr>
          <w:b/>
          <w:bCs/>
          <w:lang w:val="uk-UA"/>
        </w:rPr>
      </w:r>
      <w:r>
        <w:br w:type="page"/>
      </w:r>
    </w:p>
    <w:p>
      <w:pPr>
        <w:pStyle w:val="Normal"/>
        <w:spacing w:before="0" w:after="160"/>
        <w:jc w:val="both"/>
        <w:rPr>
          <w:lang w:val="uk-UA"/>
        </w:rPr>
      </w:pPr>
      <w:r>
        <w:rPr>
          <w:b/>
          <w:bCs/>
          <w:lang w:val="uk-UA"/>
        </w:rPr>
        <w:t>Таблиця 12. Проблеми, з якими стикалися під час подання податкової звітності в електронному вигляді у 2023 році (відсоток респондентів)</w:t>
      </w:r>
      <w:r>
        <w:rPr>
          <w:b/>
          <w:bCs/>
          <w:i/>
          <w:iCs/>
          <w:lang w:val="uk-UA"/>
        </w:rPr>
        <w:t xml:space="preserve"> </w:t>
      </w:r>
      <w:r>
        <w:rPr>
          <w:rStyle w:val="FootnoteReference"/>
          <w:lang w:val="uk-UA"/>
        </w:rPr>
        <w:footnoteReference w:id="13"/>
      </w:r>
    </w:p>
    <w:tbl>
      <w:tblPr>
        <w:tblStyle w:val="GridTable4Accent1"/>
        <w:tblW w:w="963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10"/>
        <w:gridCol w:w="1227"/>
        <w:gridCol w:w="1275"/>
        <w:gridCol w:w="1269"/>
        <w:gridCol w:w="1153"/>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4710"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keepNext w:val="true"/>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r>
          </w:p>
        </w:tc>
        <w:tc>
          <w:tcPr>
            <w:tcW w:w="1227"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keepNext w:val="true"/>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Без найманих працівників</w:t>
            </w:r>
          </w:p>
        </w:tc>
        <w:tc>
          <w:tcPr>
            <w:tcW w:w="1275"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keepNext w:val="true"/>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До 50 працівників</w:t>
            </w:r>
          </w:p>
        </w:tc>
        <w:tc>
          <w:tcPr>
            <w:tcW w:w="1269"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keepNext w:val="true"/>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Понад 50 працівників</w:t>
            </w:r>
          </w:p>
        </w:tc>
        <w:tc>
          <w:tcPr>
            <w:tcW w:w="1153"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keepNext w:val="true"/>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Загалом</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710"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keepNext w:val="true"/>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Логічні помилки при отриманні нової форми звітності, коли необхідно повторно надсилати документ після виправлення помилок</w:t>
            </w:r>
          </w:p>
        </w:tc>
        <w:tc>
          <w:tcPr>
            <w:tcW w:w="1227"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43,1</w:t>
            </w:r>
          </w:p>
        </w:tc>
        <w:tc>
          <w:tcPr>
            <w:tcW w:w="1275"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52,7</w:t>
            </w:r>
          </w:p>
        </w:tc>
        <w:tc>
          <w:tcPr>
            <w:tcW w:w="1269"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31,1</w:t>
            </w:r>
          </w:p>
        </w:tc>
        <w:tc>
          <w:tcPr>
            <w:tcW w:w="1153"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46,4</w:t>
            </w:r>
          </w:p>
        </w:tc>
      </w:tr>
      <w:tr>
        <w:trPr>
          <w:trHeight w:val="300" w:hRule="atLeast"/>
        </w:trPr>
        <w:tc>
          <w:tcPr>
            <w:tcW w:w="4710" w:type="dxa"/>
            <w:cnfStyle w:val="001000000000" w:firstRow="0" w:lastRow="0" w:firstColumn="1" w:lastColumn="0" w:oddVBand="0" w:evenVBand="0" w:oddHBand="0" w:evenHBand="0" w:firstRowFirstColumn="0" w:firstRowLastColumn="0" w:lastRowFirstColumn="0" w:lastRowLastColumn="0"/>
            <w:tcBorders/>
          </w:tcPr>
          <w:p>
            <w:pPr>
              <w:pStyle w:val="Normal"/>
              <w:keepNext w:val="true"/>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Інформаційні повідомлення від ДПС надходять у незручному форматі</w:t>
            </w:r>
          </w:p>
        </w:tc>
        <w:tc>
          <w:tcPr>
            <w:tcW w:w="1227"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19,1</w:t>
            </w:r>
          </w:p>
        </w:tc>
        <w:tc>
          <w:tcPr>
            <w:tcW w:w="1275"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14,7</w:t>
            </w:r>
          </w:p>
        </w:tc>
        <w:tc>
          <w:tcPr>
            <w:tcW w:w="1269"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8,9</w:t>
            </w:r>
          </w:p>
        </w:tc>
        <w:tc>
          <w:tcPr>
            <w:tcW w:w="1153"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17,2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710"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keepNext w:val="true"/>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Відсутність інформаційних повідомлень від ДПС про зміну старих або запровадження нових форм звітності</w:t>
            </w:r>
          </w:p>
        </w:tc>
        <w:tc>
          <w:tcPr>
            <w:tcW w:w="1227"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24,5</w:t>
            </w:r>
          </w:p>
        </w:tc>
        <w:tc>
          <w:tcPr>
            <w:tcW w:w="1275"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25,2</w:t>
            </w:r>
          </w:p>
        </w:tc>
        <w:tc>
          <w:tcPr>
            <w:tcW w:w="1269"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23,7</w:t>
            </w:r>
          </w:p>
        </w:tc>
        <w:tc>
          <w:tcPr>
            <w:tcW w:w="1153"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24,7</w:t>
            </w:r>
          </w:p>
        </w:tc>
      </w:tr>
      <w:tr>
        <w:trPr>
          <w:trHeight w:val="300" w:hRule="atLeast"/>
        </w:trPr>
        <w:tc>
          <w:tcPr>
            <w:tcW w:w="4710" w:type="dxa"/>
            <w:cnfStyle w:val="001000000000" w:firstRow="0" w:lastRow="0" w:firstColumn="1" w:lastColumn="0" w:oddVBand="0" w:evenVBand="0" w:oddHBand="0" w:evenHBand="0" w:firstRowFirstColumn="0" w:firstRowLastColumn="0" w:lastRowFirstColumn="0" w:lastRowLastColumn="0"/>
            <w:tcBorders/>
          </w:tcPr>
          <w:p>
            <w:pPr>
              <w:pStyle w:val="Normal"/>
              <w:keepNext w:val="true"/>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Електронний кабінет не зберігає заповнену форму</w:t>
            </w:r>
          </w:p>
        </w:tc>
        <w:tc>
          <w:tcPr>
            <w:tcW w:w="1227"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6,7</w:t>
            </w:r>
          </w:p>
        </w:tc>
        <w:tc>
          <w:tcPr>
            <w:tcW w:w="1275"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13,8</w:t>
            </w:r>
          </w:p>
        </w:tc>
        <w:tc>
          <w:tcPr>
            <w:tcW w:w="1269"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7,7</w:t>
            </w:r>
          </w:p>
        </w:tc>
        <w:tc>
          <w:tcPr>
            <w:tcW w:w="1153"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9,3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710"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keepNext w:val="true"/>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 xml:space="preserve">На </w:t>
            </w:r>
            <w:r>
              <w:rPr>
                <w:rFonts w:eastAsia="SimSun" w:cs="Calibri" w:ascii="Times New Roman" w:hAnsi="Times New Roman" w:cstheme="minorHAnsi"/>
                <w:b w:val="false"/>
                <w:bCs w:val="false"/>
                <w:kern w:val="2"/>
                <w:sz w:val="18"/>
                <w:szCs w:val="22"/>
                <w:lang w:val="uk-UA" w:eastAsia="en-GB" w:bidi="ar-SA"/>
              </w:rPr>
              <w:t xml:space="preserve">веб-порталі </w:t>
            </w:r>
            <w:r>
              <w:rPr>
                <w:rFonts w:eastAsia="SimSun" w:cs="Calibri" w:cstheme="minorHAnsi"/>
                <w:b w:val="false"/>
                <w:bCs/>
                <w:kern w:val="2"/>
                <w:sz w:val="18"/>
                <w:szCs w:val="22"/>
                <w:lang w:val="uk-UA" w:eastAsia="en-GB" w:bidi="ar-SA"/>
              </w:rPr>
              <w:t>ДПС відсутні електронні форми</w:t>
            </w:r>
          </w:p>
        </w:tc>
        <w:tc>
          <w:tcPr>
            <w:tcW w:w="1227"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2,6</w:t>
            </w:r>
          </w:p>
        </w:tc>
        <w:tc>
          <w:tcPr>
            <w:tcW w:w="1275"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4,1</w:t>
            </w:r>
          </w:p>
        </w:tc>
        <w:tc>
          <w:tcPr>
            <w:tcW w:w="1269"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0,8</w:t>
            </w:r>
          </w:p>
        </w:tc>
        <w:tc>
          <w:tcPr>
            <w:tcW w:w="1153"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3,1</w:t>
            </w:r>
          </w:p>
        </w:tc>
      </w:tr>
      <w:tr>
        <w:trPr>
          <w:trHeight w:val="300" w:hRule="atLeast"/>
        </w:trPr>
        <w:tc>
          <w:tcPr>
            <w:tcW w:w="4710" w:type="dxa"/>
            <w:cnfStyle w:val="001000000000" w:firstRow="0" w:lastRow="0" w:firstColumn="1" w:lastColumn="0" w:oddVBand="0" w:evenVBand="0" w:oddHBand="0" w:evenHBand="0" w:firstRowFirstColumn="0" w:firstRowLastColumn="0" w:lastRowFirstColumn="0" w:lastRowLastColumn="0"/>
            <w:tcBorders/>
          </w:tcPr>
          <w:p>
            <w:pPr>
              <w:pStyle w:val="Normal"/>
              <w:keepNext w:val="true"/>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ДПС не отримує електронні форми податкової звітності</w:t>
            </w:r>
          </w:p>
        </w:tc>
        <w:tc>
          <w:tcPr>
            <w:tcW w:w="1227"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3,6</w:t>
            </w:r>
          </w:p>
        </w:tc>
        <w:tc>
          <w:tcPr>
            <w:tcW w:w="1275"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4,3</w:t>
            </w:r>
          </w:p>
        </w:tc>
        <w:tc>
          <w:tcPr>
            <w:tcW w:w="1269"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7,8</w:t>
            </w:r>
          </w:p>
        </w:tc>
        <w:tc>
          <w:tcPr>
            <w:tcW w:w="1153"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3,9</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710"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keepNext w:val="true"/>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Існує певна складність в отриманні онлайн-послуг</w:t>
            </w:r>
          </w:p>
        </w:tc>
        <w:tc>
          <w:tcPr>
            <w:tcW w:w="1227"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15,9</w:t>
            </w:r>
          </w:p>
        </w:tc>
        <w:tc>
          <w:tcPr>
            <w:tcW w:w="1275"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13,7</w:t>
            </w:r>
          </w:p>
        </w:tc>
        <w:tc>
          <w:tcPr>
            <w:tcW w:w="1269"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14,9</w:t>
            </w:r>
          </w:p>
        </w:tc>
        <w:tc>
          <w:tcPr>
            <w:tcW w:w="1153"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15</w:t>
            </w:r>
          </w:p>
        </w:tc>
      </w:tr>
      <w:tr>
        <w:trPr>
          <w:trHeight w:val="300" w:hRule="atLeast"/>
        </w:trPr>
        <w:tc>
          <w:tcPr>
            <w:tcW w:w="4710" w:type="dxa"/>
            <w:cnfStyle w:val="001000000000" w:firstRow="0" w:lastRow="0" w:firstColumn="1" w:lastColumn="0" w:oddVBand="0" w:evenVBand="0" w:oddHBand="0" w:evenHBand="0" w:firstRowFirstColumn="0" w:firstRowLastColumn="0" w:lastRowFirstColumn="0" w:lastRowLastColumn="0"/>
            <w:tcBorders/>
          </w:tcPr>
          <w:p>
            <w:pPr>
              <w:pStyle w:val="Normal"/>
              <w:keepNext w:val="true"/>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Інше</w:t>
            </w:r>
          </w:p>
        </w:tc>
        <w:tc>
          <w:tcPr>
            <w:tcW w:w="1227"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0,9</w:t>
            </w:r>
          </w:p>
        </w:tc>
        <w:tc>
          <w:tcPr>
            <w:tcW w:w="1275"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1,3</w:t>
            </w:r>
          </w:p>
        </w:tc>
        <w:tc>
          <w:tcPr>
            <w:tcW w:w="1269"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w:t>
            </w:r>
          </w:p>
        </w:tc>
        <w:tc>
          <w:tcPr>
            <w:tcW w:w="1153"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710"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keepNext w:val="true"/>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Не стикалися з жодною із зазначених проблем</w:t>
            </w:r>
          </w:p>
        </w:tc>
        <w:tc>
          <w:tcPr>
            <w:tcW w:w="1227"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23,7</w:t>
            </w:r>
          </w:p>
        </w:tc>
        <w:tc>
          <w:tcPr>
            <w:tcW w:w="1275"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22,6</w:t>
            </w:r>
          </w:p>
        </w:tc>
        <w:tc>
          <w:tcPr>
            <w:tcW w:w="1269"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26,9</w:t>
            </w:r>
          </w:p>
        </w:tc>
        <w:tc>
          <w:tcPr>
            <w:tcW w:w="1153"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23,4</w:t>
            </w:r>
          </w:p>
        </w:tc>
      </w:tr>
      <w:tr>
        <w:trPr>
          <w:trHeight w:val="300" w:hRule="atLeast"/>
        </w:trPr>
        <w:tc>
          <w:tcPr>
            <w:tcW w:w="4710" w:type="dxa"/>
            <w:cnfStyle w:val="001000000000" w:firstRow="0" w:lastRow="0" w:firstColumn="1" w:lastColumn="0" w:oddVBand="0" w:evenVBand="0" w:oddHBand="0" w:evenHBand="0" w:firstRowFirstColumn="0" w:firstRowLastColumn="0" w:lastRowFirstColumn="0" w:lastRowLastColumn="0"/>
            <w:tcBorders/>
          </w:tcPr>
          <w:p>
            <w:pPr>
              <w:pStyle w:val="Normal"/>
              <w:keepNext w:val="true"/>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Не подавали в електронному форматі</w:t>
            </w:r>
          </w:p>
        </w:tc>
        <w:tc>
          <w:tcPr>
            <w:tcW w:w="1227"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0,7</w:t>
            </w:r>
          </w:p>
        </w:tc>
        <w:tc>
          <w:tcPr>
            <w:tcW w:w="1275"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0,2</w:t>
            </w:r>
          </w:p>
        </w:tc>
        <w:tc>
          <w:tcPr>
            <w:tcW w:w="1269"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w:t>
            </w:r>
          </w:p>
        </w:tc>
        <w:tc>
          <w:tcPr>
            <w:tcW w:w="1153"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710"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keepNext w:val="true"/>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Не знають</w:t>
            </w:r>
          </w:p>
        </w:tc>
        <w:tc>
          <w:tcPr>
            <w:tcW w:w="1227"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10</w:t>
            </w:r>
          </w:p>
        </w:tc>
        <w:tc>
          <w:tcPr>
            <w:tcW w:w="1275"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6,7</w:t>
            </w:r>
          </w:p>
        </w:tc>
        <w:tc>
          <w:tcPr>
            <w:tcW w:w="1269"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8,2</w:t>
            </w:r>
          </w:p>
        </w:tc>
        <w:tc>
          <w:tcPr>
            <w:tcW w:w="1153"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8,7</w:t>
            </w:r>
          </w:p>
        </w:tc>
      </w:tr>
      <w:tr>
        <w:trPr>
          <w:trHeight w:val="300" w:hRule="atLeast"/>
        </w:trPr>
        <w:tc>
          <w:tcPr>
            <w:tcW w:w="4710" w:type="dxa"/>
            <w:cnfStyle w:val="001000000000" w:firstRow="0" w:lastRow="0" w:firstColumn="1" w:lastColumn="0" w:oddVBand="0" w:evenVBand="0" w:oddHBand="0" w:evenHBand="0" w:firstRowFirstColumn="0" w:firstRowLastColumn="0" w:lastRowFirstColumn="0" w:lastRowLastColumn="0"/>
            <w:tcBorders/>
          </w:tcPr>
          <w:p>
            <w:pPr>
              <w:pStyle w:val="Normal"/>
              <w:keepNext w:val="true"/>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Відмовились відповідати</w:t>
            </w:r>
          </w:p>
        </w:tc>
        <w:tc>
          <w:tcPr>
            <w:tcW w:w="1227"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3,1</w:t>
            </w:r>
          </w:p>
        </w:tc>
        <w:tc>
          <w:tcPr>
            <w:tcW w:w="1275"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0,7</w:t>
            </w:r>
          </w:p>
        </w:tc>
        <w:tc>
          <w:tcPr>
            <w:tcW w:w="1269"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0,3</w:t>
            </w:r>
          </w:p>
        </w:tc>
        <w:tc>
          <w:tcPr>
            <w:tcW w:w="1153"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710"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keepNext w:val="true"/>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Неприйняття електронного цифрового підпису (ЕЦП) або проблеми в системі ЕЦП</w:t>
            </w:r>
          </w:p>
        </w:tc>
        <w:tc>
          <w:tcPr>
            <w:tcW w:w="1227"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1,1</w:t>
            </w:r>
          </w:p>
        </w:tc>
        <w:tc>
          <w:tcPr>
            <w:tcW w:w="1275"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0,1</w:t>
            </w:r>
          </w:p>
        </w:tc>
        <w:tc>
          <w:tcPr>
            <w:tcW w:w="1269"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w:t>
            </w:r>
          </w:p>
        </w:tc>
        <w:tc>
          <w:tcPr>
            <w:tcW w:w="1153"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0,7</w:t>
            </w:r>
          </w:p>
        </w:tc>
      </w:tr>
    </w:tbl>
    <w:p>
      <w:pPr>
        <w:pStyle w:val="ListParagraph"/>
        <w:ind w:left="360"/>
        <w:jc w:val="both"/>
        <w:rPr>
          <w:rFonts w:cs="Calibri" w:cstheme="minorHAnsi"/>
          <w:lang w:val="uk-UA"/>
        </w:rPr>
      </w:pPr>
      <w:r>
        <w:rPr>
          <w:rFonts w:cs="Calibri" w:cstheme="minorHAnsi"/>
          <w:lang w:val="uk-UA"/>
        </w:rPr>
      </w:r>
    </w:p>
    <w:p>
      <w:pPr>
        <w:pStyle w:val="ListParagraph"/>
        <w:numPr>
          <w:ilvl w:val="0"/>
          <w:numId w:val="2"/>
        </w:numPr>
        <w:jc w:val="both"/>
        <w:rPr>
          <w:rFonts w:cs="Calibri" w:cstheme="minorHAnsi"/>
          <w:lang w:val="uk-UA"/>
        </w:rPr>
      </w:pPr>
      <w:r>
        <w:rPr>
          <w:b/>
          <w:bCs/>
          <w:lang w:val="uk-UA"/>
        </w:rPr>
        <w:t xml:space="preserve">Характер проблем, пов'язаних з електронним поданням звітності, варіюється залежно від розміру та типу підприємства. </w:t>
      </w:r>
      <w:r>
        <w:rPr>
          <w:lang w:val="uk-UA"/>
        </w:rPr>
        <w:t>Малі підприємства, особливо ті, що не мають найманих працівників (43,1%) та мають до 50 працівників (52,7%), заявили, що зіткнулися з найбільшою кількістю логічних помилок, тоді як великі підприємства (понад 50 працівників) повідомили про меншу кількість логічних помилок (31,1%). Відсутність інформаційних повідомлень від ДПС більше вплинула на фізичних осіб-підприємців (20,3%) порівняно з юридичними особами (12,2%). Юридичні особи частіше стикалися з тим, що електронний кабінет не зберігав заповнені форми (12,6% проти 4,2% для ФОП).</w:t>
      </w:r>
    </w:p>
    <w:p>
      <w:pPr>
        <w:pStyle w:val="ListParagraph"/>
        <w:numPr>
          <w:ilvl w:val="0"/>
          <w:numId w:val="2"/>
        </w:numPr>
        <w:jc w:val="both"/>
        <w:rPr>
          <w:rFonts w:cs="Calibri" w:cstheme="minorHAnsi"/>
          <w:lang w:val="uk-UA"/>
        </w:rPr>
      </w:pPr>
      <w:r>
        <w:rPr>
          <w:rFonts w:eastAsia="Calibri" w:cs="Calibri" w:cstheme="minorHAnsi"/>
          <w:b/>
          <w:bCs/>
          <w:lang w:val="uk-UA"/>
        </w:rPr>
        <w:t>Відносна важливість перешкод для ведення бізнесу змінилася у 2023 році порівняно з 2021 роком</w:t>
      </w:r>
      <w:r>
        <w:rPr>
          <w:rFonts w:eastAsia="Calibri" w:cs="Calibri" w:cstheme="minorHAnsi"/>
          <w:lang w:val="uk-UA"/>
        </w:rPr>
        <w:t xml:space="preserve">. У 2023 році найбільш критичною проблемою була низька купівельна спроможність споживачів, про що повідомили 41,8% респондентів порівняно з 29,3% у 2021 році (Рисунок 19). Корупція в дозвільних органах і муніципальній владі залишалася основною проблемою, яку відзначили 25,9% учасників (31,3% у 2021 році). Брак кваліфікованої робочої сили був перешкодою для 24,2% (15,8 у 2021 році), а складність законів та нормативно-правових актів була проблемою для 23,0% респондентів. Проблеми з електропостачанням назвали перешкодою лише 5,4 відсотка респондентів у 2021 році, тоді як у 2023 році їхня частка зросла до 29,6 відсотка. </w:t>
      </w:r>
    </w:p>
    <w:p>
      <w:pPr>
        <w:pStyle w:val="Normal"/>
        <w:suppressAutoHyphens w:val="false"/>
        <w:rPr>
          <w:b/>
          <w:bCs/>
          <w:lang w:val="uk-UA"/>
        </w:rPr>
      </w:pPr>
      <w:r>
        <w:rPr>
          <w:b/>
          <w:bCs/>
          <w:lang w:val="uk-UA"/>
        </w:rPr>
      </w:r>
      <w:r>
        <w:br w:type="page"/>
      </w:r>
    </w:p>
    <w:p>
      <w:pPr>
        <w:pStyle w:val="Normal"/>
        <w:spacing w:before="0" w:after="0"/>
        <w:ind w:right="281"/>
        <w:jc w:val="both"/>
        <w:rPr>
          <w:b/>
          <w:bCs/>
          <w:lang w:val="uk-UA"/>
        </w:rPr>
      </w:pPr>
      <w:r>
        <w:rPr>
          <w:b/>
          <w:bCs/>
          <w:lang w:val="uk-UA"/>
        </w:rPr>
        <w:t>Рисунок 19. Найсерйозніші перешкоди для здійснення господарської діяльності в Україні у 2021 та 2023 роках</w:t>
      </w:r>
    </w:p>
    <w:p>
      <w:pPr>
        <w:pStyle w:val="Normal"/>
        <w:spacing w:before="120" w:after="120"/>
        <w:ind w:right="288"/>
        <w:jc w:val="both"/>
        <w:rPr>
          <w:rFonts w:eastAsia="Calibri" w:cs="Calibri" w:cstheme="minorHAnsi"/>
          <w:b/>
          <w:bCs/>
          <w:lang w:val="uk-UA"/>
        </w:rPr>
      </w:pPr>
      <w:r>
        <w:rPr/>
        <mc:AlternateContent>
          <mc:Choice Requires="wps">
            <w:drawing>
              <wp:anchor behindDoc="0" distT="0" distB="0" distL="0" distR="1270" simplePos="0" locked="0" layoutInCell="1" allowOverlap="1" relativeHeight="57" wp14:anchorId="30454A82">
                <wp:simplePos x="0" y="0"/>
                <wp:positionH relativeFrom="column">
                  <wp:posOffset>-235585</wp:posOffset>
                </wp:positionH>
                <wp:positionV relativeFrom="paragraph">
                  <wp:posOffset>128270</wp:posOffset>
                </wp:positionV>
                <wp:extent cx="2970530" cy="2598420"/>
                <wp:effectExtent l="0" t="0" r="0" b="0"/>
                <wp:wrapNone/>
                <wp:docPr id="42" name="Text Box 2"/>
                <a:graphic xmlns:a="http://schemas.openxmlformats.org/drawingml/2006/main">
                  <a:graphicData uri="http://schemas.microsoft.com/office/word/2010/wordprocessingShape">
                    <wps:wsp>
                      <wps:cNvSpPr/>
                      <wps:spPr>
                        <a:xfrm>
                          <a:off x="0" y="0"/>
                          <a:ext cx="2970360" cy="2598480"/>
                        </a:xfrm>
                        <a:prstGeom prst="rect">
                          <a:avLst/>
                        </a:prstGeom>
                        <a:solidFill>
                          <a:srgbClr val="ffffff"/>
                        </a:solidFill>
                        <a:ln w="9525">
                          <a:noFill/>
                        </a:ln>
                      </wps:spPr>
                      <wps:style>
                        <a:lnRef idx="0"/>
                        <a:fillRef idx="0"/>
                        <a:effectRef idx="0"/>
                        <a:fontRef idx="minor"/>
                      </wps:style>
                      <wps:txbx>
                        <w:txbxContent>
                          <w:p>
                            <w:pPr>
                              <w:pStyle w:val="82"/>
                              <w:spacing w:before="0" w:after="160"/>
                              <w:rPr>
                                <w:sz w:val="15"/>
                                <w:szCs w:val="15"/>
                                <w:lang w:val="uk-UA"/>
                              </w:rPr>
                            </w:pPr>
                            <w:r>
                              <w:rPr>
                                <w:color w:val="2D2D2E"/>
                                <w:sz w:val="15"/>
                                <w:szCs w:val="15"/>
                                <w:lang w:val="uk-UA"/>
                              </w:rPr>
                              <w:t>Високі податки</w:t>
                            </w:r>
                          </w:p>
                          <w:p>
                            <w:pPr>
                              <w:pStyle w:val="82"/>
                              <w:spacing w:lineRule="auto" w:line="220" w:before="0" w:after="160"/>
                              <w:rPr>
                                <w:sz w:val="15"/>
                                <w:szCs w:val="15"/>
                                <w:lang w:val="uk-UA"/>
                              </w:rPr>
                            </w:pPr>
                            <w:r>
                              <w:rPr>
                                <w:color w:val="2D2D2E"/>
                                <w:sz w:val="15"/>
                                <w:szCs w:val="15"/>
                                <w:lang w:val="uk-UA"/>
                              </w:rPr>
                              <w:t>Втрата споживчого попиту на продукцію бізнесу, необхідність переорієнтації бізнесу</w:t>
                            </w:r>
                          </w:p>
                          <w:p>
                            <w:pPr>
                              <w:pStyle w:val="82"/>
                              <w:spacing w:before="0" w:after="160"/>
                              <w:rPr>
                                <w:sz w:val="15"/>
                                <w:szCs w:val="15"/>
                                <w:lang w:val="uk-UA"/>
                              </w:rPr>
                            </w:pPr>
                            <w:r>
                              <w:rPr>
                                <w:color w:val="2D2D2E"/>
                                <w:sz w:val="15"/>
                                <w:szCs w:val="15"/>
                                <w:lang w:val="uk-UA"/>
                              </w:rPr>
                              <w:t>Труднощі з дотриманням податкового законодавства</w:t>
                            </w:r>
                          </w:p>
                          <w:p>
                            <w:pPr>
                              <w:pStyle w:val="82"/>
                              <w:spacing w:before="0" w:after="160"/>
                              <w:ind w:left="920"/>
                              <w:rPr>
                                <w:sz w:val="15"/>
                                <w:szCs w:val="15"/>
                                <w:lang w:val="uk-UA"/>
                              </w:rPr>
                            </w:pPr>
                            <w:r>
                              <w:rPr>
                                <w:color w:val="2D2D2E"/>
                                <w:sz w:val="15"/>
                                <w:szCs w:val="15"/>
                                <w:lang w:val="uk-UA"/>
                              </w:rPr>
                              <w:t>Брак коштів, труднощі з отриманням додаткового фінансування</w:t>
                            </w:r>
                          </w:p>
                          <w:p>
                            <w:pPr>
                              <w:pStyle w:val="82"/>
                              <w:spacing w:before="0" w:after="240"/>
                              <w:rPr>
                                <w:sz w:val="15"/>
                                <w:szCs w:val="15"/>
                                <w:lang w:val="uk-UA"/>
                              </w:rPr>
                            </w:pPr>
                            <w:r>
                              <w:rPr>
                                <w:color w:val="2D2D2E"/>
                                <w:sz w:val="15"/>
                                <w:szCs w:val="15"/>
                                <w:lang w:val="uk-UA"/>
                              </w:rPr>
                              <w:t>Складність законів та нормативно-правових актів</w:t>
                            </w:r>
                          </w:p>
                          <w:p>
                            <w:pPr>
                              <w:pStyle w:val="82"/>
                              <w:spacing w:before="0" w:after="160"/>
                              <w:rPr>
                                <w:sz w:val="15"/>
                                <w:szCs w:val="15"/>
                                <w:lang w:val="uk-UA"/>
                              </w:rPr>
                            </w:pPr>
                            <w:r>
                              <w:rPr>
                                <w:color w:val="2D2D2E"/>
                                <w:sz w:val="15"/>
                                <w:szCs w:val="15"/>
                                <w:lang w:val="uk-UA"/>
                              </w:rPr>
                              <w:t>Брак кваліфікованої робочої сили</w:t>
                            </w:r>
                          </w:p>
                          <w:p>
                            <w:pPr>
                              <w:pStyle w:val="82"/>
                              <w:spacing w:before="0" w:after="60"/>
                              <w:rPr>
                                <w:sz w:val="15"/>
                                <w:szCs w:val="15"/>
                                <w:lang w:val="uk-UA"/>
                              </w:rPr>
                            </w:pPr>
                            <w:r>
                              <w:rPr>
                                <w:color w:val="2D2D2E"/>
                                <w:sz w:val="15"/>
                                <w:szCs w:val="15"/>
                                <w:lang w:val="uk-UA"/>
                              </w:rPr>
                              <w:t>Корупція в дозвільних органах, органах місцевого самоврядування та інших органах державної влади</w:t>
                            </w:r>
                          </w:p>
                          <w:p>
                            <w:pPr>
                              <w:pStyle w:val="82"/>
                              <w:spacing w:before="0" w:after="160"/>
                              <w:ind w:left="920"/>
                              <w:rPr>
                                <w:sz w:val="15"/>
                                <w:szCs w:val="15"/>
                                <w:lang w:val="uk-UA"/>
                              </w:rPr>
                            </w:pPr>
                            <w:r>
                              <w:rPr>
                                <w:color w:val="2D2D2E"/>
                                <w:sz w:val="15"/>
                                <w:szCs w:val="15"/>
                                <w:lang w:val="uk-UA"/>
                              </w:rPr>
                              <w:t>Політичні ризики або політична нестабільність у країні чи регіоні</w:t>
                            </w:r>
                          </w:p>
                          <w:p>
                            <w:pPr>
                              <w:pStyle w:val="82"/>
                              <w:spacing w:before="0" w:after="240"/>
                              <w:rPr>
                                <w:sz w:val="15"/>
                                <w:szCs w:val="15"/>
                                <w:lang w:val="uk-UA"/>
                              </w:rPr>
                            </w:pPr>
                            <w:r>
                              <w:rPr>
                                <w:color w:val="2D2D2E"/>
                                <w:sz w:val="15"/>
                                <w:szCs w:val="15"/>
                                <w:lang w:val="uk-UA"/>
                              </w:rPr>
                              <w:t>Проблеми з електропостачанням</w:t>
                            </w:r>
                          </w:p>
                          <w:p>
                            <w:pPr>
                              <w:pStyle w:val="82"/>
                              <w:spacing w:before="0" w:after="240"/>
                              <w:rPr>
                                <w:color w:val="2D2D2E"/>
                                <w:sz w:val="15"/>
                                <w:szCs w:val="15"/>
                                <w:lang w:val="uk-UA"/>
                              </w:rPr>
                            </w:pPr>
                            <w:r>
                              <w:rPr>
                                <w:color w:val="2D2D2E"/>
                                <w:sz w:val="15"/>
                                <w:szCs w:val="15"/>
                                <w:lang w:val="uk-UA"/>
                              </w:rPr>
                              <w:t>Низька купівельна спроможність споживачів</w:t>
                            </w:r>
                          </w:p>
                        </w:txbxContent>
                      </wps:txbx>
                      <wps:bodyPr anchor="t">
                        <a:noAutofit/>
                      </wps:bodyPr>
                    </wps:wsp>
                  </a:graphicData>
                </a:graphic>
              </wp:anchor>
            </w:drawing>
          </mc:Choice>
          <mc:Fallback>
            <w:pict>
              <v:rect id="shape_0" ID="Text Box 2" path="m0,0l-2147483645,0l-2147483645,-2147483646l0,-2147483646xe" fillcolor="white" stroked="f" o:allowincell="f" style="position:absolute;margin-left:-18.55pt;margin-top:10.1pt;width:233.85pt;height:204.55pt;mso-wrap-style:square;v-text-anchor:top" wp14:anchorId="30454A82">
                <v:fill o:detectmouseclick="t" type="solid" color2="black"/>
                <v:stroke color="#3465a4" weight="9360" joinstyle="miter" endcap="flat"/>
                <v:textbox>
                  <w:txbxContent>
                    <w:p>
                      <w:pPr>
                        <w:pStyle w:val="82"/>
                        <w:spacing w:before="0" w:after="160"/>
                        <w:rPr>
                          <w:sz w:val="15"/>
                          <w:szCs w:val="15"/>
                          <w:lang w:val="uk-UA"/>
                        </w:rPr>
                      </w:pPr>
                      <w:r>
                        <w:rPr>
                          <w:color w:val="2D2D2E"/>
                          <w:sz w:val="15"/>
                          <w:szCs w:val="15"/>
                          <w:lang w:val="uk-UA"/>
                        </w:rPr>
                        <w:t>Високі податки</w:t>
                      </w:r>
                    </w:p>
                    <w:p>
                      <w:pPr>
                        <w:pStyle w:val="82"/>
                        <w:spacing w:lineRule="auto" w:line="220" w:before="0" w:after="160"/>
                        <w:rPr>
                          <w:sz w:val="15"/>
                          <w:szCs w:val="15"/>
                          <w:lang w:val="uk-UA"/>
                        </w:rPr>
                      </w:pPr>
                      <w:r>
                        <w:rPr>
                          <w:color w:val="2D2D2E"/>
                          <w:sz w:val="15"/>
                          <w:szCs w:val="15"/>
                          <w:lang w:val="uk-UA"/>
                        </w:rPr>
                        <w:t>Втрата споживчого попиту на продукцію бізнесу, необхідність переорієнтації бізнесу</w:t>
                      </w:r>
                    </w:p>
                    <w:p>
                      <w:pPr>
                        <w:pStyle w:val="82"/>
                        <w:spacing w:before="0" w:after="160"/>
                        <w:rPr>
                          <w:sz w:val="15"/>
                          <w:szCs w:val="15"/>
                          <w:lang w:val="uk-UA"/>
                        </w:rPr>
                      </w:pPr>
                      <w:r>
                        <w:rPr>
                          <w:color w:val="2D2D2E"/>
                          <w:sz w:val="15"/>
                          <w:szCs w:val="15"/>
                          <w:lang w:val="uk-UA"/>
                        </w:rPr>
                        <w:t>Труднощі з дотриманням податкового законодавства</w:t>
                      </w:r>
                    </w:p>
                    <w:p>
                      <w:pPr>
                        <w:pStyle w:val="82"/>
                        <w:spacing w:before="0" w:after="160"/>
                        <w:ind w:left="920"/>
                        <w:rPr>
                          <w:sz w:val="15"/>
                          <w:szCs w:val="15"/>
                          <w:lang w:val="uk-UA"/>
                        </w:rPr>
                      </w:pPr>
                      <w:r>
                        <w:rPr>
                          <w:color w:val="2D2D2E"/>
                          <w:sz w:val="15"/>
                          <w:szCs w:val="15"/>
                          <w:lang w:val="uk-UA"/>
                        </w:rPr>
                        <w:t>Брак коштів, труднощі з отриманням додаткового фінансування</w:t>
                      </w:r>
                    </w:p>
                    <w:p>
                      <w:pPr>
                        <w:pStyle w:val="82"/>
                        <w:spacing w:before="0" w:after="240"/>
                        <w:rPr>
                          <w:sz w:val="15"/>
                          <w:szCs w:val="15"/>
                          <w:lang w:val="uk-UA"/>
                        </w:rPr>
                      </w:pPr>
                      <w:r>
                        <w:rPr>
                          <w:color w:val="2D2D2E"/>
                          <w:sz w:val="15"/>
                          <w:szCs w:val="15"/>
                          <w:lang w:val="uk-UA"/>
                        </w:rPr>
                        <w:t>Складність законів та нормативно-правових актів</w:t>
                      </w:r>
                    </w:p>
                    <w:p>
                      <w:pPr>
                        <w:pStyle w:val="82"/>
                        <w:spacing w:before="0" w:after="160"/>
                        <w:rPr>
                          <w:sz w:val="15"/>
                          <w:szCs w:val="15"/>
                          <w:lang w:val="uk-UA"/>
                        </w:rPr>
                      </w:pPr>
                      <w:r>
                        <w:rPr>
                          <w:color w:val="2D2D2E"/>
                          <w:sz w:val="15"/>
                          <w:szCs w:val="15"/>
                          <w:lang w:val="uk-UA"/>
                        </w:rPr>
                        <w:t>Брак кваліфікованої робочої сили</w:t>
                      </w:r>
                    </w:p>
                    <w:p>
                      <w:pPr>
                        <w:pStyle w:val="82"/>
                        <w:spacing w:before="0" w:after="60"/>
                        <w:rPr>
                          <w:sz w:val="15"/>
                          <w:szCs w:val="15"/>
                          <w:lang w:val="uk-UA"/>
                        </w:rPr>
                      </w:pPr>
                      <w:r>
                        <w:rPr>
                          <w:color w:val="2D2D2E"/>
                          <w:sz w:val="15"/>
                          <w:szCs w:val="15"/>
                          <w:lang w:val="uk-UA"/>
                        </w:rPr>
                        <w:t>Корупція в дозвільних органах, органах місцевого самоврядування та інших органах державної влади</w:t>
                      </w:r>
                    </w:p>
                    <w:p>
                      <w:pPr>
                        <w:pStyle w:val="82"/>
                        <w:spacing w:before="0" w:after="160"/>
                        <w:ind w:left="920"/>
                        <w:rPr>
                          <w:sz w:val="15"/>
                          <w:szCs w:val="15"/>
                          <w:lang w:val="uk-UA"/>
                        </w:rPr>
                      </w:pPr>
                      <w:r>
                        <w:rPr>
                          <w:color w:val="2D2D2E"/>
                          <w:sz w:val="15"/>
                          <w:szCs w:val="15"/>
                          <w:lang w:val="uk-UA"/>
                        </w:rPr>
                        <w:t>Політичні ризики або політична нестабільність у країні чи регіоні</w:t>
                      </w:r>
                    </w:p>
                    <w:p>
                      <w:pPr>
                        <w:pStyle w:val="82"/>
                        <w:spacing w:before="0" w:after="240"/>
                        <w:rPr>
                          <w:sz w:val="15"/>
                          <w:szCs w:val="15"/>
                          <w:lang w:val="uk-UA"/>
                        </w:rPr>
                      </w:pPr>
                      <w:r>
                        <w:rPr>
                          <w:color w:val="2D2D2E"/>
                          <w:sz w:val="15"/>
                          <w:szCs w:val="15"/>
                          <w:lang w:val="uk-UA"/>
                        </w:rPr>
                        <w:t>Проблеми з електропостачанням</w:t>
                      </w:r>
                    </w:p>
                    <w:p>
                      <w:pPr>
                        <w:pStyle w:val="82"/>
                        <w:spacing w:before="0" w:after="240"/>
                        <w:rPr>
                          <w:color w:val="2D2D2E"/>
                          <w:sz w:val="15"/>
                          <w:szCs w:val="15"/>
                          <w:lang w:val="uk-UA"/>
                        </w:rPr>
                      </w:pPr>
                      <w:r>
                        <w:rPr>
                          <w:color w:val="2D2D2E"/>
                          <w:sz w:val="15"/>
                          <w:szCs w:val="15"/>
                          <w:lang w:val="uk-UA"/>
                        </w:rPr>
                        <w:t>Низька купівельна спроможність споживачів</w:t>
                      </w:r>
                    </w:p>
                  </w:txbxContent>
                </v:textbox>
                <w10:wrap type="none"/>
              </v:rect>
            </w:pict>
          </mc:Fallback>
        </mc:AlternateContent>
        <w:drawing>
          <wp:inline distT="0" distB="0" distL="0" distR="0">
            <wp:extent cx="5943600" cy="2926715"/>
            <wp:effectExtent l="0" t="0" r="0" b="0"/>
            <wp:docPr id="43" name="Image8"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8" descr="A graph with numbers and text&#10;&#10;Description automatically generated with medium confidence"/>
                    <pic:cNvPicPr>
                      <a:picLocks noChangeAspect="1" noChangeArrowheads="1"/>
                    </pic:cNvPicPr>
                  </pic:nvPicPr>
                  <pic:blipFill>
                    <a:blip r:embed="rId36"/>
                    <a:stretch>
                      <a:fillRect/>
                    </a:stretch>
                  </pic:blipFill>
                  <pic:spPr bwMode="auto">
                    <a:xfrm>
                      <a:off x="0" y="0"/>
                      <a:ext cx="5943600" cy="2926715"/>
                    </a:xfrm>
                    <a:prstGeom prst="rect">
                      <a:avLst/>
                    </a:prstGeom>
                  </pic:spPr>
                </pic:pic>
              </a:graphicData>
            </a:graphic>
          </wp:inline>
        </w:drawing>
      </w:r>
    </w:p>
    <w:p>
      <w:pPr>
        <w:pStyle w:val="Heading3"/>
        <w:spacing w:before="120" w:after="120"/>
        <w:rPr>
          <w:lang w:val="ru-RU"/>
        </w:rPr>
      </w:pPr>
      <w:bookmarkStart w:id="29" w:name="_Toc185882881"/>
      <w:r>
        <w:rPr>
          <w:lang w:val="ru-RU"/>
        </w:rPr>
        <w:t>Сприйняття загального та спрощеного режимів оподаткування</w:t>
      </w:r>
      <w:bookmarkEnd w:id="29"/>
    </w:p>
    <w:p>
      <w:pPr>
        <w:pStyle w:val="ListParagraph"/>
        <w:numPr>
          <w:ilvl w:val="0"/>
          <w:numId w:val="2"/>
        </w:numPr>
        <w:jc w:val="both"/>
        <w:rPr>
          <w:rFonts w:cs="Calibri" w:cstheme="minorHAnsi"/>
          <w:lang w:val="uk-UA"/>
        </w:rPr>
      </w:pPr>
      <w:r>
        <w:rPr>
          <w:rStyle w:val="Strong"/>
          <w:lang w:val="uk-UA"/>
        </w:rPr>
        <w:t xml:space="preserve">Нижчі податкові платежі були визначені як основна перевага для бізнесу на спрощеній системі оподаткування. </w:t>
      </w:r>
      <w:r>
        <w:rPr>
          <w:lang w:val="uk-UA"/>
        </w:rPr>
        <w:t>Підприємства на спрощеній системі оподаткування без ПДВ найчастіше називали нижчу загальну суму податків як ключову перевагу (55,7%), тоді як ті, що працюють на спрощеній системі з ПДВ, наголошували на зменшенні витрат на ведення податкового обліку (40,8%). Підприємці на загальній системі оподаткування з ПДВ цінують можливість працювати з більшою кількістю компаній (26,2%). Респонденти на загальній системі оподаткування, як з ПДВ, так і без нього, не зазначили жодних переваг (47,3% та 35,8% відповідно). Менша ймовірність перевірок та менша увага з боку податкових органів також розглядалися як переваги здебільшого на спрощеній системі оподаткування без ПДВ (див. Таблицю 13).</w:t>
      </w:r>
      <w:bookmarkStart w:id="30" w:name="_Ref175228256"/>
    </w:p>
    <w:p>
      <w:pPr>
        <w:pStyle w:val="Normal"/>
        <w:jc w:val="both"/>
        <w:rPr>
          <w:b/>
          <w:bCs/>
          <w:i/>
          <w:i/>
          <w:iCs/>
          <w:vertAlign w:val="superscript"/>
          <w:lang w:val="uk-UA"/>
        </w:rPr>
      </w:pPr>
      <w:r>
        <w:rPr>
          <w:b/>
          <w:bCs/>
          <w:lang w:val="uk-UA"/>
        </w:rPr>
        <w:t>Таблиця</w:t>
      </w:r>
      <w:bookmarkEnd w:id="30"/>
      <w:r>
        <w:rPr>
          <w:b/>
          <w:bCs/>
          <w:i/>
          <w:iCs/>
          <w:lang w:val="uk-UA"/>
        </w:rPr>
        <w:t xml:space="preserve"> </w:t>
      </w:r>
      <w:r>
        <w:rPr>
          <w:b/>
          <w:bCs/>
          <w:lang w:val="uk-UA"/>
        </w:rPr>
        <w:t>13. Основні переваги режимів оподаткування</w:t>
      </w:r>
      <w:r>
        <w:rPr>
          <w:b/>
          <w:bCs/>
          <w:i/>
          <w:iCs/>
          <w:lang w:val="uk-UA"/>
        </w:rPr>
        <w:t xml:space="preserve"> </w:t>
      </w:r>
      <w:r>
        <w:rPr>
          <w:b/>
          <w:bCs/>
          <w:lang w:val="uk-UA"/>
        </w:rPr>
        <w:t>у 2023 році</w:t>
      </w:r>
      <w:r>
        <w:rPr>
          <w:b/>
          <w:bCs/>
          <w:i/>
          <w:iCs/>
          <w:lang w:val="uk-UA"/>
        </w:rPr>
        <w:t xml:space="preserve"> (відсоток респондентів, зареєстрованих на тому чи іншому режимі) </w:t>
      </w:r>
      <w:r>
        <w:rPr>
          <w:rStyle w:val="FootnoteReference"/>
          <w:b/>
          <w:bCs/>
          <w:vertAlign w:val="superscript"/>
          <w:lang w:val="uk-UA"/>
        </w:rPr>
        <w:footnoteReference w:id="14"/>
      </w:r>
    </w:p>
    <w:tbl>
      <w:tblPr>
        <w:tblStyle w:val="GridTable4Accent1"/>
        <w:tblW w:w="963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193"/>
        <w:gridCol w:w="1540"/>
        <w:gridCol w:w="1648"/>
        <w:gridCol w:w="1560"/>
        <w:gridCol w:w="1560"/>
        <w:gridCol w:w="1132"/>
      </w:tblGrid>
      <w:tr>
        <w:trPr>
          <w:tblHeader w:val="true"/>
          <w:trHeight w:val="300" w:hRule="atLeast"/>
          <w:cnfStyle w:val="100000000000" w:firstRow="1" w:lastRow="0" w:firstColumn="0" w:lastColumn="0" w:oddVBand="0" w:evenVBand="0" w:oddHBand="0" w:evenHBand="0" w:firstRowFirstColumn="0" w:firstRowLastColumn="0" w:lastRowFirstColumn="0" w:lastRowLastColumn="0"/>
        </w:trPr>
        <w:tc>
          <w:tcPr>
            <w:tcW w:w="2193"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r>
          </w:p>
        </w:tc>
        <w:tc>
          <w:tcPr>
            <w:tcW w:w="1540"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Загальний режим оподаткування з ПДВ</w:t>
            </w:r>
          </w:p>
        </w:tc>
        <w:tc>
          <w:tcPr>
            <w:tcW w:w="1648"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Загальний режим оподаткування без ПДВ</w:t>
            </w:r>
          </w:p>
        </w:tc>
        <w:tc>
          <w:tcPr>
            <w:tcW w:w="1560"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Єдиний податок (спрощена система оподаткування) з ПДВ</w:t>
            </w:r>
          </w:p>
        </w:tc>
        <w:tc>
          <w:tcPr>
            <w:tcW w:w="1560"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Єдиний податок (спрощена система оподаткування) без ПДВ</w:t>
            </w:r>
          </w:p>
        </w:tc>
        <w:tc>
          <w:tcPr>
            <w:tcW w:w="1132"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Загалом</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1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r>
          </w:p>
        </w:tc>
        <w:tc>
          <w:tcPr>
            <w:tcW w:w="154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 xml:space="preserve"> </w:t>
            </w:r>
            <w:r>
              <w:rPr>
                <w:rFonts w:eastAsia="SimSun" w:cs="Calibri" w:cstheme="minorHAnsi"/>
                <w:kern w:val="2"/>
                <w:sz w:val="18"/>
                <w:szCs w:val="22"/>
                <w:lang w:val="uk-UA" w:eastAsia="en-GB" w:bidi="ar-SA"/>
              </w:rPr>
              <w:t>відсоток</w:t>
            </w:r>
          </w:p>
        </w:tc>
        <w:tc>
          <w:tcPr>
            <w:tcW w:w="164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 xml:space="preserve"> </w:t>
            </w:r>
            <w:r>
              <w:rPr>
                <w:rFonts w:eastAsia="SimSun" w:cs="Calibri" w:cstheme="minorHAnsi"/>
                <w:kern w:val="2"/>
                <w:sz w:val="18"/>
                <w:szCs w:val="22"/>
                <w:lang w:val="uk-UA" w:eastAsia="en-GB" w:bidi="ar-SA"/>
              </w:rPr>
              <w:t>відсоток</w:t>
            </w:r>
          </w:p>
        </w:tc>
        <w:tc>
          <w:tcPr>
            <w:tcW w:w="156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 xml:space="preserve"> </w:t>
            </w:r>
            <w:r>
              <w:rPr>
                <w:rFonts w:eastAsia="SimSun" w:cs="Calibri" w:cstheme="minorHAnsi"/>
                <w:kern w:val="2"/>
                <w:sz w:val="18"/>
                <w:szCs w:val="22"/>
                <w:lang w:val="uk-UA" w:eastAsia="en-GB" w:bidi="ar-SA"/>
              </w:rPr>
              <w:t>відсоток</w:t>
            </w:r>
          </w:p>
        </w:tc>
        <w:tc>
          <w:tcPr>
            <w:tcW w:w="156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 xml:space="preserve"> </w:t>
            </w:r>
            <w:r>
              <w:rPr>
                <w:rFonts w:eastAsia="SimSun" w:cs="Calibri" w:cstheme="minorHAnsi"/>
                <w:kern w:val="2"/>
                <w:sz w:val="18"/>
                <w:szCs w:val="22"/>
                <w:lang w:val="uk-UA" w:eastAsia="en-GB" w:bidi="ar-SA"/>
              </w:rPr>
              <w:t>відсоток</w:t>
            </w:r>
          </w:p>
        </w:tc>
        <w:tc>
          <w:tcPr>
            <w:tcW w:w="1132"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 xml:space="preserve"> </w:t>
            </w:r>
            <w:r>
              <w:rPr>
                <w:rFonts w:eastAsia="SimSun" w:cs="Calibri" w:cstheme="minorHAnsi"/>
                <w:kern w:val="2"/>
                <w:sz w:val="18"/>
                <w:szCs w:val="22"/>
                <w:lang w:val="uk-UA" w:eastAsia="en-GB" w:bidi="ar-SA"/>
              </w:rPr>
              <w:t>відсоток</w:t>
            </w:r>
          </w:p>
        </w:tc>
      </w:tr>
      <w:tr>
        <w:trPr>
          <w:trHeight w:val="300" w:hRule="atLeast"/>
        </w:trPr>
        <w:tc>
          <w:tcPr>
            <w:tcW w:w="21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Нижча загальна сума податків до сплати</w:t>
            </w:r>
          </w:p>
        </w:tc>
        <w:tc>
          <w:tcPr>
            <w:tcW w:w="1540"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6,7</w:t>
            </w:r>
          </w:p>
        </w:tc>
        <w:tc>
          <w:tcPr>
            <w:tcW w:w="1648"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24,4</w:t>
            </w:r>
          </w:p>
        </w:tc>
        <w:tc>
          <w:tcPr>
            <w:tcW w:w="1560"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40,8</w:t>
            </w:r>
          </w:p>
        </w:tc>
        <w:tc>
          <w:tcPr>
            <w:tcW w:w="1560"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55,7</w:t>
            </w:r>
          </w:p>
        </w:tc>
        <w:tc>
          <w:tcPr>
            <w:tcW w:w="1132"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43,6</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1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Нижчі витрати на податковий облік</w:t>
            </w:r>
          </w:p>
        </w:tc>
        <w:tc>
          <w:tcPr>
            <w:tcW w:w="154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3,2</w:t>
            </w:r>
          </w:p>
        </w:tc>
        <w:tc>
          <w:tcPr>
            <w:tcW w:w="164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11,1</w:t>
            </w:r>
          </w:p>
        </w:tc>
        <w:tc>
          <w:tcPr>
            <w:tcW w:w="156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32,2</w:t>
            </w:r>
          </w:p>
        </w:tc>
        <w:tc>
          <w:tcPr>
            <w:tcW w:w="156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40</w:t>
            </w:r>
          </w:p>
        </w:tc>
        <w:tc>
          <w:tcPr>
            <w:tcW w:w="1132"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30,7</w:t>
            </w:r>
          </w:p>
        </w:tc>
      </w:tr>
      <w:tr>
        <w:trPr>
          <w:trHeight w:val="300" w:hRule="atLeast"/>
        </w:trPr>
        <w:tc>
          <w:tcPr>
            <w:tcW w:w="21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Менша ймовірність перевірки</w:t>
            </w:r>
          </w:p>
        </w:tc>
        <w:tc>
          <w:tcPr>
            <w:tcW w:w="1540"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3,1</w:t>
            </w:r>
          </w:p>
        </w:tc>
        <w:tc>
          <w:tcPr>
            <w:tcW w:w="1648"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3,1</w:t>
            </w:r>
          </w:p>
        </w:tc>
        <w:tc>
          <w:tcPr>
            <w:tcW w:w="1560"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11,9</w:t>
            </w:r>
          </w:p>
        </w:tc>
        <w:tc>
          <w:tcPr>
            <w:tcW w:w="1560"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15,9</w:t>
            </w:r>
          </w:p>
        </w:tc>
        <w:tc>
          <w:tcPr>
            <w:tcW w:w="1132"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12,3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1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Менша увага з боку податкових органів</w:t>
            </w:r>
          </w:p>
        </w:tc>
        <w:tc>
          <w:tcPr>
            <w:tcW w:w="154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3,5</w:t>
            </w:r>
          </w:p>
        </w:tc>
        <w:tc>
          <w:tcPr>
            <w:tcW w:w="164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6,1</w:t>
            </w:r>
          </w:p>
        </w:tc>
        <w:tc>
          <w:tcPr>
            <w:tcW w:w="156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13,1</w:t>
            </w:r>
          </w:p>
        </w:tc>
        <w:tc>
          <w:tcPr>
            <w:tcW w:w="156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16,5</w:t>
            </w:r>
          </w:p>
        </w:tc>
        <w:tc>
          <w:tcPr>
            <w:tcW w:w="1132"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13,1</w:t>
            </w:r>
          </w:p>
        </w:tc>
      </w:tr>
      <w:tr>
        <w:trPr>
          <w:trHeight w:val="300" w:hRule="atLeast"/>
        </w:trPr>
        <w:tc>
          <w:tcPr>
            <w:tcW w:w="21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Більше уваги з боку податкових органів</w:t>
            </w:r>
          </w:p>
        </w:tc>
        <w:tc>
          <w:tcPr>
            <w:tcW w:w="1540"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1,9</w:t>
            </w:r>
          </w:p>
        </w:tc>
        <w:tc>
          <w:tcPr>
            <w:tcW w:w="1648"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1,2</w:t>
            </w:r>
          </w:p>
        </w:tc>
        <w:tc>
          <w:tcPr>
            <w:tcW w:w="1560"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0,8</w:t>
            </w:r>
          </w:p>
        </w:tc>
        <w:tc>
          <w:tcPr>
            <w:tcW w:w="1560"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0,4</w:t>
            </w:r>
          </w:p>
        </w:tc>
        <w:tc>
          <w:tcPr>
            <w:tcW w:w="1132"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1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Можливість працювати з великою кількістю компаній</w:t>
            </w:r>
          </w:p>
        </w:tc>
        <w:tc>
          <w:tcPr>
            <w:tcW w:w="154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26,2</w:t>
            </w:r>
          </w:p>
        </w:tc>
        <w:tc>
          <w:tcPr>
            <w:tcW w:w="164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6,7</w:t>
            </w:r>
          </w:p>
        </w:tc>
        <w:tc>
          <w:tcPr>
            <w:tcW w:w="156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10,6</w:t>
            </w:r>
          </w:p>
        </w:tc>
        <w:tc>
          <w:tcPr>
            <w:tcW w:w="156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9,6</w:t>
            </w:r>
          </w:p>
        </w:tc>
        <w:tc>
          <w:tcPr>
            <w:tcW w:w="1132"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12,2</w:t>
            </w:r>
          </w:p>
        </w:tc>
      </w:tr>
      <w:tr>
        <w:trPr>
          <w:trHeight w:val="300" w:hRule="atLeast"/>
        </w:trPr>
        <w:tc>
          <w:tcPr>
            <w:tcW w:w="21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Відсутність переваг</w:t>
            </w:r>
          </w:p>
        </w:tc>
        <w:tc>
          <w:tcPr>
            <w:tcW w:w="1540"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47,3</w:t>
            </w:r>
          </w:p>
        </w:tc>
        <w:tc>
          <w:tcPr>
            <w:tcW w:w="1648"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35,8</w:t>
            </w:r>
          </w:p>
        </w:tc>
        <w:tc>
          <w:tcPr>
            <w:tcW w:w="1560"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13,2</w:t>
            </w:r>
          </w:p>
        </w:tc>
        <w:tc>
          <w:tcPr>
            <w:tcW w:w="1560"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9,2</w:t>
            </w:r>
          </w:p>
        </w:tc>
        <w:tc>
          <w:tcPr>
            <w:tcW w:w="1132"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18,3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1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Інше</w:t>
            </w:r>
          </w:p>
        </w:tc>
        <w:tc>
          <w:tcPr>
            <w:tcW w:w="154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w:t>
            </w:r>
          </w:p>
        </w:tc>
        <w:tc>
          <w:tcPr>
            <w:tcW w:w="164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w:t>
            </w:r>
          </w:p>
        </w:tc>
        <w:tc>
          <w:tcPr>
            <w:tcW w:w="156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0,5</w:t>
            </w:r>
          </w:p>
        </w:tc>
        <w:tc>
          <w:tcPr>
            <w:tcW w:w="156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0,7</w:t>
            </w:r>
          </w:p>
        </w:tc>
        <w:tc>
          <w:tcPr>
            <w:tcW w:w="1132"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0,5</w:t>
            </w:r>
          </w:p>
        </w:tc>
      </w:tr>
      <w:tr>
        <w:trPr>
          <w:trHeight w:val="300" w:hRule="atLeast"/>
        </w:trPr>
        <w:tc>
          <w:tcPr>
            <w:tcW w:w="21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Не знає</w:t>
            </w:r>
          </w:p>
        </w:tc>
        <w:tc>
          <w:tcPr>
            <w:tcW w:w="1540"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12,1</w:t>
            </w:r>
          </w:p>
        </w:tc>
        <w:tc>
          <w:tcPr>
            <w:tcW w:w="1648"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19,9</w:t>
            </w:r>
          </w:p>
        </w:tc>
        <w:tc>
          <w:tcPr>
            <w:tcW w:w="1560"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17,6</w:t>
            </w:r>
          </w:p>
        </w:tc>
        <w:tc>
          <w:tcPr>
            <w:tcW w:w="1560"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14,1</w:t>
            </w:r>
          </w:p>
        </w:tc>
        <w:tc>
          <w:tcPr>
            <w:tcW w:w="1132"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14,5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1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Відмовився відповідати</w:t>
            </w:r>
          </w:p>
        </w:tc>
        <w:tc>
          <w:tcPr>
            <w:tcW w:w="154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4,2</w:t>
            </w:r>
          </w:p>
        </w:tc>
        <w:tc>
          <w:tcPr>
            <w:tcW w:w="164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3,6</w:t>
            </w:r>
          </w:p>
        </w:tc>
        <w:tc>
          <w:tcPr>
            <w:tcW w:w="156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6,9</w:t>
            </w:r>
          </w:p>
        </w:tc>
        <w:tc>
          <w:tcPr>
            <w:tcW w:w="1560"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2,9</w:t>
            </w:r>
          </w:p>
        </w:tc>
        <w:tc>
          <w:tcPr>
            <w:tcW w:w="1132"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3,4</w:t>
            </w:r>
          </w:p>
        </w:tc>
      </w:tr>
    </w:tbl>
    <w:p>
      <w:pPr>
        <w:pStyle w:val="Normal"/>
        <w:jc w:val="both"/>
        <w:rPr>
          <w:lang w:val="uk-UA"/>
        </w:rPr>
      </w:pPr>
      <w:r>
        <w:rPr>
          <w:lang w:val="uk-UA"/>
        </w:rPr>
      </w:r>
    </w:p>
    <w:p>
      <w:pPr>
        <w:pStyle w:val="ListParagraph"/>
        <w:numPr>
          <w:ilvl w:val="0"/>
          <w:numId w:val="2"/>
        </w:numPr>
        <w:jc w:val="both"/>
        <w:rPr>
          <w:rFonts w:cs="Calibri" w:cstheme="minorHAnsi"/>
          <w:lang w:val="uk-UA"/>
        </w:rPr>
      </w:pPr>
      <w:r>
        <w:rPr>
          <w:rStyle w:val="Strong"/>
          <w:lang w:val="uk-UA"/>
        </w:rPr>
        <w:t xml:space="preserve">Високі податки та витрати на податковий комплаєнс були зазначені як найбільші недоліки для бізнесу на загальній системі оподаткування. </w:t>
      </w:r>
      <w:r>
        <w:rPr>
          <w:lang w:val="uk-UA"/>
        </w:rPr>
        <w:t>Підприємці на загальній системі оподаткування з ПДВ назвали основними недоліками вищі податки (34,2%) і витрати на ведення податкового обліку (30,9%), а також підвищену увагу з боку податкових органів (30,2%) та вищу ймовірність перевірок (27,3%). На противагу цьому, підприємці, які працюють за спрощеною системою без ПДВ, зазначили меншу кількість недоліків, а 30 відсотків взагалі не відчули жодних недоліків. Однак, на обмеження щодо неможливості працювати з багатьма компаніями найчастіше вказували підприємці на єдиному податку без ПДВ (11,2%) (Таблиця 14).</w:t>
      </w:r>
      <w:bookmarkStart w:id="31" w:name="_Ref175306673"/>
    </w:p>
    <w:p>
      <w:pPr>
        <w:pStyle w:val="Normal"/>
        <w:jc w:val="both"/>
        <w:rPr>
          <w:b/>
          <w:bCs/>
          <w:i/>
          <w:i/>
          <w:iCs/>
          <w:lang w:val="uk-UA"/>
        </w:rPr>
      </w:pPr>
      <w:r>
        <w:rPr>
          <w:b/>
          <w:bCs/>
          <w:lang w:val="uk-UA"/>
        </w:rPr>
        <w:t>Таблиця</w:t>
      </w:r>
      <w:bookmarkEnd w:id="31"/>
      <w:r>
        <w:rPr>
          <w:b/>
          <w:bCs/>
          <w:lang w:val="uk-UA"/>
        </w:rPr>
        <w:t xml:space="preserve"> 14. Основні недоліки режимів оподаткування у 2023 році </w:t>
      </w:r>
      <w:r>
        <w:rPr>
          <w:b/>
          <w:bCs/>
          <w:i/>
          <w:iCs/>
          <w:lang w:val="uk-UA"/>
        </w:rPr>
        <w:t>(відсоток респондентів, зареєстрованих на тому чи іншому режимі)</w:t>
      </w:r>
      <w:r>
        <w:rPr>
          <w:rStyle w:val="FootnoteReference"/>
          <w:b/>
          <w:bCs/>
          <w:vertAlign w:val="superscript"/>
          <w:lang w:val="uk-UA"/>
        </w:rPr>
        <w:footnoteReference w:id="15"/>
      </w:r>
    </w:p>
    <w:tbl>
      <w:tblPr>
        <w:tblStyle w:val="GridTable4Accent1"/>
        <w:tblW w:w="947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145"/>
        <w:gridCol w:w="1169"/>
        <w:gridCol w:w="1067"/>
        <w:gridCol w:w="1559"/>
        <w:gridCol w:w="1622"/>
        <w:gridCol w:w="910"/>
      </w:tblGrid>
      <w:tr>
        <w:trPr>
          <w:tblHeader w:val="true"/>
          <w:trHeight w:val="300" w:hRule="atLeast"/>
          <w:cnfStyle w:val="100000000000" w:firstRow="1" w:lastRow="0" w:firstColumn="0" w:lastColumn="0" w:oddVBand="0" w:evenVBand="0" w:oddHBand="0" w:evenHBand="0" w:firstRowFirstColumn="0" w:firstRowLastColumn="0" w:lastRowFirstColumn="0" w:lastRowLastColumn="0"/>
        </w:trPr>
        <w:tc>
          <w:tcPr>
            <w:tcW w:w="3145"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r>
          </w:p>
        </w:tc>
        <w:tc>
          <w:tcPr>
            <w:tcW w:w="1169"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Загальний режим оподаткування з ПДВ</w:t>
            </w:r>
          </w:p>
        </w:tc>
        <w:tc>
          <w:tcPr>
            <w:tcW w:w="1067"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Загальний режим оподаткування без ПДВ</w:t>
            </w:r>
          </w:p>
        </w:tc>
        <w:tc>
          <w:tcPr>
            <w:tcW w:w="1559"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Єдиний податок (спрощена система оподаткування) з ПДВ</w:t>
            </w:r>
          </w:p>
        </w:tc>
        <w:tc>
          <w:tcPr>
            <w:tcW w:w="1622"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Єдиний податок (спрощена система оподаткування) без ПДВ</w:t>
            </w:r>
          </w:p>
        </w:tc>
        <w:tc>
          <w:tcPr>
            <w:tcW w:w="910"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Загалом</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14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r>
          </w:p>
        </w:tc>
        <w:tc>
          <w:tcPr>
            <w:tcW w:w="116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 xml:space="preserve"> </w:t>
            </w:r>
            <w:r>
              <w:rPr>
                <w:rFonts w:eastAsia="SimSun" w:cs="Calibri" w:cstheme="minorHAnsi"/>
                <w:kern w:val="2"/>
                <w:sz w:val="18"/>
                <w:szCs w:val="22"/>
                <w:lang w:val="uk-UA" w:eastAsia="en-GB" w:bidi="ar-SA"/>
              </w:rPr>
              <w:t>відсоток</w:t>
            </w:r>
          </w:p>
        </w:tc>
        <w:tc>
          <w:tcPr>
            <w:tcW w:w="106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 xml:space="preserve"> </w:t>
            </w:r>
            <w:r>
              <w:rPr>
                <w:rFonts w:eastAsia="SimSun" w:cs="Calibri" w:cstheme="minorHAnsi"/>
                <w:kern w:val="2"/>
                <w:sz w:val="18"/>
                <w:szCs w:val="22"/>
                <w:lang w:val="uk-UA" w:eastAsia="en-GB" w:bidi="ar-SA"/>
              </w:rPr>
              <w:t>відсоток</w:t>
            </w:r>
          </w:p>
        </w:tc>
        <w:tc>
          <w:tcPr>
            <w:tcW w:w="15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 xml:space="preserve"> </w:t>
            </w:r>
            <w:r>
              <w:rPr>
                <w:rFonts w:eastAsia="SimSun" w:cs="Calibri" w:cstheme="minorHAnsi"/>
                <w:kern w:val="2"/>
                <w:sz w:val="18"/>
                <w:szCs w:val="22"/>
                <w:lang w:val="uk-UA" w:eastAsia="en-GB" w:bidi="ar-SA"/>
              </w:rPr>
              <w:t>відсоток</w:t>
            </w:r>
          </w:p>
        </w:tc>
        <w:tc>
          <w:tcPr>
            <w:tcW w:w="162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 xml:space="preserve"> </w:t>
            </w:r>
            <w:r>
              <w:rPr>
                <w:rFonts w:eastAsia="SimSun" w:cs="Calibri" w:cstheme="minorHAnsi"/>
                <w:kern w:val="2"/>
                <w:sz w:val="18"/>
                <w:szCs w:val="22"/>
                <w:lang w:val="uk-UA" w:eastAsia="en-GB" w:bidi="ar-SA"/>
              </w:rPr>
              <w:t>відсоток</w:t>
            </w:r>
          </w:p>
        </w:tc>
        <w:tc>
          <w:tcPr>
            <w:tcW w:w="91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 xml:space="preserve"> </w:t>
            </w:r>
            <w:r>
              <w:rPr>
                <w:rFonts w:eastAsia="SimSun" w:cs="Calibri" w:cstheme="minorHAnsi"/>
                <w:kern w:val="2"/>
                <w:sz w:val="18"/>
                <w:szCs w:val="22"/>
                <w:lang w:val="uk-UA" w:eastAsia="en-GB" w:bidi="ar-SA"/>
              </w:rPr>
              <w:t>відсоток</w:t>
            </w:r>
          </w:p>
        </w:tc>
      </w:tr>
      <w:tr>
        <w:trPr>
          <w:trHeight w:val="300" w:hRule="atLeast"/>
        </w:trPr>
        <w:tc>
          <w:tcPr>
            <w:tcW w:w="314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Вища загальна сума сплачених податків</w:t>
            </w:r>
          </w:p>
        </w:tc>
        <w:tc>
          <w:tcPr>
            <w:tcW w:w="116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34,2</w:t>
            </w:r>
          </w:p>
        </w:tc>
        <w:tc>
          <w:tcPr>
            <w:tcW w:w="106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19,7</w:t>
            </w:r>
          </w:p>
        </w:tc>
        <w:tc>
          <w:tcPr>
            <w:tcW w:w="15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19,8</w:t>
            </w:r>
          </w:p>
        </w:tc>
        <w:tc>
          <w:tcPr>
            <w:tcW w:w="162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12,3</w:t>
            </w:r>
          </w:p>
        </w:tc>
        <w:tc>
          <w:tcPr>
            <w:tcW w:w="91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17,2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14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Вищі витрати на податковий облік</w:t>
            </w:r>
          </w:p>
        </w:tc>
        <w:tc>
          <w:tcPr>
            <w:tcW w:w="116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30,9</w:t>
            </w:r>
          </w:p>
        </w:tc>
        <w:tc>
          <w:tcPr>
            <w:tcW w:w="106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15</w:t>
            </w:r>
          </w:p>
        </w:tc>
        <w:tc>
          <w:tcPr>
            <w:tcW w:w="15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6,1</w:t>
            </w:r>
          </w:p>
        </w:tc>
        <w:tc>
          <w:tcPr>
            <w:tcW w:w="162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6</w:t>
            </w:r>
          </w:p>
        </w:tc>
        <w:tc>
          <w:tcPr>
            <w:tcW w:w="91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11,1</w:t>
            </w:r>
          </w:p>
        </w:tc>
      </w:tr>
      <w:tr>
        <w:trPr>
          <w:trHeight w:val="300" w:hRule="atLeast"/>
        </w:trPr>
        <w:tc>
          <w:tcPr>
            <w:tcW w:w="314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Вища ймовірність перевірки</w:t>
            </w:r>
          </w:p>
        </w:tc>
        <w:tc>
          <w:tcPr>
            <w:tcW w:w="116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27,3</w:t>
            </w:r>
          </w:p>
        </w:tc>
        <w:tc>
          <w:tcPr>
            <w:tcW w:w="106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16,5</w:t>
            </w:r>
          </w:p>
        </w:tc>
        <w:tc>
          <w:tcPr>
            <w:tcW w:w="15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3,9</w:t>
            </w:r>
          </w:p>
        </w:tc>
        <w:tc>
          <w:tcPr>
            <w:tcW w:w="162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5,4</w:t>
            </w:r>
          </w:p>
        </w:tc>
        <w:tc>
          <w:tcPr>
            <w:tcW w:w="91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10,1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14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Більше уваги з боку податкових органів</w:t>
            </w:r>
          </w:p>
        </w:tc>
        <w:tc>
          <w:tcPr>
            <w:tcW w:w="116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30,2</w:t>
            </w:r>
          </w:p>
        </w:tc>
        <w:tc>
          <w:tcPr>
            <w:tcW w:w="106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14,1</w:t>
            </w:r>
          </w:p>
        </w:tc>
        <w:tc>
          <w:tcPr>
            <w:tcW w:w="15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7,6</w:t>
            </w:r>
          </w:p>
        </w:tc>
        <w:tc>
          <w:tcPr>
            <w:tcW w:w="162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4,9</w:t>
            </w:r>
          </w:p>
        </w:tc>
        <w:tc>
          <w:tcPr>
            <w:tcW w:w="91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10,2</w:t>
            </w:r>
          </w:p>
        </w:tc>
      </w:tr>
      <w:tr>
        <w:trPr>
          <w:trHeight w:val="300" w:hRule="atLeast"/>
        </w:trPr>
        <w:tc>
          <w:tcPr>
            <w:tcW w:w="314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Менша увага з боку податкових органів</w:t>
            </w:r>
          </w:p>
        </w:tc>
        <w:tc>
          <w:tcPr>
            <w:tcW w:w="116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1,3</w:t>
            </w:r>
          </w:p>
        </w:tc>
        <w:tc>
          <w:tcPr>
            <w:tcW w:w="106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2,5</w:t>
            </w:r>
          </w:p>
        </w:tc>
        <w:tc>
          <w:tcPr>
            <w:tcW w:w="15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1,5</w:t>
            </w:r>
          </w:p>
        </w:tc>
        <w:tc>
          <w:tcPr>
            <w:tcW w:w="162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1,9</w:t>
            </w:r>
          </w:p>
        </w:tc>
        <w:tc>
          <w:tcPr>
            <w:tcW w:w="91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14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Неможливість працювати з великою кількістю компаній</w:t>
            </w:r>
          </w:p>
        </w:tc>
        <w:tc>
          <w:tcPr>
            <w:tcW w:w="116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1,1</w:t>
            </w:r>
          </w:p>
        </w:tc>
        <w:tc>
          <w:tcPr>
            <w:tcW w:w="106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w:t>
            </w:r>
          </w:p>
        </w:tc>
        <w:tc>
          <w:tcPr>
            <w:tcW w:w="15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4,2</w:t>
            </w:r>
          </w:p>
        </w:tc>
        <w:tc>
          <w:tcPr>
            <w:tcW w:w="162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11,2</w:t>
            </w:r>
          </w:p>
        </w:tc>
        <w:tc>
          <w:tcPr>
            <w:tcW w:w="91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8,2</w:t>
            </w:r>
          </w:p>
        </w:tc>
      </w:tr>
      <w:tr>
        <w:trPr>
          <w:trHeight w:val="300" w:hRule="atLeast"/>
        </w:trPr>
        <w:tc>
          <w:tcPr>
            <w:tcW w:w="314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Відсутність недоліків</w:t>
            </w:r>
          </w:p>
        </w:tc>
        <w:tc>
          <w:tcPr>
            <w:tcW w:w="116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11,6</w:t>
            </w:r>
          </w:p>
        </w:tc>
        <w:tc>
          <w:tcPr>
            <w:tcW w:w="106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23,1</w:t>
            </w:r>
          </w:p>
        </w:tc>
        <w:tc>
          <w:tcPr>
            <w:tcW w:w="15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28,6</w:t>
            </w:r>
          </w:p>
        </w:tc>
        <w:tc>
          <w:tcPr>
            <w:tcW w:w="162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30</w:t>
            </w:r>
          </w:p>
        </w:tc>
        <w:tc>
          <w:tcPr>
            <w:tcW w:w="91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26,1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14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Інше</w:t>
            </w:r>
          </w:p>
        </w:tc>
        <w:tc>
          <w:tcPr>
            <w:tcW w:w="116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0,1</w:t>
            </w:r>
          </w:p>
        </w:tc>
        <w:tc>
          <w:tcPr>
            <w:tcW w:w="106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w:t>
            </w:r>
          </w:p>
        </w:tc>
        <w:tc>
          <w:tcPr>
            <w:tcW w:w="15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0,3</w:t>
            </w:r>
          </w:p>
        </w:tc>
        <w:tc>
          <w:tcPr>
            <w:tcW w:w="162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0,1</w:t>
            </w:r>
          </w:p>
        </w:tc>
        <w:tc>
          <w:tcPr>
            <w:tcW w:w="91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0,1</w:t>
            </w:r>
          </w:p>
        </w:tc>
      </w:tr>
      <w:tr>
        <w:trPr>
          <w:trHeight w:val="300" w:hRule="atLeast"/>
        </w:trPr>
        <w:tc>
          <w:tcPr>
            <w:tcW w:w="314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Не знає</w:t>
            </w:r>
          </w:p>
        </w:tc>
        <w:tc>
          <w:tcPr>
            <w:tcW w:w="116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15,9</w:t>
            </w:r>
          </w:p>
        </w:tc>
        <w:tc>
          <w:tcPr>
            <w:tcW w:w="106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23,4</w:t>
            </w:r>
          </w:p>
        </w:tc>
        <w:tc>
          <w:tcPr>
            <w:tcW w:w="15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26,3</w:t>
            </w:r>
          </w:p>
        </w:tc>
        <w:tc>
          <w:tcPr>
            <w:tcW w:w="162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32,6</w:t>
            </w:r>
          </w:p>
        </w:tc>
        <w:tc>
          <w:tcPr>
            <w:tcW w:w="91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28,6</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14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Відмовився відповідати</w:t>
            </w:r>
          </w:p>
        </w:tc>
        <w:tc>
          <w:tcPr>
            <w:tcW w:w="116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2,3</w:t>
            </w:r>
          </w:p>
        </w:tc>
        <w:tc>
          <w:tcPr>
            <w:tcW w:w="106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3,8</w:t>
            </w:r>
          </w:p>
        </w:tc>
        <w:tc>
          <w:tcPr>
            <w:tcW w:w="15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8,1</w:t>
            </w:r>
          </w:p>
        </w:tc>
        <w:tc>
          <w:tcPr>
            <w:tcW w:w="162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4,3</w:t>
            </w:r>
          </w:p>
        </w:tc>
        <w:tc>
          <w:tcPr>
            <w:tcW w:w="91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4,1</w:t>
            </w:r>
          </w:p>
        </w:tc>
      </w:tr>
    </w:tbl>
    <w:p>
      <w:pPr>
        <w:pStyle w:val="Normal"/>
        <w:suppressAutoHyphens w:val="false"/>
        <w:rPr>
          <w:rFonts w:ascii="Calibri Light" w:hAnsi="Calibri Light" w:eastAsia="" w:cs="Times New Roman" w:asciiTheme="majorHAnsi" w:cstheme="majorBidi" w:eastAsiaTheme="majorEastAsia" w:hAnsiTheme="majorHAnsi"/>
          <w:color w:themeColor="accent1" w:themeShade="bf" w:val="2F5496"/>
          <w:sz w:val="26"/>
          <w:szCs w:val="26"/>
          <w:lang w:val="uk-UA"/>
        </w:rPr>
      </w:pPr>
      <w:r>
        <w:rPr>
          <w:rFonts w:eastAsia="" w:cs="Times New Roman" w:cstheme="majorBidi" w:eastAsiaTheme="majorEastAsia" w:ascii="Calibri Light" w:hAnsi="Calibri Light"/>
          <w:color w:themeColor="accent1" w:themeShade="bf" w:val="2F5496"/>
          <w:sz w:val="26"/>
          <w:szCs w:val="26"/>
          <w:lang w:val="uk-UA"/>
        </w:rPr>
      </w:r>
    </w:p>
    <w:p>
      <w:pPr>
        <w:pStyle w:val="Heading3"/>
        <w:rPr>
          <w:lang w:val="uk-UA"/>
        </w:rPr>
      </w:pPr>
      <w:bookmarkStart w:id="32" w:name="_Toc185882882"/>
      <w:r>
        <w:rPr>
          <w:lang w:val="uk-UA"/>
        </w:rPr>
        <w:t>Дотримання податкового законодавства</w:t>
      </w:r>
      <w:bookmarkEnd w:id="32"/>
    </w:p>
    <w:p>
      <w:pPr>
        <w:pStyle w:val="ListParagraph"/>
        <w:numPr>
          <w:ilvl w:val="0"/>
          <w:numId w:val="2"/>
        </w:numPr>
        <w:jc w:val="both"/>
        <w:rPr>
          <w:rFonts w:cs="Calibri" w:cstheme="minorHAnsi"/>
          <w:lang w:val="uk-UA"/>
        </w:rPr>
      </w:pPr>
      <w:r>
        <w:rPr>
          <w:rFonts w:cs="Calibri" w:cstheme="minorHAnsi"/>
          <w:b/>
          <w:bCs/>
          <w:lang w:val="uk-UA"/>
        </w:rPr>
        <w:t xml:space="preserve">Респонденти вважають, що підприємства, подібні до їхнього, занижують як доходи, так і заробітну плату для цілей оподаткування. </w:t>
      </w:r>
      <w:r>
        <w:rPr>
          <w:rFonts w:cs="Calibri" w:cstheme="minorHAnsi"/>
          <w:lang w:val="uk-UA"/>
        </w:rPr>
        <w:t xml:space="preserve">В середньому, як повідомляють респонденти, подібні підприємства декларують лише 61,1% фактичного річного доходу для цілей оподаткування. 43,5% респондентів повідомили, що подібні підприємства практикують заробітну плату </w:t>
      </w:r>
      <w:r>
        <w:rPr>
          <w:lang w:val="uk-UA"/>
        </w:rPr>
        <w:t xml:space="preserve">«в конвертах» </w:t>
      </w:r>
      <w:r>
        <w:rPr>
          <w:rFonts w:cs="Calibri" w:cstheme="minorHAnsi"/>
          <w:lang w:val="uk-UA"/>
        </w:rPr>
        <w:t>для зменшення податкового навантаження, з певними відмінностями залежно від розміру: підприємства з кількістю працівників до 50 осіб - 48,2%, менші підприємства - 40,9%, а підприємства з кількістю працівників понад 50 осіб - 36,2% (див. Таблицю 15).</w:t>
      </w:r>
    </w:p>
    <w:p>
      <w:pPr>
        <w:pStyle w:val="ListParagraph"/>
        <w:numPr>
          <w:ilvl w:val="0"/>
          <w:numId w:val="2"/>
        </w:numPr>
        <w:jc w:val="both"/>
        <w:rPr>
          <w:rFonts w:cs="Calibri" w:cstheme="minorHAnsi"/>
          <w:lang w:val="uk-UA"/>
        </w:rPr>
      </w:pPr>
      <w:r>
        <w:rPr>
          <w:rFonts w:cs="Calibri" w:cstheme="minorHAnsi"/>
          <w:b/>
          <w:bCs/>
          <w:lang w:val="uk-UA"/>
        </w:rPr>
        <w:t>Респонденти повідомили, що подібні підприємства використовують інші стратегії для зменшення податкових зобов'язань.</w:t>
      </w:r>
      <w:r>
        <w:rPr>
          <w:rFonts w:cs="Calibri" w:cstheme="minorHAnsi"/>
          <w:lang w:val="uk-UA"/>
        </w:rPr>
        <w:t xml:space="preserve"> Вони зазначили, що подібні підприємства наймають ФОПів у якості підрядників замість того, щоб безпосередньо наймати фізичних осіб (36,2% респондентів), з певними відмінностями залежно від розміру підприємства: великі підприємства - 41,5%, середні підприємства - 39,5%, малі підприємства - 33,9%. Респонденти повідомили, що великі підприємства частіше використовують інші підприємства для зменшення податкових зобов'язань (23,6%) порівняно з середніми (17,5%) та малими підприємствами (13%). Крім того, 20,6% респондентів повідомили, що подібні підприємства </w:t>
      </w:r>
      <w:r>
        <w:rPr>
          <w:lang w:val="uk-UA"/>
        </w:rPr>
        <w:t>дробляться на кілька суб'єктів господарювання з метою уникнення сплати податків</w:t>
      </w:r>
      <w:r>
        <w:rPr>
          <w:rFonts w:cs="Calibri" w:cstheme="minorHAnsi"/>
          <w:lang w:val="uk-UA"/>
        </w:rPr>
        <w:t>.</w:t>
      </w:r>
    </w:p>
    <w:p>
      <w:pPr>
        <w:pStyle w:val="Normal"/>
        <w:jc w:val="both"/>
        <w:rPr>
          <w:b/>
          <w:bCs/>
          <w:lang w:val="uk-UA"/>
        </w:rPr>
      </w:pPr>
      <w:bookmarkStart w:id="33" w:name="_Ref175316677"/>
      <w:r>
        <w:rPr>
          <w:b/>
          <w:bCs/>
          <w:lang w:val="uk-UA"/>
        </w:rPr>
        <w:t>Таблиця</w:t>
      </w:r>
      <w:bookmarkEnd w:id="33"/>
      <w:r>
        <w:rPr>
          <w:b/>
          <w:bCs/>
          <w:lang w:val="uk-UA"/>
        </w:rPr>
        <w:t xml:space="preserve"> 15. Які заходи, на Вашу думку, використовують інші підприємства у цій галузі для зменшення податкового навантаження?</w:t>
      </w:r>
      <w:r>
        <w:rPr>
          <w:rStyle w:val="FootnoteReference"/>
          <w:b/>
          <w:bCs/>
          <w:vertAlign w:val="superscript"/>
          <w:lang w:val="uk-UA"/>
        </w:rPr>
        <w:footnoteReference w:id="16"/>
      </w:r>
    </w:p>
    <w:tbl>
      <w:tblPr>
        <w:tblStyle w:val="GridTable4Accent1"/>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362"/>
        <w:gridCol w:w="1453"/>
        <w:gridCol w:w="1745"/>
        <w:gridCol w:w="1922"/>
        <w:gridCol w:w="868"/>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3362"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r>
          </w:p>
        </w:tc>
        <w:tc>
          <w:tcPr>
            <w:tcW w:w="1453"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Без найманих працівників</w:t>
            </w:r>
          </w:p>
        </w:tc>
        <w:tc>
          <w:tcPr>
            <w:tcW w:w="1745"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До 50 працівників</w:t>
            </w:r>
          </w:p>
        </w:tc>
        <w:tc>
          <w:tcPr>
            <w:tcW w:w="1922"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Понад 50 працівників</w:t>
            </w:r>
          </w:p>
        </w:tc>
        <w:tc>
          <w:tcPr>
            <w:tcW w:w="868"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b/>
                <w:bCs/>
                <w:color w:themeColor="background1" w:val="FFFFFF"/>
                <w:kern w:val="2"/>
                <w:sz w:val="18"/>
                <w:szCs w:val="22"/>
                <w:lang w:val="uk-UA" w:eastAsia="en-GB" w:bidi="ar-SA"/>
              </w:rPr>
              <w:t>Загалом</w:t>
            </w:r>
          </w:p>
        </w:tc>
      </w:tr>
      <w:tr>
        <w:trPr>
          <w:trHeight w:val="600" w:hRule="atLeast"/>
          <w:cnfStyle w:val="000000100000" w:firstRow="0" w:lastRow="0" w:firstColumn="0" w:lastColumn="0" w:oddVBand="0" w:evenVBand="0" w:oddHBand="1" w:evenHBand="0" w:firstRowFirstColumn="0" w:firstRowLastColumn="0" w:lastRowFirstColumn="0" w:lastRowLastColumn="0"/>
        </w:trPr>
        <w:tc>
          <w:tcPr>
            <w:tcW w:w="3362"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Виплата заробітної плати «в конвертах» (повністю або частково)</w:t>
            </w:r>
          </w:p>
        </w:tc>
        <w:tc>
          <w:tcPr>
            <w:tcW w:w="145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40,9</w:t>
            </w:r>
          </w:p>
        </w:tc>
        <w:tc>
          <w:tcPr>
            <w:tcW w:w="174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48,2</w:t>
            </w:r>
          </w:p>
        </w:tc>
        <w:tc>
          <w:tcPr>
            <w:tcW w:w="192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36,2</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43,5</w:t>
            </w:r>
          </w:p>
        </w:tc>
      </w:tr>
      <w:tr>
        <w:trPr>
          <w:trHeight w:val="900" w:hRule="atLeast"/>
        </w:trPr>
        <w:tc>
          <w:tcPr>
            <w:tcW w:w="336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Використання фізичних осіб-підприємців як підрядників бізнесу замість найманих працівників</w:t>
            </w:r>
          </w:p>
        </w:tc>
        <w:tc>
          <w:tcPr>
            <w:tcW w:w="145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33,9</w:t>
            </w:r>
          </w:p>
        </w:tc>
        <w:tc>
          <w:tcPr>
            <w:tcW w:w="174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39,5</w:t>
            </w:r>
          </w:p>
        </w:tc>
        <w:tc>
          <w:tcPr>
            <w:tcW w:w="192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41,5</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36,2</w:t>
            </w:r>
          </w:p>
        </w:tc>
      </w:tr>
      <w:tr>
        <w:trPr>
          <w:trHeight w:val="600" w:hRule="atLeast"/>
          <w:cnfStyle w:val="000000100000" w:firstRow="0" w:lastRow="0" w:firstColumn="0" w:lastColumn="0" w:oddVBand="0" w:evenVBand="0" w:oddHBand="1" w:evenHBand="0" w:firstRowFirstColumn="0" w:firstRowLastColumn="0" w:lastRowFirstColumn="0" w:lastRowLastColumn="0"/>
        </w:trPr>
        <w:tc>
          <w:tcPr>
            <w:tcW w:w="3362"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Використання інших компаній для мінімізації податків</w:t>
            </w:r>
          </w:p>
        </w:tc>
        <w:tc>
          <w:tcPr>
            <w:tcW w:w="145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13</w:t>
            </w:r>
          </w:p>
        </w:tc>
        <w:tc>
          <w:tcPr>
            <w:tcW w:w="174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17,5</w:t>
            </w:r>
          </w:p>
        </w:tc>
        <w:tc>
          <w:tcPr>
            <w:tcW w:w="192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23,6</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15</w:t>
            </w:r>
          </w:p>
        </w:tc>
      </w:tr>
      <w:tr>
        <w:trPr>
          <w:trHeight w:val="600" w:hRule="atLeast"/>
        </w:trPr>
        <w:tc>
          <w:tcPr>
            <w:tcW w:w="336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Використання страхових або кредитних схем тощо</w:t>
            </w:r>
          </w:p>
        </w:tc>
        <w:tc>
          <w:tcPr>
            <w:tcW w:w="145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2,9</w:t>
            </w:r>
          </w:p>
        </w:tc>
        <w:tc>
          <w:tcPr>
            <w:tcW w:w="174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2,3</w:t>
            </w:r>
          </w:p>
        </w:tc>
        <w:tc>
          <w:tcPr>
            <w:tcW w:w="192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4,1</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2,7</w:t>
            </w:r>
          </w:p>
        </w:tc>
      </w:tr>
      <w:tr>
        <w:trPr>
          <w:trHeight w:val="600" w:hRule="atLeast"/>
          <w:cnfStyle w:val="000000100000" w:firstRow="0" w:lastRow="0" w:firstColumn="0" w:lastColumn="0" w:oddVBand="0" w:evenVBand="0" w:oddHBand="1" w:evenHBand="0" w:firstRowFirstColumn="0" w:firstRowLastColumn="0" w:lastRowFirstColumn="0" w:lastRowLastColumn="0"/>
        </w:trPr>
        <w:tc>
          <w:tcPr>
            <w:tcW w:w="3362"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Штучне дроблення бізнесу на декілька одиниць</w:t>
            </w:r>
          </w:p>
        </w:tc>
        <w:tc>
          <w:tcPr>
            <w:tcW w:w="145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20,3</w:t>
            </w:r>
          </w:p>
        </w:tc>
        <w:tc>
          <w:tcPr>
            <w:tcW w:w="174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20,9</w:t>
            </w:r>
          </w:p>
        </w:tc>
        <w:tc>
          <w:tcPr>
            <w:tcW w:w="192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24,3</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20,6</w:t>
            </w:r>
          </w:p>
        </w:tc>
      </w:tr>
      <w:tr>
        <w:trPr>
          <w:trHeight w:val="300" w:hRule="atLeast"/>
        </w:trPr>
        <w:tc>
          <w:tcPr>
            <w:tcW w:w="336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Інше</w:t>
            </w:r>
          </w:p>
        </w:tc>
        <w:tc>
          <w:tcPr>
            <w:tcW w:w="145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0,2</w:t>
            </w:r>
          </w:p>
        </w:tc>
        <w:tc>
          <w:tcPr>
            <w:tcW w:w="174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0,5</w:t>
            </w:r>
          </w:p>
        </w:tc>
        <w:tc>
          <w:tcPr>
            <w:tcW w:w="192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1,8</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0,3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2"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Не знає</w:t>
            </w:r>
          </w:p>
        </w:tc>
        <w:tc>
          <w:tcPr>
            <w:tcW w:w="145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43,4</w:t>
            </w:r>
          </w:p>
        </w:tc>
        <w:tc>
          <w:tcPr>
            <w:tcW w:w="174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38,4</w:t>
            </w:r>
          </w:p>
        </w:tc>
        <w:tc>
          <w:tcPr>
            <w:tcW w:w="192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47,7</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41,7</w:t>
            </w:r>
          </w:p>
        </w:tc>
      </w:tr>
      <w:tr>
        <w:trPr>
          <w:trHeight w:val="300" w:hRule="atLeast"/>
        </w:trPr>
        <w:tc>
          <w:tcPr>
            <w:tcW w:w="336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lang w:val="uk-UA"/>
              </w:rPr>
            </w:pPr>
            <w:r>
              <w:rPr>
                <w:rFonts w:eastAsia="SimSun" w:cs="Calibri" w:cstheme="minorHAnsi"/>
                <w:b w:val="false"/>
                <w:bCs/>
                <w:kern w:val="2"/>
                <w:sz w:val="18"/>
                <w:szCs w:val="22"/>
                <w:lang w:val="uk-UA" w:eastAsia="en-GB" w:bidi="ar-SA"/>
              </w:rPr>
              <w:t>Відмовився відповідати</w:t>
            </w:r>
          </w:p>
        </w:tc>
        <w:tc>
          <w:tcPr>
            <w:tcW w:w="145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4,8</w:t>
            </w:r>
          </w:p>
        </w:tc>
        <w:tc>
          <w:tcPr>
            <w:tcW w:w="174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2,7</w:t>
            </w:r>
          </w:p>
        </w:tc>
        <w:tc>
          <w:tcPr>
            <w:tcW w:w="192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3,2</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lang w:val="uk-UA"/>
              </w:rPr>
            </w:pPr>
            <w:r>
              <w:rPr>
                <w:rFonts w:eastAsia="SimSun" w:cs="Calibri" w:cstheme="minorHAnsi"/>
                <w:kern w:val="2"/>
                <w:sz w:val="18"/>
                <w:szCs w:val="22"/>
                <w:lang w:val="uk-UA" w:eastAsia="en-GB" w:bidi="ar-SA"/>
              </w:rPr>
              <w:t>3,9</w:t>
            </w:r>
          </w:p>
        </w:tc>
      </w:tr>
    </w:tbl>
    <w:p>
      <w:pPr>
        <w:pStyle w:val="Normal"/>
        <w:jc w:val="both"/>
        <w:rPr>
          <w:lang w:val="uk-UA"/>
        </w:rPr>
      </w:pPr>
      <w:r>
        <w:rPr>
          <w:lang w:val="uk-UA"/>
        </w:rPr>
      </w:r>
    </w:p>
    <w:p>
      <w:pPr>
        <w:pStyle w:val="ListParagraph"/>
        <w:numPr>
          <w:ilvl w:val="0"/>
          <w:numId w:val="2"/>
        </w:numPr>
        <w:jc w:val="both"/>
        <w:rPr>
          <w:rFonts w:cs="Calibri" w:cstheme="minorHAnsi"/>
          <w:lang w:val="uk-UA"/>
        </w:rPr>
      </w:pPr>
      <w:r>
        <w:rPr>
          <w:b/>
          <w:bCs/>
          <w:lang w:val="uk-UA"/>
        </w:rPr>
        <w:t xml:space="preserve">Респонденти зазначили, що недосконале законодавство і слабка ділова етика розглядаються як основні фактори, що сприяють зменшенню сплати податків </w:t>
      </w:r>
      <w:r>
        <w:rPr>
          <w:lang w:val="uk-UA"/>
        </w:rPr>
        <w:t>(Рисунок 20)</w:t>
      </w:r>
      <w:r>
        <w:rPr>
          <w:b/>
          <w:bCs/>
          <w:lang w:val="uk-UA"/>
        </w:rPr>
        <w:t xml:space="preserve">. </w:t>
      </w:r>
      <w:r>
        <w:rPr>
          <w:lang w:val="uk-UA"/>
        </w:rPr>
        <w:t>32,6% респондентів вважають, що «недосконале законодавство або його відсутність» дозволяє бізнесу використовувати схеми заниження податків. Крім того, 29,1% респондентів пов'язують цю проблему зі «слабким відчуттям відповідальності бізнесу». 19,0% респондентів назвали можливість неформальних трудових відносин причиною, через яку компанії здатні зменшувати свою податкову базу. 39,3% респондентів визнали, що «не знають», що уможливлює такі схеми.</w:t>
      </w:r>
    </w:p>
    <w:p>
      <w:pPr>
        <w:pStyle w:val="ListParagraph"/>
        <w:ind w:left="360"/>
        <w:jc w:val="both"/>
        <w:rPr>
          <w:rFonts w:cs="Calibri" w:cstheme="minorHAnsi"/>
          <w:lang w:val="uk-UA"/>
        </w:rPr>
      </w:pPr>
      <w:r>
        <w:rPr>
          <w:rFonts w:cs="Calibri" w:cstheme="minorHAnsi"/>
          <w:lang w:val="uk-UA"/>
        </w:rPr>
      </w:r>
      <w:bookmarkStart w:id="34" w:name="_Ref175316974"/>
      <w:bookmarkStart w:id="35" w:name="_Ref175316974"/>
    </w:p>
    <w:p>
      <w:pPr>
        <w:pStyle w:val="Normal"/>
        <w:jc w:val="both"/>
        <w:rPr>
          <w:lang w:val="uk-UA"/>
        </w:rPr>
      </w:pPr>
      <w:bookmarkStart w:id="36" w:name="_Ref175316974"/>
      <w:r>
        <w:rPr>
          <w:b/>
          <w:bCs/>
          <w:lang w:val="uk-UA"/>
        </w:rPr>
        <w:t>Рисунок</w:t>
      </w:r>
      <w:bookmarkEnd w:id="36"/>
      <w:r>
        <w:rPr>
          <w:b/>
          <w:bCs/>
          <w:lang w:val="uk-UA"/>
        </w:rPr>
        <w:t xml:space="preserve"> 20.  Що дозволяє бізнесу використовувати різні схеми зменшення бази оподаткування? (відсоток респондентів)</w:t>
      </w:r>
    </w:p>
    <w:p>
      <w:pPr>
        <w:pStyle w:val="Normal"/>
        <w:keepNext w:val="true"/>
        <w:rPr>
          <w:lang w:val="uk-UA"/>
        </w:rPr>
      </w:pPr>
      <w:r>
        <w:rPr/>
        <mc:AlternateContent>
          <mc:Choice Requires="wps">
            <w:drawing>
              <wp:anchor behindDoc="0" distT="0" distB="0" distL="0" distR="0" simplePos="0" locked="0" layoutInCell="1" allowOverlap="1" relativeHeight="47" wp14:anchorId="3670C757">
                <wp:simplePos x="0" y="0"/>
                <wp:positionH relativeFrom="column">
                  <wp:posOffset>-43180</wp:posOffset>
                </wp:positionH>
                <wp:positionV relativeFrom="paragraph">
                  <wp:posOffset>109855</wp:posOffset>
                </wp:positionV>
                <wp:extent cx="2143125" cy="2155190"/>
                <wp:effectExtent l="0" t="0" r="0" b="0"/>
                <wp:wrapNone/>
                <wp:docPr id="44" name="Text Box 2"/>
                <a:graphic xmlns:a="http://schemas.openxmlformats.org/drawingml/2006/main">
                  <a:graphicData uri="http://schemas.microsoft.com/office/word/2010/wordprocessingShape">
                    <wps:wsp>
                      <wps:cNvSpPr/>
                      <wps:spPr>
                        <a:xfrm>
                          <a:off x="0" y="0"/>
                          <a:ext cx="2143080" cy="2155320"/>
                        </a:xfrm>
                        <a:prstGeom prst="rect">
                          <a:avLst/>
                        </a:prstGeom>
                        <a:solidFill>
                          <a:srgbClr val="ffffff"/>
                        </a:solidFill>
                        <a:ln w="9525">
                          <a:noFill/>
                        </a:ln>
                      </wps:spPr>
                      <wps:style>
                        <a:lnRef idx="0"/>
                        <a:fillRef idx="0"/>
                        <a:effectRef idx="0"/>
                        <a:fontRef idx="minor"/>
                      </wps:style>
                      <wps:txbx>
                        <w:txbxContent>
                          <w:p>
                            <w:pPr>
                              <w:pStyle w:val="Style27"/>
                              <w:jc w:val="right"/>
                              <w:rPr>
                                <w:sz w:val="16"/>
                                <w:szCs w:val="16"/>
                                <w:lang w:val="uk-UA"/>
                              </w:rPr>
                            </w:pPr>
                            <w:r>
                              <w:rPr>
                                <w:sz w:val="16"/>
                                <w:szCs w:val="16"/>
                                <w:lang w:val="uk-UA"/>
                              </w:rPr>
                              <w:t>Недосконалі закони або відсутність законодавства</w:t>
                            </w:r>
                          </w:p>
                          <w:p>
                            <w:pPr>
                              <w:pStyle w:val="Style27"/>
                              <w:jc w:val="right"/>
                              <w:rPr>
                                <w:sz w:val="16"/>
                                <w:szCs w:val="16"/>
                                <w:lang w:val="uk-UA"/>
                              </w:rPr>
                            </w:pPr>
                            <w:r>
                              <w:rPr>
                                <w:sz w:val="16"/>
                                <w:szCs w:val="16"/>
                                <w:lang w:val="uk-UA"/>
                              </w:rPr>
                              <w:t>Слабке відчуття відповідальності бізнесу</w:t>
                            </w:r>
                          </w:p>
                          <w:p>
                            <w:pPr>
                              <w:pStyle w:val="Style27"/>
                              <w:spacing w:before="0" w:after="0"/>
                              <w:jc w:val="right"/>
                              <w:rPr>
                                <w:sz w:val="16"/>
                                <w:szCs w:val="16"/>
                                <w:lang w:val="uk-UA"/>
                              </w:rPr>
                            </w:pPr>
                            <w:r>
                              <w:rPr>
                                <w:sz w:val="16"/>
                                <w:szCs w:val="16"/>
                                <w:lang w:val="uk-UA"/>
                              </w:rPr>
                              <w:t>Вміння вести неформальні переговори з представниками</w:t>
                            </w:r>
                          </w:p>
                          <w:p>
                            <w:pPr>
                              <w:pStyle w:val="Style27"/>
                              <w:spacing w:before="0" w:after="0"/>
                              <w:jc w:val="right"/>
                              <w:rPr>
                                <w:sz w:val="16"/>
                                <w:szCs w:val="16"/>
                                <w:lang w:val="uk-UA"/>
                              </w:rPr>
                            </w:pPr>
                            <w:r>
                              <w:rPr>
                                <w:sz w:val="16"/>
                                <w:szCs w:val="16"/>
                                <w:lang w:val="uk-UA"/>
                              </w:rPr>
                              <w:t>Некомпетентність працівників податкових органів</w:t>
                            </w:r>
                          </w:p>
                          <w:p>
                            <w:pPr>
                              <w:pStyle w:val="Style27"/>
                              <w:spacing w:before="240" w:after="160"/>
                              <w:jc w:val="right"/>
                              <w:rPr>
                                <w:sz w:val="16"/>
                                <w:szCs w:val="16"/>
                                <w:lang w:val="uk-UA"/>
                              </w:rPr>
                            </w:pPr>
                            <w:r>
                              <w:rPr>
                                <w:sz w:val="16"/>
                                <w:szCs w:val="16"/>
                                <w:lang w:val="uk-UA"/>
                              </w:rPr>
                              <w:t>Слабкий контроль з боку податкових органів</w:t>
                            </w:r>
                          </w:p>
                          <w:p>
                            <w:pPr>
                              <w:pStyle w:val="Style27"/>
                              <w:jc w:val="right"/>
                              <w:rPr>
                                <w:sz w:val="16"/>
                                <w:szCs w:val="16"/>
                                <w:lang w:val="uk-UA"/>
                              </w:rPr>
                            </w:pPr>
                            <w:r>
                              <w:rPr>
                                <w:sz w:val="16"/>
                                <w:szCs w:val="16"/>
                                <w:lang w:val="uk-UA"/>
                              </w:rPr>
                              <w:t>Мораторій на перевірки бізнесу</w:t>
                            </w:r>
                          </w:p>
                          <w:p>
                            <w:pPr>
                              <w:pStyle w:val="Style27"/>
                              <w:jc w:val="right"/>
                              <w:rPr>
                                <w:sz w:val="16"/>
                                <w:szCs w:val="16"/>
                                <w:lang w:val="uk-UA"/>
                              </w:rPr>
                            </w:pPr>
                            <w:r>
                              <w:rPr>
                                <w:sz w:val="16"/>
                                <w:szCs w:val="16"/>
                                <w:lang w:val="uk-UA"/>
                              </w:rPr>
                              <w:t>Інше (вкажіть)</w:t>
                            </w:r>
                          </w:p>
                          <w:p>
                            <w:pPr>
                              <w:pStyle w:val="Style27"/>
                              <w:spacing w:before="0" w:after="160"/>
                              <w:jc w:val="right"/>
                              <w:rPr>
                                <w:sz w:val="16"/>
                                <w:szCs w:val="16"/>
                                <w:lang w:val="ru-RU"/>
                              </w:rPr>
                            </w:pPr>
                            <w:r>
                              <w:rPr/>
                            </w:r>
                          </w:p>
                        </w:txbxContent>
                      </wps:txbx>
                      <wps:bodyPr anchor="t">
                        <a:noAutofit/>
                      </wps:bodyPr>
                    </wps:wsp>
                  </a:graphicData>
                </a:graphic>
              </wp:anchor>
            </w:drawing>
          </mc:Choice>
          <mc:Fallback>
            <w:pict>
              <v:rect id="shape_0" ID="Text Box 2" path="m0,0l-2147483645,0l-2147483645,-2147483646l0,-2147483646xe" fillcolor="white" stroked="f" o:allowincell="f" style="position:absolute;margin-left:-3.4pt;margin-top:8.65pt;width:168.7pt;height:169.65pt;mso-wrap-style:square;v-text-anchor:top" wp14:anchorId="3670C757">
                <v:fill o:detectmouseclick="t" type="solid" color2="black"/>
                <v:stroke color="#3465a4" weight="9360" joinstyle="miter" endcap="flat"/>
                <v:textbox>
                  <w:txbxContent>
                    <w:p>
                      <w:pPr>
                        <w:pStyle w:val="Style27"/>
                        <w:jc w:val="right"/>
                        <w:rPr>
                          <w:sz w:val="16"/>
                          <w:szCs w:val="16"/>
                          <w:lang w:val="uk-UA"/>
                        </w:rPr>
                      </w:pPr>
                      <w:r>
                        <w:rPr>
                          <w:sz w:val="16"/>
                          <w:szCs w:val="16"/>
                          <w:lang w:val="uk-UA"/>
                        </w:rPr>
                        <w:t>Недосконалі закони або відсутність законодавства</w:t>
                      </w:r>
                    </w:p>
                    <w:p>
                      <w:pPr>
                        <w:pStyle w:val="Style27"/>
                        <w:jc w:val="right"/>
                        <w:rPr>
                          <w:sz w:val="16"/>
                          <w:szCs w:val="16"/>
                          <w:lang w:val="uk-UA"/>
                        </w:rPr>
                      </w:pPr>
                      <w:r>
                        <w:rPr>
                          <w:sz w:val="16"/>
                          <w:szCs w:val="16"/>
                          <w:lang w:val="uk-UA"/>
                        </w:rPr>
                        <w:t>Слабке відчуття відповідальності бізнесу</w:t>
                      </w:r>
                    </w:p>
                    <w:p>
                      <w:pPr>
                        <w:pStyle w:val="Style27"/>
                        <w:spacing w:before="0" w:after="0"/>
                        <w:jc w:val="right"/>
                        <w:rPr>
                          <w:sz w:val="16"/>
                          <w:szCs w:val="16"/>
                          <w:lang w:val="uk-UA"/>
                        </w:rPr>
                      </w:pPr>
                      <w:r>
                        <w:rPr>
                          <w:sz w:val="16"/>
                          <w:szCs w:val="16"/>
                          <w:lang w:val="uk-UA"/>
                        </w:rPr>
                        <w:t>Вміння вести неформальні переговори з представниками</w:t>
                      </w:r>
                    </w:p>
                    <w:p>
                      <w:pPr>
                        <w:pStyle w:val="Style27"/>
                        <w:spacing w:before="0" w:after="0"/>
                        <w:jc w:val="right"/>
                        <w:rPr>
                          <w:sz w:val="16"/>
                          <w:szCs w:val="16"/>
                          <w:lang w:val="uk-UA"/>
                        </w:rPr>
                      </w:pPr>
                      <w:r>
                        <w:rPr>
                          <w:sz w:val="16"/>
                          <w:szCs w:val="16"/>
                          <w:lang w:val="uk-UA"/>
                        </w:rPr>
                        <w:t>Некомпетентність працівників податкових органів</w:t>
                      </w:r>
                    </w:p>
                    <w:p>
                      <w:pPr>
                        <w:pStyle w:val="Style27"/>
                        <w:spacing w:before="240" w:after="160"/>
                        <w:jc w:val="right"/>
                        <w:rPr>
                          <w:sz w:val="16"/>
                          <w:szCs w:val="16"/>
                          <w:lang w:val="uk-UA"/>
                        </w:rPr>
                      </w:pPr>
                      <w:r>
                        <w:rPr>
                          <w:sz w:val="16"/>
                          <w:szCs w:val="16"/>
                          <w:lang w:val="uk-UA"/>
                        </w:rPr>
                        <w:t>Слабкий контроль з боку податкових органів</w:t>
                      </w:r>
                    </w:p>
                    <w:p>
                      <w:pPr>
                        <w:pStyle w:val="Style27"/>
                        <w:jc w:val="right"/>
                        <w:rPr>
                          <w:sz w:val="16"/>
                          <w:szCs w:val="16"/>
                          <w:lang w:val="uk-UA"/>
                        </w:rPr>
                      </w:pPr>
                      <w:r>
                        <w:rPr>
                          <w:sz w:val="16"/>
                          <w:szCs w:val="16"/>
                          <w:lang w:val="uk-UA"/>
                        </w:rPr>
                        <w:t>Мораторій на перевірки бізнесу</w:t>
                      </w:r>
                    </w:p>
                    <w:p>
                      <w:pPr>
                        <w:pStyle w:val="Style27"/>
                        <w:jc w:val="right"/>
                        <w:rPr>
                          <w:sz w:val="16"/>
                          <w:szCs w:val="16"/>
                          <w:lang w:val="uk-UA"/>
                        </w:rPr>
                      </w:pPr>
                      <w:r>
                        <w:rPr>
                          <w:sz w:val="16"/>
                          <w:szCs w:val="16"/>
                          <w:lang w:val="uk-UA"/>
                        </w:rPr>
                        <w:t>Інше (вкажіть)</w:t>
                      </w:r>
                    </w:p>
                    <w:p>
                      <w:pPr>
                        <w:pStyle w:val="Style27"/>
                        <w:spacing w:before="0" w:after="160"/>
                        <w:jc w:val="right"/>
                        <w:rPr>
                          <w:sz w:val="16"/>
                          <w:szCs w:val="16"/>
                          <w:lang w:val="ru-RU"/>
                        </w:rPr>
                      </w:pPr>
                      <w:r>
                        <w:rPr/>
                      </w:r>
                    </w:p>
                  </w:txbxContent>
                </v:textbox>
                <w10:wrap type="none"/>
              </v:rect>
            </w:pict>
          </mc:Fallback>
        </mc:AlternateContent>
        <w:drawing>
          <wp:inline distT="0" distB="0" distL="0" distR="0">
            <wp:extent cx="5943600" cy="2421890"/>
            <wp:effectExtent l="0" t="0" r="0" b="0"/>
            <wp:docPr id="45" name="Picture 14" descr="A graph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4" descr="A graph with blue bars&#10;&#10;Description automatically generated with medium confidence"/>
                    <pic:cNvPicPr>
                      <a:picLocks noChangeAspect="1" noChangeArrowheads="1"/>
                    </pic:cNvPicPr>
                  </pic:nvPicPr>
                  <pic:blipFill>
                    <a:blip r:embed="rId37"/>
                    <a:stretch>
                      <a:fillRect/>
                    </a:stretch>
                  </pic:blipFill>
                  <pic:spPr bwMode="auto">
                    <a:xfrm>
                      <a:off x="0" y="0"/>
                      <a:ext cx="5943600" cy="2421890"/>
                    </a:xfrm>
                    <a:prstGeom prst="rect">
                      <a:avLst/>
                    </a:prstGeom>
                  </pic:spPr>
                </pic:pic>
              </a:graphicData>
            </a:graphic>
          </wp:inline>
        </w:drawing>
      </w:r>
    </w:p>
    <w:p>
      <w:pPr>
        <w:pStyle w:val="ListParagraph"/>
        <w:numPr>
          <w:ilvl w:val="0"/>
          <w:numId w:val="2"/>
        </w:numPr>
        <w:jc w:val="both"/>
        <w:rPr>
          <w:rFonts w:cs="Calibri" w:cstheme="minorHAnsi"/>
          <w:lang w:val="uk-UA"/>
        </w:rPr>
      </w:pPr>
      <w:r>
        <w:rPr>
          <w:rStyle w:val="Strong"/>
          <w:lang w:val="uk-UA"/>
        </w:rPr>
        <w:t xml:space="preserve">Респонденти зазначили, що перешкоди, пов'язані з корупцією, неформальними практиками в галузі та податковими питаннями значно зросли у період з 2021 по 2023 рік. </w:t>
      </w:r>
      <w:r>
        <w:rPr>
          <w:lang w:val="uk-UA"/>
        </w:rPr>
        <w:t>У 2023 році 26,2% респондентів вважали корупцію дуже серйозною перешкодою порівняно з 17,7% у 2021 році. Конкуренцію з неформальним сектором вважають серйозною перешкодою 17,5% респондентів порівняно з 12,8% у 2021 році. Сприйняття податкових ставок як серйозної перешкоди зросло з 11,3% до 17,8%, а податкового регулювання - з 11,4% до 15,5% (див. Рисунок 21). Респонденти-жінки відчули особливо сильний вплив корупції: 32,0% з них назвали її серйозною перешкодою порівняно з 23,0% чоловіків.</w:t>
      </w:r>
    </w:p>
    <w:p>
      <w:pPr>
        <w:pStyle w:val="Normal"/>
        <w:jc w:val="both"/>
        <w:rPr>
          <w:b/>
          <w:bCs/>
          <w:lang w:val="uk-UA"/>
        </w:rPr>
      </w:pPr>
      <w:r>
        <w:rPr>
          <w:b/>
          <w:bCs/>
          <w:lang w:val="uk-UA"/>
        </w:rPr>
      </w:r>
      <w:bookmarkStart w:id="37" w:name="_Hlk185180269"/>
      <w:bookmarkStart w:id="38" w:name="_Hlk185180269"/>
    </w:p>
    <w:p>
      <w:pPr>
        <w:pStyle w:val="Normal"/>
        <w:jc w:val="both"/>
        <w:rPr>
          <w:b/>
          <w:bCs/>
          <w:lang w:val="uk-UA"/>
        </w:rPr>
      </w:pPr>
      <w:r>
        <w:rPr>
          <w:b/>
          <w:bCs/>
          <w:lang w:val="uk-UA"/>
        </w:rPr>
      </w:r>
    </w:p>
    <w:p>
      <w:pPr>
        <w:pStyle w:val="Normal"/>
        <w:jc w:val="both"/>
        <w:rPr>
          <w:b/>
          <w:bCs/>
          <w:i/>
          <w:i/>
          <w:iCs/>
          <w:lang w:val="uk-UA"/>
        </w:rPr>
      </w:pPr>
      <w:r>
        <w:rPr>
          <w:b/>
          <w:bCs/>
          <w:lang w:val="uk-UA"/>
        </w:rPr>
        <w:t>Рисунок 21. Перешкоди для здійснення господарської діяльності (відсоток респондентів)</w:t>
      </w:r>
      <w:r>
        <w:rPr>
          <w:rStyle w:val="FootnoteReference"/>
          <w:lang w:val="uk-UA"/>
        </w:rPr>
        <w:footnoteReference w:id="17"/>
      </w:r>
    </w:p>
    <w:p>
      <w:pPr>
        <w:pStyle w:val="Normal"/>
        <w:jc w:val="both"/>
        <w:rPr>
          <w:b/>
          <w:bCs/>
          <w:lang w:val="uk-UA"/>
        </w:rPr>
      </w:pPr>
      <w:bookmarkStart w:id="39" w:name="_Hlk185180269"/>
      <w:r>
        <w:rPr/>
        <mc:AlternateContent>
          <mc:Choice Requires="wps">
            <w:drawing>
              <wp:anchor behindDoc="0" distT="0" distB="1905" distL="0" distR="0" simplePos="0" locked="0" layoutInCell="1" allowOverlap="1" relativeHeight="49" wp14:anchorId="42F81B7F">
                <wp:simplePos x="0" y="0"/>
                <wp:positionH relativeFrom="column">
                  <wp:posOffset>118745</wp:posOffset>
                </wp:positionH>
                <wp:positionV relativeFrom="paragraph">
                  <wp:posOffset>-31115</wp:posOffset>
                </wp:positionV>
                <wp:extent cx="5923915" cy="207645"/>
                <wp:effectExtent l="0" t="0" r="635" b="2540"/>
                <wp:wrapNone/>
                <wp:docPr id="46" name="Text Box 2"/>
                <a:graphic xmlns:a="http://schemas.openxmlformats.org/drawingml/2006/main">
                  <a:graphicData uri="http://schemas.microsoft.com/office/word/2010/wordprocessingShape">
                    <wps:wsp>
                      <wps:cNvSpPr/>
                      <wps:spPr>
                        <a:xfrm>
                          <a:off x="0" y="0"/>
                          <a:ext cx="5923800" cy="207720"/>
                        </a:xfrm>
                        <a:prstGeom prst="rect">
                          <a:avLst/>
                        </a:prstGeom>
                        <a:solidFill>
                          <a:srgbClr val="ffffff"/>
                        </a:solidFill>
                        <a:ln w="9525">
                          <a:noFill/>
                        </a:ln>
                      </wps:spPr>
                      <wps:style>
                        <a:lnRef idx="0"/>
                        <a:fillRef idx="0"/>
                        <a:effectRef idx="0"/>
                        <a:fontRef idx="minor"/>
                      </wps:style>
                      <wps:txbx>
                        <w:txbxContent>
                          <w:p>
                            <w:pPr>
                              <w:pStyle w:val="121"/>
                              <w:tabs>
                                <w:tab w:val="clear" w:pos="720"/>
                                <w:tab w:val="left" w:pos="1555" w:leader="none"/>
                                <w:tab w:val="left" w:pos="3250" w:leader="none"/>
                                <w:tab w:val="left" w:pos="6634" w:leader="none"/>
                              </w:tabs>
                              <w:spacing w:lineRule="auto" w:line="240"/>
                              <w:ind w:left="0"/>
                              <w:rPr>
                                <w:sz w:val="14"/>
                                <w:szCs w:val="14"/>
                                <w:lang w:val="uk-UA"/>
                              </w:rPr>
                            </w:pPr>
                            <w:r>
                              <w:rPr>
                                <w:color w:val="828282"/>
                                <w:sz w:val="14"/>
                                <w:szCs w:val="14"/>
                                <w:lang w:val="uk-UA"/>
                              </w:rPr>
                              <w:t>Відсутність перешкод</w:t>
                              <w:tab/>
                            </w:r>
                            <w:r>
                              <w:rPr>
                                <w:color w:val="8EC6C9"/>
                                <w:sz w:val="14"/>
                                <w:szCs w:val="14"/>
                                <w:lang w:val="uk-UA"/>
                              </w:rPr>
                              <w:t xml:space="preserve">■ </w:t>
                            </w:r>
                            <w:r>
                              <w:rPr>
                                <w:color w:val="828282"/>
                                <w:sz w:val="14"/>
                                <w:szCs w:val="14"/>
                                <w:lang w:val="uk-UA"/>
                              </w:rPr>
                              <w:t>Незначна перешкода</w:t>
                              <w:tab/>
                            </w:r>
                            <w:r>
                              <w:rPr>
                                <w:color w:val="4DACBC"/>
                                <w:sz w:val="14"/>
                                <w:szCs w:val="14"/>
                                <w:lang w:val="uk-UA"/>
                              </w:rPr>
                              <w:t xml:space="preserve">■ </w:t>
                            </w:r>
                            <w:r>
                              <w:rPr>
                                <w:color w:val="828282"/>
                                <w:sz w:val="14"/>
                                <w:szCs w:val="14"/>
                                <w:lang w:val="uk-UA"/>
                              </w:rPr>
                              <w:t xml:space="preserve">Помірна перешкода       </w:t>
                            </w:r>
                            <w:r>
                              <w:rPr>
                                <w:color w:val="387D9E"/>
                                <w:sz w:val="14"/>
                                <w:szCs w:val="14"/>
                                <w:lang w:val="uk-UA"/>
                              </w:rPr>
                              <w:t xml:space="preserve">■ </w:t>
                            </w:r>
                            <w:r>
                              <w:rPr>
                                <w:color w:val="828282"/>
                                <w:sz w:val="14"/>
                                <w:szCs w:val="14"/>
                                <w:lang w:val="uk-UA"/>
                              </w:rPr>
                              <w:t xml:space="preserve"> Значна перешкода</w:t>
                              <w:tab/>
                            </w:r>
                            <w:r>
                              <w:rPr>
                                <w:color w:val="315484"/>
                                <w:sz w:val="14"/>
                                <w:szCs w:val="14"/>
                                <w:lang w:val="uk-UA"/>
                              </w:rPr>
                              <w:t xml:space="preserve">■ </w:t>
                            </w:r>
                            <w:r>
                              <w:rPr>
                                <w:color w:val="828282"/>
                                <w:sz w:val="14"/>
                                <w:szCs w:val="14"/>
                                <w:lang w:val="uk-UA"/>
                              </w:rPr>
                              <w:t>Дуже серйозна перешкода</w:t>
                            </w:r>
                          </w:p>
                          <w:p>
                            <w:pPr>
                              <w:pStyle w:val="Style27"/>
                              <w:spacing w:before="0" w:after="160"/>
                              <w:rPr>
                                <w:sz w:val="14"/>
                                <w:szCs w:val="14"/>
                                <w:lang w:val="uk-UA"/>
                              </w:rPr>
                            </w:pPr>
                            <w:r>
                              <w:rPr/>
                            </w:r>
                          </w:p>
                        </w:txbxContent>
                      </wps:txbx>
                      <wps:bodyPr anchor="t">
                        <a:noAutofit/>
                      </wps:bodyPr>
                    </wps:wsp>
                  </a:graphicData>
                </a:graphic>
              </wp:anchor>
            </w:drawing>
          </mc:Choice>
          <mc:Fallback>
            <w:pict>
              <v:rect id="shape_0" ID="Text Box 2" path="m0,0l-2147483645,0l-2147483645,-2147483646l0,-2147483646xe" fillcolor="white" stroked="f" o:allowincell="f" style="position:absolute;margin-left:9.35pt;margin-top:-2.45pt;width:466.4pt;height:16.3pt;mso-wrap-style:square;v-text-anchor:top" wp14:anchorId="42F81B7F">
                <v:fill o:detectmouseclick="t" type="solid" color2="black"/>
                <v:stroke color="#3465a4" weight="9360" joinstyle="miter" endcap="flat"/>
                <v:textbox>
                  <w:txbxContent>
                    <w:p>
                      <w:pPr>
                        <w:pStyle w:val="121"/>
                        <w:tabs>
                          <w:tab w:val="clear" w:pos="720"/>
                          <w:tab w:val="left" w:pos="1555" w:leader="none"/>
                          <w:tab w:val="left" w:pos="3250" w:leader="none"/>
                          <w:tab w:val="left" w:pos="6634" w:leader="none"/>
                        </w:tabs>
                        <w:spacing w:lineRule="auto" w:line="240"/>
                        <w:ind w:left="0"/>
                        <w:rPr>
                          <w:sz w:val="14"/>
                          <w:szCs w:val="14"/>
                          <w:lang w:val="uk-UA"/>
                        </w:rPr>
                      </w:pPr>
                      <w:r>
                        <w:rPr>
                          <w:color w:val="828282"/>
                          <w:sz w:val="14"/>
                          <w:szCs w:val="14"/>
                          <w:lang w:val="uk-UA"/>
                        </w:rPr>
                        <w:t>Відсутність перешкод</w:t>
                        <w:tab/>
                      </w:r>
                      <w:r>
                        <w:rPr>
                          <w:color w:val="8EC6C9"/>
                          <w:sz w:val="14"/>
                          <w:szCs w:val="14"/>
                          <w:lang w:val="uk-UA"/>
                        </w:rPr>
                        <w:t xml:space="preserve">■ </w:t>
                      </w:r>
                      <w:r>
                        <w:rPr>
                          <w:color w:val="828282"/>
                          <w:sz w:val="14"/>
                          <w:szCs w:val="14"/>
                          <w:lang w:val="uk-UA"/>
                        </w:rPr>
                        <w:t>Незначна перешкода</w:t>
                        <w:tab/>
                      </w:r>
                      <w:r>
                        <w:rPr>
                          <w:color w:val="4DACBC"/>
                          <w:sz w:val="14"/>
                          <w:szCs w:val="14"/>
                          <w:lang w:val="uk-UA"/>
                        </w:rPr>
                        <w:t xml:space="preserve">■ </w:t>
                      </w:r>
                      <w:r>
                        <w:rPr>
                          <w:color w:val="828282"/>
                          <w:sz w:val="14"/>
                          <w:szCs w:val="14"/>
                          <w:lang w:val="uk-UA"/>
                        </w:rPr>
                        <w:t xml:space="preserve">Помірна перешкода       </w:t>
                      </w:r>
                      <w:r>
                        <w:rPr>
                          <w:color w:val="387D9E"/>
                          <w:sz w:val="14"/>
                          <w:szCs w:val="14"/>
                          <w:lang w:val="uk-UA"/>
                        </w:rPr>
                        <w:t xml:space="preserve">■ </w:t>
                      </w:r>
                      <w:r>
                        <w:rPr>
                          <w:color w:val="828282"/>
                          <w:sz w:val="14"/>
                          <w:szCs w:val="14"/>
                          <w:lang w:val="uk-UA"/>
                        </w:rPr>
                        <w:t xml:space="preserve"> Значна перешкода</w:t>
                        <w:tab/>
                      </w:r>
                      <w:r>
                        <w:rPr>
                          <w:color w:val="315484"/>
                          <w:sz w:val="14"/>
                          <w:szCs w:val="14"/>
                          <w:lang w:val="uk-UA"/>
                        </w:rPr>
                        <w:t xml:space="preserve">■ </w:t>
                      </w:r>
                      <w:r>
                        <w:rPr>
                          <w:color w:val="828282"/>
                          <w:sz w:val="14"/>
                          <w:szCs w:val="14"/>
                          <w:lang w:val="uk-UA"/>
                        </w:rPr>
                        <w:t>Дуже серйозна перешкода</w:t>
                      </w:r>
                    </w:p>
                    <w:p>
                      <w:pPr>
                        <w:pStyle w:val="Style27"/>
                        <w:spacing w:before="0" w:after="160"/>
                        <w:rPr>
                          <w:sz w:val="14"/>
                          <w:szCs w:val="14"/>
                          <w:lang w:val="uk-UA"/>
                        </w:rPr>
                      </w:pPr>
                      <w:r>
                        <w:rPr/>
                      </w:r>
                    </w:p>
                  </w:txbxContent>
                </v:textbox>
                <w10:wrap type="none"/>
              </v:rect>
            </w:pict>
          </mc:Fallback>
        </mc:AlternateContent>
        <mc:AlternateContent>
          <mc:Choice Requires="wps">
            <w:drawing>
              <wp:anchor behindDoc="0" distT="0" distB="3810" distL="0" distR="5715" simplePos="0" locked="0" layoutInCell="1" allowOverlap="1" relativeHeight="55" wp14:anchorId="68C999F9">
                <wp:simplePos x="0" y="0"/>
                <wp:positionH relativeFrom="column">
                  <wp:posOffset>-129540</wp:posOffset>
                </wp:positionH>
                <wp:positionV relativeFrom="paragraph">
                  <wp:posOffset>231775</wp:posOffset>
                </wp:positionV>
                <wp:extent cx="1727835" cy="2688590"/>
                <wp:effectExtent l="635" t="0" r="0" b="0"/>
                <wp:wrapNone/>
                <wp:docPr id="47" name="Text Box 1"/>
                <a:graphic xmlns:a="http://schemas.openxmlformats.org/drawingml/2006/main">
                  <a:graphicData uri="http://schemas.microsoft.com/office/word/2010/wordprocessingShape">
                    <wps:wsp>
                      <wps:cNvSpPr/>
                      <wps:spPr>
                        <a:xfrm>
                          <a:off x="0" y="0"/>
                          <a:ext cx="1728000" cy="2688480"/>
                        </a:xfrm>
                        <a:prstGeom prst="rect">
                          <a:avLst/>
                        </a:prstGeom>
                        <a:solidFill>
                          <a:srgbClr val="ffffff"/>
                        </a:solidFill>
                        <a:ln w="9525">
                          <a:noFill/>
                        </a:ln>
                      </wps:spPr>
                      <wps:style>
                        <a:lnRef idx="0"/>
                        <a:fillRef idx="0"/>
                        <a:effectRef idx="0"/>
                        <a:fontRef idx="minor"/>
                      </wps:style>
                      <wps:txbx>
                        <w:txbxContent>
                          <w:tbl>
                            <w:tblPr>
                              <w:tblW w:w="2458" w:type="dxa"/>
                              <w:jc w:val="left"/>
                              <w:tblInd w:w="0" w:type="dxa"/>
                              <w:tblLayout w:type="fixed"/>
                              <w:tblCellMar>
                                <w:top w:w="0" w:type="dxa"/>
                                <w:left w:w="10" w:type="dxa"/>
                                <w:bottom w:w="0" w:type="dxa"/>
                                <w:right w:w="10" w:type="dxa"/>
                              </w:tblCellMar>
                              <w:tblLook w:firstRow="1" w:noVBand="1" w:lastRow="0" w:firstColumn="1" w:lastColumn="0" w:noHBand="0" w:val="04a0"/>
                            </w:tblPr>
                            <w:tblGrid>
                              <w:gridCol w:w="2458"/>
                            </w:tblGrid>
                            <w:tr>
                              <w:trPr>
                                <w:trHeight w:val="341" w:hRule="exact"/>
                              </w:trPr>
                              <w:tc>
                                <w:tcPr>
                                  <w:tcW w:w="2458" w:type="dxa"/>
                                  <w:tcBorders/>
                                  <w:shd w:color="auto" w:fill="auto" w:val="clear"/>
                                </w:tcPr>
                                <w:p>
                                  <w:pPr>
                                    <w:pStyle w:val="Style26"/>
                                    <w:spacing w:before="0" w:after="60"/>
                                    <w:rPr>
                                      <w:sz w:val="13"/>
                                      <w:szCs w:val="13"/>
                                      <w:lang w:val="uk-UA"/>
                                    </w:rPr>
                                  </w:pPr>
                                  <w:r>
                                    <w:rPr>
                                      <w:rFonts w:eastAsia="Arial" w:cs="Arial" w:ascii="Arial" w:hAnsi="Arial"/>
                                      <w:color w:val="2D2D2E"/>
                                      <w:sz w:val="13"/>
                                      <w:szCs w:val="13"/>
                                      <w:lang w:val="uk-UA"/>
                                    </w:rPr>
                                    <w:t>Корупція у 2021 році</w:t>
                                  </w:r>
                                </w:p>
                              </w:tc>
                            </w:tr>
                            <w:tr>
                              <w:trPr>
                                <w:trHeight w:val="533" w:hRule="exact"/>
                              </w:trPr>
                              <w:tc>
                                <w:tcPr>
                                  <w:tcW w:w="2458" w:type="dxa"/>
                                  <w:tcBorders/>
                                  <w:shd w:color="auto" w:fill="auto" w:val="clear"/>
                                  <w:vAlign w:val="center"/>
                                </w:tcPr>
                                <w:p>
                                  <w:pPr>
                                    <w:pStyle w:val="Style26"/>
                                    <w:spacing w:before="0" w:after="60"/>
                                    <w:rPr>
                                      <w:sz w:val="13"/>
                                      <w:szCs w:val="13"/>
                                      <w:lang w:val="uk-UA"/>
                                    </w:rPr>
                                  </w:pPr>
                                  <w:r>
                                    <w:rPr>
                                      <w:rFonts w:eastAsia="Arial" w:cs="Arial" w:ascii="Arial" w:hAnsi="Arial"/>
                                      <w:color w:val="2D2D2E"/>
                                      <w:sz w:val="13"/>
                                      <w:szCs w:val="13"/>
                                      <w:lang w:val="uk-UA"/>
                                    </w:rPr>
                                    <w:t>Корупція у 2023 році</w:t>
                                  </w:r>
                                </w:p>
                              </w:tc>
                            </w:tr>
                            <w:tr>
                              <w:trPr>
                                <w:trHeight w:val="528" w:hRule="exact"/>
                              </w:trPr>
                              <w:tc>
                                <w:tcPr>
                                  <w:tcW w:w="2458" w:type="dxa"/>
                                  <w:tcBorders/>
                                  <w:shd w:color="auto" w:fill="auto" w:val="clear"/>
                                  <w:vAlign w:val="center"/>
                                </w:tcPr>
                                <w:p>
                                  <w:pPr>
                                    <w:pStyle w:val="Style26"/>
                                    <w:spacing w:before="0" w:after="60"/>
                                    <w:rPr>
                                      <w:sz w:val="13"/>
                                      <w:szCs w:val="13"/>
                                      <w:lang w:val="uk-UA"/>
                                    </w:rPr>
                                  </w:pPr>
                                  <w:r>
                                    <w:rPr>
                                      <w:rFonts w:eastAsia="Arial" w:cs="Arial" w:ascii="Arial" w:hAnsi="Arial"/>
                                      <w:color w:val="2D2D2E"/>
                                      <w:sz w:val="13"/>
                                      <w:szCs w:val="13"/>
                                      <w:lang w:val="uk-UA"/>
                                    </w:rPr>
                                    <w:t>Практики конкурентів у неформальному секторі у 2021 році</w:t>
                                  </w:r>
                                </w:p>
                              </w:tc>
                            </w:tr>
                            <w:tr>
                              <w:trPr>
                                <w:trHeight w:val="533" w:hRule="exact"/>
                              </w:trPr>
                              <w:tc>
                                <w:tcPr>
                                  <w:tcW w:w="2458" w:type="dxa"/>
                                  <w:tcBorders/>
                                  <w:shd w:color="auto" w:fill="auto" w:val="clear"/>
                                  <w:vAlign w:val="center"/>
                                </w:tcPr>
                                <w:p>
                                  <w:pPr>
                                    <w:pStyle w:val="Style26"/>
                                    <w:spacing w:before="0" w:after="60"/>
                                    <w:rPr>
                                      <w:sz w:val="13"/>
                                      <w:szCs w:val="13"/>
                                      <w:lang w:val="uk-UA"/>
                                    </w:rPr>
                                  </w:pPr>
                                  <w:r>
                                    <w:rPr>
                                      <w:rFonts w:eastAsia="Arial" w:cs="Arial" w:ascii="Arial" w:hAnsi="Arial"/>
                                      <w:color w:val="2D2D2E"/>
                                      <w:sz w:val="13"/>
                                      <w:szCs w:val="13"/>
                                      <w:lang w:val="uk-UA"/>
                                    </w:rPr>
                                    <w:t>Практики конкурентів у неформальному секторі у 2023 році</w:t>
                                  </w:r>
                                </w:p>
                              </w:tc>
                            </w:tr>
                            <w:tr>
                              <w:trPr>
                                <w:trHeight w:val="528" w:hRule="exact"/>
                              </w:trPr>
                              <w:tc>
                                <w:tcPr>
                                  <w:tcW w:w="2458" w:type="dxa"/>
                                  <w:tcBorders/>
                                  <w:shd w:color="auto" w:fill="auto" w:val="clear"/>
                                  <w:vAlign w:val="center"/>
                                </w:tcPr>
                                <w:p>
                                  <w:pPr>
                                    <w:pStyle w:val="Style26"/>
                                    <w:spacing w:before="0" w:after="60"/>
                                    <w:rPr>
                                      <w:sz w:val="13"/>
                                      <w:szCs w:val="13"/>
                                      <w:lang w:val="uk-UA"/>
                                    </w:rPr>
                                  </w:pPr>
                                  <w:r>
                                    <w:rPr>
                                      <w:rFonts w:eastAsia="Arial" w:cs="Arial" w:ascii="Arial" w:hAnsi="Arial"/>
                                      <w:color w:val="2D2D2E"/>
                                      <w:sz w:val="13"/>
                                      <w:szCs w:val="13"/>
                                      <w:lang w:val="uk-UA"/>
                                    </w:rPr>
                                    <w:t>Ставки податків у 2021 році</w:t>
                                  </w:r>
                                </w:p>
                              </w:tc>
                            </w:tr>
                            <w:tr>
                              <w:trPr>
                                <w:trHeight w:val="533" w:hRule="exact"/>
                              </w:trPr>
                              <w:tc>
                                <w:tcPr>
                                  <w:tcW w:w="2458" w:type="dxa"/>
                                  <w:tcBorders/>
                                  <w:shd w:color="auto" w:fill="auto" w:val="clear"/>
                                  <w:vAlign w:val="center"/>
                                </w:tcPr>
                                <w:p>
                                  <w:pPr>
                                    <w:pStyle w:val="Style26"/>
                                    <w:spacing w:before="0" w:after="60"/>
                                    <w:rPr>
                                      <w:sz w:val="13"/>
                                      <w:szCs w:val="13"/>
                                      <w:lang w:val="uk-UA"/>
                                    </w:rPr>
                                  </w:pPr>
                                  <w:r>
                                    <w:rPr>
                                      <w:rFonts w:eastAsia="Arial" w:cs="Arial" w:ascii="Arial" w:hAnsi="Arial"/>
                                      <w:color w:val="2D2D2E"/>
                                      <w:sz w:val="13"/>
                                      <w:szCs w:val="13"/>
                                      <w:lang w:val="uk-UA"/>
                                    </w:rPr>
                                    <w:t>Ставки податків у 2023 році</w:t>
                                  </w:r>
                                </w:p>
                              </w:tc>
                            </w:tr>
                            <w:tr>
                              <w:trPr>
                                <w:trHeight w:val="528" w:hRule="exact"/>
                              </w:trPr>
                              <w:tc>
                                <w:tcPr>
                                  <w:tcW w:w="2458" w:type="dxa"/>
                                  <w:tcBorders/>
                                  <w:shd w:color="auto" w:fill="auto" w:val="clear"/>
                                  <w:vAlign w:val="center"/>
                                </w:tcPr>
                                <w:p>
                                  <w:pPr>
                                    <w:pStyle w:val="Style26"/>
                                    <w:spacing w:before="0" w:after="60"/>
                                    <w:rPr>
                                      <w:sz w:val="13"/>
                                      <w:szCs w:val="13"/>
                                      <w:lang w:val="uk-UA"/>
                                    </w:rPr>
                                  </w:pPr>
                                  <w:r>
                                    <w:rPr>
                                      <w:rFonts w:eastAsia="Arial" w:cs="Arial" w:ascii="Arial" w:hAnsi="Arial"/>
                                      <w:color w:val="2D2D2E"/>
                                      <w:sz w:val="13"/>
                                      <w:szCs w:val="13"/>
                                      <w:lang w:val="uk-UA"/>
                                    </w:rPr>
                                    <w:t>Податкові правила у 2021 році</w:t>
                                  </w:r>
                                </w:p>
                              </w:tc>
                            </w:tr>
                            <w:tr>
                              <w:trPr>
                                <w:trHeight w:val="518" w:hRule="exact"/>
                              </w:trPr>
                              <w:tc>
                                <w:tcPr>
                                  <w:tcW w:w="2458" w:type="dxa"/>
                                  <w:tcBorders/>
                                  <w:shd w:color="auto" w:fill="auto" w:val="clear"/>
                                  <w:vAlign w:val="center"/>
                                </w:tcPr>
                                <w:p>
                                  <w:pPr>
                                    <w:pStyle w:val="Style26"/>
                                    <w:spacing w:before="0" w:after="60"/>
                                    <w:rPr>
                                      <w:sz w:val="13"/>
                                      <w:szCs w:val="13"/>
                                      <w:lang w:val="uk-UA"/>
                                    </w:rPr>
                                  </w:pPr>
                                  <w:r>
                                    <w:rPr>
                                      <w:rFonts w:eastAsia="Arial" w:cs="Arial" w:ascii="Arial" w:hAnsi="Arial"/>
                                      <w:color w:val="2D2D2E"/>
                                      <w:sz w:val="13"/>
                                      <w:szCs w:val="13"/>
                                      <w:lang w:val="uk-UA"/>
                                    </w:rPr>
                                    <w:t>Податкове регулювання у 2023 році</w:t>
                                  </w:r>
                                </w:p>
                              </w:tc>
                            </w:tr>
                          </w:tbl>
                          <w:p>
                            <w:pPr>
                              <w:pStyle w:val="Style27"/>
                              <w:spacing w:before="0" w:after="160"/>
                              <w:rPr>
                                <w:rFonts w:ascii="Calibri" w:hAnsi="Calibri" w:eastAsia="Calibri" w:cs="Arial"/>
                                <w:sz w:val="14"/>
                                <w:szCs w:val="14"/>
                                <w:lang w:val="uk-UA"/>
                              </w:rPr>
                            </w:pPr>
                            <w:r>
                              <w:rPr/>
                            </w:r>
                          </w:p>
                        </w:txbxContent>
                      </wps:txbx>
                      <wps:bodyPr anchor="t">
                        <a:noAutofit/>
                      </wps:bodyPr>
                    </wps:wsp>
                  </a:graphicData>
                </a:graphic>
              </wp:anchor>
            </w:drawing>
          </mc:Choice>
          <mc:Fallback>
            <w:pict>
              <v:rect id="shape_0" ID="Text Box 1" path="m0,0l-2147483645,0l-2147483645,-2147483646l0,-2147483646xe" fillcolor="white" stroked="f" o:allowincell="f" style="position:absolute;margin-left:-10.2pt;margin-top:18.25pt;width:136pt;height:211.65pt;mso-wrap-style:none;v-text-anchor:middle" wp14:anchorId="68C999F9">
                <v:fill o:detectmouseclick="t" type="solid" color2="black"/>
                <v:stroke color="#3465a4" weight="9360" joinstyle="miter" endcap="flat"/>
                <v:textbox>
                  <w:txbxContent>
                    <w:tbl>
                      <w:tblPr>
                        <w:tblW w:w="2458" w:type="dxa"/>
                        <w:jc w:val="left"/>
                        <w:tblInd w:w="0" w:type="dxa"/>
                        <w:tblLayout w:type="fixed"/>
                        <w:tblCellMar>
                          <w:top w:w="0" w:type="dxa"/>
                          <w:left w:w="10" w:type="dxa"/>
                          <w:bottom w:w="0" w:type="dxa"/>
                          <w:right w:w="10" w:type="dxa"/>
                        </w:tblCellMar>
                        <w:tblLook w:firstRow="1" w:noVBand="1" w:lastRow="0" w:firstColumn="1" w:lastColumn="0" w:noHBand="0" w:val="04a0"/>
                      </w:tblPr>
                      <w:tblGrid>
                        <w:gridCol w:w="2458"/>
                      </w:tblGrid>
                      <w:tr>
                        <w:trPr>
                          <w:trHeight w:val="341" w:hRule="exact"/>
                        </w:trPr>
                        <w:tc>
                          <w:tcPr>
                            <w:tcW w:w="2458" w:type="dxa"/>
                            <w:tcBorders/>
                            <w:shd w:color="auto" w:fill="auto" w:val="clear"/>
                          </w:tcPr>
                          <w:p>
                            <w:pPr>
                              <w:pStyle w:val="Style26"/>
                              <w:spacing w:before="0" w:after="60"/>
                              <w:rPr>
                                <w:sz w:val="13"/>
                                <w:szCs w:val="13"/>
                                <w:lang w:val="uk-UA"/>
                              </w:rPr>
                            </w:pPr>
                            <w:r>
                              <w:rPr>
                                <w:rFonts w:eastAsia="Arial" w:cs="Arial" w:ascii="Arial" w:hAnsi="Arial"/>
                                <w:color w:val="2D2D2E"/>
                                <w:sz w:val="13"/>
                                <w:szCs w:val="13"/>
                                <w:lang w:val="uk-UA"/>
                              </w:rPr>
                              <w:t>Корупція у 2021 році</w:t>
                            </w:r>
                          </w:p>
                        </w:tc>
                      </w:tr>
                      <w:tr>
                        <w:trPr>
                          <w:trHeight w:val="533" w:hRule="exact"/>
                        </w:trPr>
                        <w:tc>
                          <w:tcPr>
                            <w:tcW w:w="2458" w:type="dxa"/>
                            <w:tcBorders/>
                            <w:shd w:color="auto" w:fill="auto" w:val="clear"/>
                            <w:vAlign w:val="center"/>
                          </w:tcPr>
                          <w:p>
                            <w:pPr>
                              <w:pStyle w:val="Style26"/>
                              <w:spacing w:before="0" w:after="60"/>
                              <w:rPr>
                                <w:sz w:val="13"/>
                                <w:szCs w:val="13"/>
                                <w:lang w:val="uk-UA"/>
                              </w:rPr>
                            </w:pPr>
                            <w:r>
                              <w:rPr>
                                <w:rFonts w:eastAsia="Arial" w:cs="Arial" w:ascii="Arial" w:hAnsi="Arial"/>
                                <w:color w:val="2D2D2E"/>
                                <w:sz w:val="13"/>
                                <w:szCs w:val="13"/>
                                <w:lang w:val="uk-UA"/>
                              </w:rPr>
                              <w:t>Корупція у 2023 році</w:t>
                            </w:r>
                          </w:p>
                        </w:tc>
                      </w:tr>
                      <w:tr>
                        <w:trPr>
                          <w:trHeight w:val="528" w:hRule="exact"/>
                        </w:trPr>
                        <w:tc>
                          <w:tcPr>
                            <w:tcW w:w="2458" w:type="dxa"/>
                            <w:tcBorders/>
                            <w:shd w:color="auto" w:fill="auto" w:val="clear"/>
                            <w:vAlign w:val="center"/>
                          </w:tcPr>
                          <w:p>
                            <w:pPr>
                              <w:pStyle w:val="Style26"/>
                              <w:spacing w:before="0" w:after="60"/>
                              <w:rPr>
                                <w:sz w:val="13"/>
                                <w:szCs w:val="13"/>
                                <w:lang w:val="uk-UA"/>
                              </w:rPr>
                            </w:pPr>
                            <w:r>
                              <w:rPr>
                                <w:rFonts w:eastAsia="Arial" w:cs="Arial" w:ascii="Arial" w:hAnsi="Arial"/>
                                <w:color w:val="2D2D2E"/>
                                <w:sz w:val="13"/>
                                <w:szCs w:val="13"/>
                                <w:lang w:val="uk-UA"/>
                              </w:rPr>
                              <w:t>Практики конкурентів у неформальному секторі у 2021 році</w:t>
                            </w:r>
                          </w:p>
                        </w:tc>
                      </w:tr>
                      <w:tr>
                        <w:trPr>
                          <w:trHeight w:val="533" w:hRule="exact"/>
                        </w:trPr>
                        <w:tc>
                          <w:tcPr>
                            <w:tcW w:w="2458" w:type="dxa"/>
                            <w:tcBorders/>
                            <w:shd w:color="auto" w:fill="auto" w:val="clear"/>
                            <w:vAlign w:val="center"/>
                          </w:tcPr>
                          <w:p>
                            <w:pPr>
                              <w:pStyle w:val="Style26"/>
                              <w:spacing w:before="0" w:after="60"/>
                              <w:rPr>
                                <w:sz w:val="13"/>
                                <w:szCs w:val="13"/>
                                <w:lang w:val="uk-UA"/>
                              </w:rPr>
                            </w:pPr>
                            <w:r>
                              <w:rPr>
                                <w:rFonts w:eastAsia="Arial" w:cs="Arial" w:ascii="Arial" w:hAnsi="Arial"/>
                                <w:color w:val="2D2D2E"/>
                                <w:sz w:val="13"/>
                                <w:szCs w:val="13"/>
                                <w:lang w:val="uk-UA"/>
                              </w:rPr>
                              <w:t>Практики конкурентів у неформальному секторі у 2023 році</w:t>
                            </w:r>
                          </w:p>
                        </w:tc>
                      </w:tr>
                      <w:tr>
                        <w:trPr>
                          <w:trHeight w:val="528" w:hRule="exact"/>
                        </w:trPr>
                        <w:tc>
                          <w:tcPr>
                            <w:tcW w:w="2458" w:type="dxa"/>
                            <w:tcBorders/>
                            <w:shd w:color="auto" w:fill="auto" w:val="clear"/>
                            <w:vAlign w:val="center"/>
                          </w:tcPr>
                          <w:p>
                            <w:pPr>
                              <w:pStyle w:val="Style26"/>
                              <w:spacing w:before="0" w:after="60"/>
                              <w:rPr>
                                <w:sz w:val="13"/>
                                <w:szCs w:val="13"/>
                                <w:lang w:val="uk-UA"/>
                              </w:rPr>
                            </w:pPr>
                            <w:r>
                              <w:rPr>
                                <w:rFonts w:eastAsia="Arial" w:cs="Arial" w:ascii="Arial" w:hAnsi="Arial"/>
                                <w:color w:val="2D2D2E"/>
                                <w:sz w:val="13"/>
                                <w:szCs w:val="13"/>
                                <w:lang w:val="uk-UA"/>
                              </w:rPr>
                              <w:t>Ставки податків у 2021 році</w:t>
                            </w:r>
                          </w:p>
                        </w:tc>
                      </w:tr>
                      <w:tr>
                        <w:trPr>
                          <w:trHeight w:val="533" w:hRule="exact"/>
                        </w:trPr>
                        <w:tc>
                          <w:tcPr>
                            <w:tcW w:w="2458" w:type="dxa"/>
                            <w:tcBorders/>
                            <w:shd w:color="auto" w:fill="auto" w:val="clear"/>
                            <w:vAlign w:val="center"/>
                          </w:tcPr>
                          <w:p>
                            <w:pPr>
                              <w:pStyle w:val="Style26"/>
                              <w:spacing w:before="0" w:after="60"/>
                              <w:rPr>
                                <w:sz w:val="13"/>
                                <w:szCs w:val="13"/>
                                <w:lang w:val="uk-UA"/>
                              </w:rPr>
                            </w:pPr>
                            <w:r>
                              <w:rPr>
                                <w:rFonts w:eastAsia="Arial" w:cs="Arial" w:ascii="Arial" w:hAnsi="Arial"/>
                                <w:color w:val="2D2D2E"/>
                                <w:sz w:val="13"/>
                                <w:szCs w:val="13"/>
                                <w:lang w:val="uk-UA"/>
                              </w:rPr>
                              <w:t>Ставки податків у 2023 році</w:t>
                            </w:r>
                          </w:p>
                        </w:tc>
                      </w:tr>
                      <w:tr>
                        <w:trPr>
                          <w:trHeight w:val="528" w:hRule="exact"/>
                        </w:trPr>
                        <w:tc>
                          <w:tcPr>
                            <w:tcW w:w="2458" w:type="dxa"/>
                            <w:tcBorders/>
                            <w:shd w:color="auto" w:fill="auto" w:val="clear"/>
                            <w:vAlign w:val="center"/>
                          </w:tcPr>
                          <w:p>
                            <w:pPr>
                              <w:pStyle w:val="Style26"/>
                              <w:spacing w:before="0" w:after="60"/>
                              <w:rPr>
                                <w:sz w:val="13"/>
                                <w:szCs w:val="13"/>
                                <w:lang w:val="uk-UA"/>
                              </w:rPr>
                            </w:pPr>
                            <w:r>
                              <w:rPr>
                                <w:rFonts w:eastAsia="Arial" w:cs="Arial" w:ascii="Arial" w:hAnsi="Arial"/>
                                <w:color w:val="2D2D2E"/>
                                <w:sz w:val="13"/>
                                <w:szCs w:val="13"/>
                                <w:lang w:val="uk-UA"/>
                              </w:rPr>
                              <w:t>Податкові правила у 2021 році</w:t>
                            </w:r>
                          </w:p>
                        </w:tc>
                      </w:tr>
                      <w:tr>
                        <w:trPr>
                          <w:trHeight w:val="518" w:hRule="exact"/>
                        </w:trPr>
                        <w:tc>
                          <w:tcPr>
                            <w:tcW w:w="2458" w:type="dxa"/>
                            <w:tcBorders/>
                            <w:shd w:color="auto" w:fill="auto" w:val="clear"/>
                            <w:vAlign w:val="center"/>
                          </w:tcPr>
                          <w:p>
                            <w:pPr>
                              <w:pStyle w:val="Style26"/>
                              <w:spacing w:before="0" w:after="60"/>
                              <w:rPr>
                                <w:sz w:val="13"/>
                                <w:szCs w:val="13"/>
                                <w:lang w:val="uk-UA"/>
                              </w:rPr>
                            </w:pPr>
                            <w:r>
                              <w:rPr>
                                <w:rFonts w:eastAsia="Arial" w:cs="Arial" w:ascii="Arial" w:hAnsi="Arial"/>
                                <w:color w:val="2D2D2E"/>
                                <w:sz w:val="13"/>
                                <w:szCs w:val="13"/>
                                <w:lang w:val="uk-UA"/>
                              </w:rPr>
                              <w:t>Податкове регулювання у 2023 році</w:t>
                            </w:r>
                          </w:p>
                        </w:tc>
                      </w:tr>
                    </w:tbl>
                    <w:p>
                      <w:pPr>
                        <w:pStyle w:val="Style27"/>
                        <w:spacing w:before="0" w:after="160"/>
                        <w:rPr>
                          <w:rFonts w:ascii="Calibri" w:hAnsi="Calibri" w:eastAsia="Calibri" w:cs="Arial"/>
                          <w:sz w:val="14"/>
                          <w:szCs w:val="14"/>
                          <w:lang w:val="uk-UA"/>
                        </w:rPr>
                      </w:pPr>
                      <w:r>
                        <w:rPr/>
                      </w:r>
                    </w:p>
                  </w:txbxContent>
                </v:textbox>
                <w10:wrap type="none"/>
              </v:rect>
            </w:pict>
          </mc:Fallback>
        </mc:AlternateContent>
        <w:drawing>
          <wp:inline distT="0" distB="0" distL="0" distR="0">
            <wp:extent cx="5647055" cy="3004820"/>
            <wp:effectExtent l="0" t="0" r="0" b="0"/>
            <wp:docPr id="48" name="Image28" descr="Dashboar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 descr="Dashboard 5"/>
                    <pic:cNvPicPr>
                      <a:picLocks noChangeAspect="1" noChangeArrowheads="1"/>
                    </pic:cNvPicPr>
                  </pic:nvPicPr>
                  <pic:blipFill>
                    <a:blip r:embed="rId38"/>
                    <a:stretch>
                      <a:fillRect/>
                    </a:stretch>
                  </pic:blipFill>
                  <pic:spPr bwMode="auto">
                    <a:xfrm>
                      <a:off x="0" y="0"/>
                      <a:ext cx="5647055" cy="3004820"/>
                    </a:xfrm>
                    <a:prstGeom prst="rect">
                      <a:avLst/>
                    </a:prstGeom>
                  </pic:spPr>
                </pic:pic>
              </a:graphicData>
            </a:graphic>
          </wp:inline>
        </w:drawing>
      </w:r>
      <w:bookmarkEnd w:id="39"/>
    </w:p>
    <w:p>
      <w:pPr>
        <w:pStyle w:val="ListParagraph"/>
        <w:numPr>
          <w:ilvl w:val="0"/>
          <w:numId w:val="2"/>
        </w:numPr>
        <w:spacing w:lineRule="auto" w:line="240" w:before="0" w:after="0"/>
        <w:contextualSpacing/>
        <w:jc w:val="both"/>
        <w:rPr>
          <w:b/>
          <w:bCs/>
          <w:lang w:val="uk-UA"/>
        </w:rPr>
      </w:pPr>
      <w:r>
        <w:rPr>
          <w:rStyle w:val="Strong"/>
          <w:rFonts w:cs="Calibri" w:cstheme="minorHAnsi"/>
          <w:lang w:val="uk-UA"/>
        </w:rPr>
        <w:t xml:space="preserve">На запитання, якою мірою неофіційні платежі чиновникам та представникам влади безпосередньо впливають на їхній бізнес, більшість респондентів відповіли, що це питання не стосується їхнього бізнесу, що вони </w:t>
      </w:r>
      <w:r>
        <w:rPr>
          <w:b/>
          <w:bCs/>
          <w:lang w:val="uk-UA"/>
        </w:rPr>
        <w:t>не впевнені у відповіді,</w:t>
      </w:r>
      <w:r>
        <w:rPr>
          <w:rStyle w:val="Strong"/>
          <w:rFonts w:cs="Calibri" w:cstheme="minorHAnsi"/>
          <w:lang w:val="uk-UA"/>
        </w:rPr>
        <w:t xml:space="preserve"> або відмовилися відповідати.</w:t>
      </w:r>
      <w:r>
        <w:rPr>
          <w:rStyle w:val="Strong"/>
          <w:rFonts w:cs="Calibri" w:cstheme="minorHAnsi"/>
          <w:b w:val="false"/>
          <w:bCs w:val="false"/>
          <w:lang w:val="uk-UA"/>
        </w:rPr>
        <w:t xml:space="preserve"> Незначна частина підприємств повідомила, що неофіційні платежі мали прямий вплив на їхній бізнес, причому ця частка майже не відрізнялася залежно від одержувача таких платежів: місцеві та регіональні чиновники - 17,9%, урядовці - 17,4% та парламентарі - 17,3%.</w:t>
      </w:r>
      <w:r>
        <w:rPr>
          <w:rStyle w:val="FootnoteReference"/>
        </w:rPr>
        <w:footnoteReference w:id="18"/>
      </w:r>
      <w:r>
        <w:rPr>
          <w:lang w:val="uk-UA"/>
        </w:rPr>
        <w:t xml:space="preserve"> </w:t>
      </w:r>
      <w:r>
        <w:rPr>
          <w:rStyle w:val="Strong"/>
          <w:rFonts w:cs="Calibri" w:cstheme="minorHAnsi"/>
          <w:b w:val="false"/>
          <w:bCs w:val="false"/>
          <w:lang w:val="uk-UA"/>
        </w:rPr>
        <w:t xml:space="preserve">  Менша група (від 4,6% до 6,2%) повідомила, що така практика мала незначний або помірний вплив. Більшість </w:t>
      </w:r>
      <w:r>
        <w:rPr>
          <w:lang w:val="uk-UA"/>
        </w:rPr>
        <w:t xml:space="preserve">респондентів - від 69,2% до 71,3% вважають, що це питання не стосується їхнього бізнесу, або вони не впевнені у відповіді, або відмовилися відповідати. </w:t>
      </w:r>
    </w:p>
    <w:p>
      <w:pPr>
        <w:pStyle w:val="ListParagraph"/>
        <w:spacing w:lineRule="auto" w:line="240" w:before="0" w:after="0"/>
        <w:ind w:left="360"/>
        <w:contextualSpacing/>
        <w:jc w:val="both"/>
        <w:rPr>
          <w:b/>
          <w:bCs/>
          <w:lang w:val="uk-UA"/>
        </w:rPr>
      </w:pPr>
      <w:r>
        <w:rPr>
          <w:b/>
          <w:bCs/>
          <w:lang w:val="uk-UA"/>
        </w:rPr>
      </w:r>
    </w:p>
    <w:p>
      <w:pPr>
        <w:pStyle w:val="Normal"/>
        <w:suppressAutoHyphens w:val="false"/>
        <w:rPr>
          <w:b/>
          <w:bCs/>
          <w:lang w:val="uk-UA"/>
        </w:rPr>
      </w:pPr>
      <w:r>
        <w:rPr>
          <w:b/>
          <w:bCs/>
          <w:lang w:val="uk-UA"/>
        </w:rPr>
      </w:r>
      <w:r>
        <w:br w:type="page"/>
      </w:r>
    </w:p>
    <w:p>
      <w:pPr>
        <w:pStyle w:val="Normal"/>
        <w:spacing w:lineRule="auto" w:line="240" w:before="0" w:after="0"/>
        <w:rPr>
          <w:b/>
          <w:bCs/>
          <w:lang w:val="uk-UA"/>
        </w:rPr>
      </w:pPr>
      <w:r>
        <w:rPr>
          <w:b/>
          <w:bCs/>
          <w:lang w:val="uk-UA"/>
        </w:rPr>
        <w:t>Рисунок 22. Якою мірою наступні практики мали безпосередній вплив на Ваш бізнес? (відсоток респондентів)</w:t>
      </w:r>
    </w:p>
    <w:p>
      <w:pPr>
        <w:pStyle w:val="Normal"/>
        <w:keepNext w:val="true"/>
        <w:spacing w:lineRule="auto" w:line="240" w:before="0" w:after="0"/>
        <w:rPr>
          <w:lang w:val="uk-UA"/>
        </w:rPr>
      </w:pPr>
      <w:r>
        <w:rPr/>
        <w:drawing>
          <wp:inline distT="0" distB="0" distL="0" distR="0">
            <wp:extent cx="5943600" cy="1994535"/>
            <wp:effectExtent l="0" t="0" r="0" b="0"/>
            <wp:docPr id="49" name="Object48"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Caption1"/>
        <w:rPr>
          <w:lang w:val="uk-UA"/>
        </w:rPr>
      </w:pPr>
      <w:r>
        <w:rPr>
          <w:lang w:val="uk-UA"/>
        </w:rPr>
      </w:r>
    </w:p>
    <w:p>
      <w:pPr>
        <w:pStyle w:val="Heading2"/>
        <w:rPr>
          <w:lang w:val="uk-UA"/>
        </w:rPr>
      </w:pPr>
      <w:bookmarkStart w:id="40" w:name="_Toc176253278"/>
      <w:bookmarkStart w:id="41" w:name="_Toc185882883"/>
      <w:bookmarkStart w:id="42" w:name="_Toc176253283"/>
      <w:bookmarkEnd w:id="40"/>
      <w:r>
        <w:rPr>
          <w:lang w:val="uk-UA"/>
        </w:rPr>
        <w:t>Висновки</w:t>
      </w:r>
      <w:bookmarkEnd w:id="41"/>
      <w:bookmarkEnd w:id="42"/>
    </w:p>
    <w:p>
      <w:pPr>
        <w:pStyle w:val="ListParagraph"/>
        <w:ind w:left="360"/>
        <w:jc w:val="both"/>
        <w:rPr>
          <w:rFonts w:cs="Calibri" w:cstheme="minorHAnsi"/>
          <w:lang w:val="uk-UA"/>
        </w:rPr>
      </w:pPr>
      <w:r>
        <w:rPr>
          <w:rFonts w:cs="Calibri" w:cstheme="minorHAnsi"/>
          <w:lang w:val="uk-UA"/>
        </w:rPr>
      </w:r>
    </w:p>
    <w:p>
      <w:pPr>
        <w:pStyle w:val="ListParagraph"/>
        <w:numPr>
          <w:ilvl w:val="0"/>
          <w:numId w:val="2"/>
        </w:numPr>
        <w:jc w:val="both"/>
        <w:rPr>
          <w:rFonts w:cs="Calibri" w:cstheme="minorHAnsi"/>
          <w:lang w:val="uk-UA"/>
        </w:rPr>
      </w:pPr>
      <w:r>
        <w:rPr>
          <w:b/>
          <w:bCs/>
          <w:lang w:val="uk-UA"/>
        </w:rPr>
        <w:t xml:space="preserve">Дане опитування сприйняття платників податків дає комплексне уявлення про багатогранний досвід взаємодії українських платників з ДПС. </w:t>
      </w:r>
      <w:r>
        <w:rPr>
          <w:lang w:val="uk-UA"/>
        </w:rPr>
        <w:t>Опитування виявило складну картину, в якій електронні сервіси та професіоналізм персоналу загалом оцінюються добре. Однак існує значний попит на чіткішу комунікацію та більш надійні цифрові сервіси. Хоча рівень впровадження електронного подання податкових декларацій є високим, і більшість підприємств використовують Електронний кабінет платника податків, часті проблеми, пов’язані з надійністю системи, складнощі з користувацьким інтерфейсом та апаратні обмеження вказують на необхідність постійного вдосконалення і підтримки цифрових податкових рішень.</w:t>
      </w:r>
    </w:p>
    <w:p>
      <w:pPr>
        <w:pStyle w:val="ListParagraph"/>
        <w:numPr>
          <w:ilvl w:val="0"/>
          <w:numId w:val="2"/>
        </w:numPr>
        <w:jc w:val="both"/>
        <w:rPr>
          <w:rFonts w:cs="Calibri" w:cstheme="minorHAnsi"/>
          <w:lang w:val="uk-UA"/>
        </w:rPr>
      </w:pPr>
      <w:r>
        <w:rPr>
          <w:b/>
          <w:bCs/>
          <w:lang w:val="uk-UA"/>
        </w:rPr>
        <w:t>Незважаючи на російське вторгнення та виклики в економіці, бізнес продовжує демонструвати стійкість, особливо в постраждалих регіонах, таких як Донецька та Луганська області.</w:t>
      </w:r>
      <w:r>
        <w:rPr>
          <w:lang w:val="uk-UA"/>
        </w:rPr>
        <w:t xml:space="preserve"> З 2022 року багато компаній переїхали, адаптуючись до нових ринкових умов шляхом перенесення операцій в онлайн або виходу на нові ринки. Однак така адаптація не повністю пом'якшила фінансове навантаження, спричинене вторгненням і частими змінами в податковому законодавстві. Зокрема, малі підприємства повідомляють про погіршення економічних умов і намагаються впоратися з високими витратами.</w:t>
      </w:r>
    </w:p>
    <w:p>
      <w:pPr>
        <w:pStyle w:val="ListParagraph"/>
        <w:numPr>
          <w:ilvl w:val="0"/>
          <w:numId w:val="2"/>
        </w:numPr>
        <w:jc w:val="both"/>
        <w:rPr>
          <w:rFonts w:cs="Calibri" w:cstheme="minorHAnsi"/>
          <w:lang w:val="uk-UA"/>
        </w:rPr>
      </w:pPr>
      <w:r>
        <w:rPr>
          <w:b/>
          <w:bCs/>
          <w:lang w:val="uk-UA"/>
        </w:rPr>
        <w:t>Дотримання податкового законодавства і пов'язані з цим витрати є значним тягарем для бізнесу, зокрема такі як єдиний соціальний внесок, єдиний податок і податок на доходи фізичних осіб/ військовий збір.</w:t>
      </w:r>
      <w:r>
        <w:rPr>
          <w:lang w:val="uk-UA"/>
        </w:rPr>
        <w:t xml:space="preserve"> Ці податки вважаються особливо обтяжливими з точки зору частоти дотримання податкового законодавства та потреб у ресурсах. Часті зміни в податковому законодавстві та відсутність чітких, доступних інструкцій від податкових органів загострюють ці проблеми. </w:t>
      </w:r>
    </w:p>
    <w:p>
      <w:pPr>
        <w:pStyle w:val="ListParagraph"/>
        <w:numPr>
          <w:ilvl w:val="0"/>
          <w:numId w:val="2"/>
        </w:numPr>
        <w:ind w:hanging="450" w:left="360"/>
        <w:jc w:val="both"/>
        <w:rPr>
          <w:rFonts w:cs="Calibri" w:cstheme="minorHAnsi"/>
          <w:lang w:val="uk-UA"/>
        </w:rPr>
      </w:pPr>
      <w:r>
        <w:rPr>
          <w:b/>
          <w:bCs/>
          <w:lang w:val="uk-UA"/>
        </w:rPr>
        <w:t>Взаємодія між бізнесом і податковими органами демонструє неоднозначний досвід, особливо щодо податкових перевірок та процесу оскарження.</w:t>
      </w:r>
      <w:r>
        <w:rPr>
          <w:lang w:val="uk-UA"/>
        </w:rPr>
        <w:t xml:space="preserve"> Великі підприємства частіше отримують офіційну документацію під час перевірок, і їм частіше надсилають додаткові податкові запити. Хоча багато підприємств вважають штрафи справедливими, багато з тих, хто не погоджується з ними, утримуються від оскарження через брак довіри до процесу, що підкреслює необхідність підвищення прозорості та надійності системи оскарження рішень Податкової служби. </w:t>
      </w:r>
    </w:p>
    <w:p>
      <w:pPr>
        <w:pStyle w:val="ListParagraph"/>
        <w:numPr>
          <w:ilvl w:val="0"/>
          <w:numId w:val="2"/>
        </w:numPr>
        <w:ind w:hanging="450" w:left="360"/>
        <w:jc w:val="both"/>
        <w:rPr>
          <w:rFonts w:cs="Calibri" w:cstheme="minorHAnsi"/>
          <w:lang w:val="uk-UA"/>
        </w:rPr>
      </w:pPr>
      <w:r>
        <w:rPr>
          <w:b/>
          <w:bCs/>
          <w:lang w:val="uk-UA"/>
        </w:rPr>
        <w:t xml:space="preserve">Якість послуг і задоволеність платників податків роботою ДПС є неоднозначними. </w:t>
      </w:r>
      <w:r>
        <w:rPr>
          <w:lang w:val="uk-UA"/>
        </w:rPr>
        <w:t xml:space="preserve">Професіоналізм та ввічливість працівників ДПС оцінюються позитивно, проте залишаються проблеми з розумінням податкового законодавства і доступом до якісних консультацій. Хоча дистанційна взаємодія та електронне подання звітності загалом сприймаються добре, є нарікання на зручність цих систем для користувачів. </w:t>
      </w:r>
    </w:p>
    <w:p>
      <w:pPr>
        <w:pStyle w:val="ListParagraph"/>
        <w:numPr>
          <w:ilvl w:val="0"/>
          <w:numId w:val="2"/>
        </w:numPr>
        <w:ind w:hanging="450" w:left="360"/>
        <w:jc w:val="both"/>
        <w:rPr>
          <w:rFonts w:cs="Calibri" w:cstheme="minorHAnsi"/>
          <w:lang w:val="uk-UA"/>
        </w:rPr>
      </w:pPr>
      <w:r>
        <w:rPr>
          <w:b/>
          <w:bCs/>
          <w:lang w:val="uk-UA"/>
        </w:rPr>
        <w:t>Корупція, низька купівельна спроможність споживачів та складність законів і нормативних актів постійно називають основними перешкодами для здійснення господарської діяльності.</w:t>
      </w:r>
      <w:r>
        <w:rPr>
          <w:lang w:val="uk-UA"/>
        </w:rPr>
        <w:t xml:space="preserve"> Ці проблеми створюють складне бізнес-середовище і викликають занепокоєння щодо стабільності та передбачуваності податкової системи, що впливає на здатність бізнесу планувати та здійснювати інвестиції.</w:t>
      </w:r>
    </w:p>
    <w:p>
      <w:pPr>
        <w:pStyle w:val="ListParagraph"/>
        <w:numPr>
          <w:ilvl w:val="0"/>
          <w:numId w:val="2"/>
        </w:numPr>
        <w:ind w:hanging="450" w:left="360"/>
        <w:jc w:val="both"/>
        <w:rPr>
          <w:rFonts w:cs="Calibri" w:cstheme="minorHAnsi"/>
          <w:lang w:val="uk-UA"/>
        </w:rPr>
      </w:pPr>
      <w:r>
        <w:rPr>
          <w:b/>
          <w:bCs/>
          <w:lang w:val="uk-UA"/>
        </w:rPr>
        <w:t xml:space="preserve">Обговорення у фокус-групах підтверджують ці висновки, наголошуючи на високих витратах на дотримання законодавства, частій потребі у професійній допомозі та нестабільному регуляторному середовищі. </w:t>
      </w:r>
      <w:r>
        <w:rPr>
          <w:lang w:val="uk-UA"/>
        </w:rPr>
        <w:t>Учасники підкреслили потребу в більш зручних і надійних електронних системах, чіткішій комунікації з боку податкових органів, а також стабільнішій і прозорішій податковій політиці.</w:t>
      </w:r>
    </w:p>
    <w:p>
      <w:pPr>
        <w:pStyle w:val="ListParagraph"/>
        <w:numPr>
          <w:ilvl w:val="0"/>
          <w:numId w:val="2"/>
        </w:numPr>
        <w:ind w:hanging="450" w:left="360"/>
        <w:jc w:val="both"/>
        <w:rPr>
          <w:rFonts w:cs="Calibri" w:cstheme="minorHAnsi"/>
          <w:lang w:val="uk-UA"/>
        </w:rPr>
      </w:pPr>
      <w:r>
        <w:rPr>
          <w:b/>
          <w:bCs/>
          <w:lang w:val="uk-UA"/>
        </w:rPr>
        <w:t xml:space="preserve">У дослідженні представлено огляд поточного досвіду платників податків в Україні, що відображає як досягнутий прогрес, так і проблеми, що залишились. </w:t>
      </w:r>
      <w:r>
        <w:rPr>
          <w:lang w:val="uk-UA"/>
        </w:rPr>
        <w:t>Отримані результати надають добре задокументовану інформацію, яка може бути використана посадовцями, податковими органами і зацікавленими сторонами в бізнесі. Ці результати також можна буде використати для визначення основних відправних точок у податковій системі України з метою підвищення ефективності, справедливості та зменшення навантаження на платників податків з точки зору комплаєнсу.</w:t>
      </w:r>
    </w:p>
    <w:p>
      <w:pPr>
        <w:pStyle w:val="Normal"/>
        <w:rPr>
          <w:lang w:val="uk-UA"/>
        </w:rPr>
      </w:pPr>
      <w:r>
        <w:rPr>
          <w:lang w:val="uk-UA"/>
        </w:rPr>
      </w:r>
    </w:p>
    <w:p>
      <w:pPr>
        <w:pStyle w:val="Normal"/>
        <w:jc w:val="both"/>
        <w:rPr>
          <w:lang w:val="uk-UA"/>
        </w:rPr>
      </w:pPr>
      <w:r>
        <w:rPr>
          <w:lang w:val="uk-UA"/>
        </w:rPr>
      </w:r>
    </w:p>
    <w:p>
      <w:pPr>
        <w:pStyle w:val="Normal"/>
        <w:suppressAutoHyphens w:val="false"/>
        <w:rPr>
          <w:lang w:val="uk-UA"/>
        </w:rPr>
      </w:pPr>
      <w:r>
        <w:rPr>
          <w:lang w:val="uk-UA"/>
        </w:rPr>
      </w:r>
      <w:r>
        <w:br w:type="page"/>
      </w:r>
    </w:p>
    <w:p>
      <w:pPr>
        <w:pStyle w:val="Heading2"/>
        <w:spacing w:before="0" w:after="0"/>
        <w:rPr>
          <w:lang w:val="uk-UA"/>
        </w:rPr>
      </w:pPr>
      <w:bookmarkStart w:id="43" w:name="_Toc185882884"/>
      <w:r>
        <w:rPr>
          <w:lang w:val="uk-UA"/>
        </w:rPr>
        <w:t>Додаток 1: Методологія опитування</w:t>
      </w:r>
      <w:bookmarkEnd w:id="43"/>
    </w:p>
    <w:p>
      <w:pPr>
        <w:pStyle w:val="Normal"/>
        <w:rPr>
          <w:lang w:val="uk-UA"/>
        </w:rPr>
      </w:pPr>
      <w:r>
        <w:rPr>
          <w:lang w:val="uk-UA"/>
        </w:rPr>
      </w:r>
    </w:p>
    <w:p>
      <w:pPr>
        <w:pStyle w:val="ListParagraph"/>
        <w:numPr>
          <w:ilvl w:val="0"/>
          <w:numId w:val="8"/>
        </w:numPr>
        <w:spacing w:lineRule="auto" w:line="254"/>
        <w:jc w:val="both"/>
        <w:rPr>
          <w:rFonts w:cs="Calibri" w:cstheme="minorHAnsi"/>
          <w:lang w:val="uk-UA"/>
        </w:rPr>
      </w:pPr>
      <w:bookmarkStart w:id="44" w:name="_Toc176253278"/>
      <w:bookmarkStart w:id="45" w:name="_Toc176253280"/>
      <w:bookmarkEnd w:id="44"/>
      <w:r>
        <w:rPr>
          <w:b/>
          <w:bCs/>
          <w:lang w:val="uk-UA"/>
        </w:rPr>
        <w:t>Цільовою аудиторією опитування були всі платники податків, зареєстровані в системі ДПС</w:t>
      </w:r>
      <w:r>
        <w:rPr>
          <w:lang w:val="uk-UA"/>
        </w:rPr>
        <w:t>. ДПС розіслала посилання на опитування серед усіх активних платників податків по всій Україні. Вибірка на етапі збору даних не проводилася. У травні-квітні 2024 р. опитування пройшли 3 169 зареєстрованих платників податків. Рівень участі в опитуванні значно відрізнявся по регіонах.</w:t>
      </w:r>
    </w:p>
    <w:p>
      <w:pPr>
        <w:pStyle w:val="ListParagraph"/>
        <w:numPr>
          <w:ilvl w:val="0"/>
          <w:numId w:val="8"/>
        </w:numPr>
        <w:spacing w:lineRule="auto" w:line="254"/>
        <w:jc w:val="both"/>
        <w:rPr>
          <w:rFonts w:cs="Calibri" w:cstheme="minorHAnsi"/>
          <w:lang w:val="uk-UA"/>
        </w:rPr>
      </w:pPr>
      <w:r>
        <w:rPr>
          <w:b/>
          <w:bCs/>
          <w:lang w:val="uk-UA"/>
        </w:rPr>
        <w:t xml:space="preserve">Опитування було попередньо протестоване у квітні 2024 року за участю 176 респондентів. </w:t>
      </w:r>
      <w:r>
        <w:rPr>
          <w:lang w:val="uk-UA"/>
        </w:rPr>
        <w:t xml:space="preserve">Респонденти надали відгуки на анкету, які були враховані при розробці остаточного дизайну опитування. </w:t>
      </w:r>
    </w:p>
    <w:p>
      <w:pPr>
        <w:pStyle w:val="ListParagraph"/>
        <w:numPr>
          <w:ilvl w:val="0"/>
          <w:numId w:val="8"/>
        </w:numPr>
        <w:spacing w:lineRule="auto" w:line="254"/>
        <w:jc w:val="both"/>
        <w:rPr>
          <w:rFonts w:cs="Calibri" w:cstheme="minorHAnsi"/>
          <w:lang w:val="uk-UA"/>
        </w:rPr>
      </w:pPr>
      <w:r>
        <w:rPr>
          <w:rFonts w:cs="Calibri" w:cstheme="minorHAnsi"/>
          <w:b/>
          <w:bCs/>
          <w:lang w:val="uk-UA"/>
        </w:rPr>
        <w:t xml:space="preserve">При введенні даних було проведено три типи перевірок: перевірка діапазону, перевірка на пропуски та перевірка на послідовність. </w:t>
      </w:r>
      <w:r>
        <w:rPr>
          <w:rFonts w:cs="Calibri" w:cstheme="minorHAnsi"/>
          <w:lang w:val="uk-UA"/>
        </w:rPr>
        <w:t>Перевірка діапазону мала на меті забезпечити, щоб кожна змінна в опитуванні містила лише дані в кордонах обмеженої області допустимих значень. Перевірка на пропуски забезпечувала, що кожному респонденту ставляться правильні запитання залежно від його характеристик або відповідей, наданих на попередні запитання. Перевірка на послідовність підтверджувала, що відповідь на одне запитання узгоджується з відповідями на інші запитання.</w:t>
      </w:r>
    </w:p>
    <w:p>
      <w:pPr>
        <w:pStyle w:val="ListParagraph"/>
        <w:numPr>
          <w:ilvl w:val="0"/>
          <w:numId w:val="8"/>
        </w:numPr>
        <w:spacing w:lineRule="auto" w:line="254"/>
        <w:jc w:val="both"/>
        <w:rPr>
          <w:rFonts w:cs="Calibri" w:cstheme="minorHAnsi"/>
          <w:lang w:val="uk-UA"/>
        </w:rPr>
      </w:pPr>
      <w:r>
        <w:rPr>
          <w:b/>
          <w:bCs/>
          <w:lang w:val="uk-UA"/>
        </w:rPr>
        <w:t>Зібрані дані очищувались шляхом виконання наступних кроків:</w:t>
      </w:r>
    </w:p>
    <w:p>
      <w:pPr>
        <w:pStyle w:val="ListParagraph"/>
        <w:numPr>
          <w:ilvl w:val="0"/>
          <w:numId w:val="3"/>
        </w:numPr>
        <w:spacing w:lineRule="auto" w:line="254"/>
        <w:jc w:val="both"/>
        <w:rPr>
          <w:rFonts w:cs="Calibri" w:cstheme="minorHAnsi"/>
          <w:lang w:val="uk-UA"/>
        </w:rPr>
      </w:pPr>
      <w:r>
        <w:rPr>
          <w:rFonts w:cs="Calibri" w:cstheme="minorHAnsi"/>
          <w:lang w:val="uk-UA"/>
        </w:rPr>
        <w:t>Створити клон змінної, яка підлягає очищенню.</w:t>
      </w:r>
    </w:p>
    <w:p>
      <w:pPr>
        <w:pStyle w:val="ListParagraph"/>
        <w:numPr>
          <w:ilvl w:val="0"/>
          <w:numId w:val="4"/>
        </w:numPr>
        <w:spacing w:lineRule="auto" w:line="254"/>
        <w:rPr>
          <w:rFonts w:cs="Calibri" w:cstheme="minorHAnsi"/>
          <w:lang w:val="uk-UA"/>
        </w:rPr>
      </w:pPr>
      <w:r>
        <w:rPr>
          <w:rFonts w:cs="Calibri" w:cstheme="minorHAnsi"/>
          <w:lang w:val="uk-UA"/>
        </w:rPr>
        <w:t>Назвати нову клоновану змінну "оригінальна змінна + _r".</w:t>
      </w:r>
    </w:p>
    <w:p>
      <w:pPr>
        <w:pStyle w:val="ListParagraph"/>
        <w:numPr>
          <w:ilvl w:val="0"/>
          <w:numId w:val="4"/>
        </w:numPr>
        <w:spacing w:lineRule="auto" w:line="254"/>
        <w:rPr>
          <w:rFonts w:cs="Calibri" w:cstheme="minorHAnsi"/>
          <w:lang w:val="uk-UA"/>
        </w:rPr>
      </w:pPr>
      <w:r>
        <w:rPr>
          <w:rFonts w:cs="Calibri" w:cstheme="minorHAnsi"/>
          <w:lang w:val="uk-UA"/>
        </w:rPr>
        <w:t>Додати "- Переглянуто" до назви питання для клонованих змінних.</w:t>
      </w:r>
    </w:p>
    <w:p>
      <w:pPr>
        <w:pStyle w:val="ListParagraph"/>
        <w:numPr>
          <w:ilvl w:val="0"/>
          <w:numId w:val="4"/>
        </w:numPr>
        <w:spacing w:lineRule="auto" w:line="254"/>
        <w:rPr>
          <w:rFonts w:cs="Calibri" w:cstheme="minorHAnsi"/>
          <w:lang w:val="uk-UA"/>
        </w:rPr>
      </w:pPr>
      <w:r>
        <w:rPr>
          <w:rFonts w:cs="Calibri" w:cstheme="minorHAnsi"/>
          <w:lang w:val="uk-UA"/>
        </w:rPr>
        <w:t>Перекласти з української мови на англійську текстові записи всіх змінних, включаючи відповіді "інше".</w:t>
      </w:r>
    </w:p>
    <w:p>
      <w:pPr>
        <w:pStyle w:val="ListParagraph"/>
        <w:numPr>
          <w:ilvl w:val="0"/>
          <w:numId w:val="4"/>
        </w:numPr>
        <w:spacing w:lineRule="auto" w:line="254"/>
        <w:rPr>
          <w:rFonts w:cs="Calibri" w:cstheme="minorHAnsi"/>
          <w:lang w:val="uk-UA"/>
        </w:rPr>
      </w:pPr>
      <w:r>
        <w:rPr>
          <w:rFonts w:cs="Calibri" w:cstheme="minorHAnsi"/>
          <w:lang w:val="uk-UA"/>
        </w:rPr>
        <w:t>Якщо можливо, класифікувати текстові записи відкритих запитань за категоріями.</w:t>
      </w:r>
    </w:p>
    <w:p>
      <w:pPr>
        <w:pStyle w:val="ListParagraph"/>
        <w:numPr>
          <w:ilvl w:val="0"/>
          <w:numId w:val="4"/>
        </w:numPr>
        <w:spacing w:lineRule="auto" w:line="254"/>
        <w:rPr>
          <w:rFonts w:cs="Calibri" w:cstheme="minorHAnsi"/>
          <w:lang w:val="uk-UA"/>
        </w:rPr>
      </w:pPr>
      <w:r>
        <w:rPr>
          <w:rFonts w:cs="Calibri" w:cstheme="minorHAnsi"/>
          <w:lang w:val="uk-UA"/>
        </w:rPr>
        <w:t>Перевірити перекладені текстові записи у відповідях "інше" на предмет того, чи можна їх згрупувати за наявними варіантами відповідей. Якщо відповідний варіант вже було обрано, то текстова відповідь перетворювалась на таку, що відсутня.</w:t>
      </w:r>
    </w:p>
    <w:p>
      <w:pPr>
        <w:pStyle w:val="ListParagraph"/>
        <w:numPr>
          <w:ilvl w:val="0"/>
          <w:numId w:val="4"/>
        </w:numPr>
        <w:spacing w:lineRule="auto" w:line="254"/>
        <w:rPr>
          <w:rFonts w:cs="Calibri" w:cstheme="minorHAnsi"/>
          <w:lang w:val="uk-UA"/>
        </w:rPr>
      </w:pPr>
      <w:r>
        <w:rPr>
          <w:rFonts w:cs="Calibri" w:cstheme="minorHAnsi"/>
          <w:lang w:val="uk-UA"/>
        </w:rPr>
        <w:t xml:space="preserve">Використати умову команди "замінити", пов'язану з унікальними ідентифікаційними ключами, які в наборах даних називаються "uda_id". </w:t>
      </w:r>
    </w:p>
    <w:p>
      <w:pPr>
        <w:pStyle w:val="ListParagraph"/>
        <w:numPr>
          <w:ilvl w:val="0"/>
          <w:numId w:val="7"/>
        </w:numPr>
        <w:spacing w:lineRule="auto" w:line="254"/>
        <w:rPr>
          <w:rFonts w:cs="Calibri" w:cstheme="minorHAnsi"/>
          <w:lang w:val="uk-UA"/>
        </w:rPr>
      </w:pPr>
      <w:r>
        <w:rPr>
          <w:rFonts w:cs="Calibri" w:cstheme="minorHAnsi"/>
          <w:lang w:val="uk-UA"/>
        </w:rPr>
        <w:t>Видалити нетипові відповіді для цілих значень, які відрізняються від середнього значення більш ніж на 3 стандартних відхилення і вважаються такими, що виходять за межі, та здатними спотворити аналіз.</w:t>
      </w:r>
    </w:p>
    <w:p>
      <w:pPr>
        <w:pStyle w:val="ListParagraph"/>
        <w:numPr>
          <w:ilvl w:val="0"/>
          <w:numId w:val="7"/>
        </w:numPr>
        <w:spacing w:lineRule="auto" w:line="254"/>
        <w:rPr>
          <w:rFonts w:cs="Calibri" w:cstheme="minorHAnsi"/>
          <w:lang w:val="uk-UA"/>
        </w:rPr>
      </w:pPr>
      <w:r>
        <w:rPr>
          <w:rFonts w:cs="Calibri" w:cstheme="minorHAnsi"/>
          <w:lang w:val="uk-UA"/>
        </w:rPr>
        <w:t xml:space="preserve">Респондентам було поставлено три запитання щодо трьох головних напрямків здійснення їх господарської діяльності. У першому запитанні (найбільший напрямок, у якому працює бізнес) варіанти відповідей "відмовився відповідати" та "не знаю" були замінені на варіанти, які були обрані у другому або третьому за величиною напрямку діяльності бізнесу. </w:t>
      </w:r>
    </w:p>
    <w:p>
      <w:pPr>
        <w:pStyle w:val="ListParagraph"/>
        <w:numPr>
          <w:ilvl w:val="0"/>
          <w:numId w:val="7"/>
        </w:numPr>
        <w:spacing w:lineRule="auto" w:line="254"/>
        <w:rPr>
          <w:rFonts w:cs="Calibri" w:cstheme="minorHAnsi"/>
          <w:lang w:val="uk-UA"/>
        </w:rPr>
      </w:pPr>
      <w:r>
        <w:rPr>
          <w:rFonts w:cs="Calibri" w:cstheme="minorHAnsi"/>
          <w:lang w:val="uk-UA"/>
        </w:rPr>
        <w:t>Вибір "Гірничодобувна промисловість та розробка кар'єрів" було об'єднано з вибором "Переробна промисловість" у питаннях про сферу здійснення господарської діяльності.</w:t>
      </w:r>
    </w:p>
    <w:p>
      <w:pPr>
        <w:pStyle w:val="ListParagraph"/>
        <w:numPr>
          <w:ilvl w:val="0"/>
          <w:numId w:val="7"/>
        </w:numPr>
        <w:spacing w:lineRule="auto" w:line="254"/>
        <w:rPr>
          <w:rFonts w:cs="Calibri" w:cstheme="minorHAnsi"/>
          <w:lang w:val="uk-UA"/>
        </w:rPr>
      </w:pPr>
      <w:r>
        <w:rPr>
          <w:rFonts w:cs="Calibri" w:cstheme="minorHAnsi"/>
          <w:lang w:val="uk-UA"/>
        </w:rPr>
        <w:t>Наступні області були об'єднані:</w:t>
      </w:r>
    </w:p>
    <w:p>
      <w:pPr>
        <w:pStyle w:val="ListParagraph"/>
        <w:numPr>
          <w:ilvl w:val="1"/>
          <w:numId w:val="7"/>
        </w:numPr>
        <w:spacing w:lineRule="auto" w:line="254"/>
        <w:rPr>
          <w:rFonts w:cs="Calibri" w:cstheme="minorHAnsi"/>
          <w:lang w:val="uk-UA"/>
        </w:rPr>
      </w:pPr>
      <w:r>
        <w:rPr>
          <w:rFonts w:cs="Calibri" w:cstheme="minorHAnsi"/>
          <w:lang w:val="uk-UA"/>
        </w:rPr>
        <w:t>Донецька і Луганська</w:t>
      </w:r>
    </w:p>
    <w:p>
      <w:pPr>
        <w:pStyle w:val="ListParagraph"/>
        <w:numPr>
          <w:ilvl w:val="1"/>
          <w:numId w:val="7"/>
        </w:numPr>
        <w:spacing w:lineRule="auto" w:line="254"/>
        <w:rPr>
          <w:rFonts w:cs="Calibri" w:cstheme="minorHAnsi"/>
          <w:lang w:val="uk-UA"/>
        </w:rPr>
      </w:pPr>
      <w:r>
        <w:rPr>
          <w:rFonts w:cs="Calibri" w:cstheme="minorHAnsi"/>
          <w:lang w:val="uk-UA"/>
        </w:rPr>
        <w:t xml:space="preserve">Херсонська і Запорізька </w:t>
      </w:r>
    </w:p>
    <w:p>
      <w:pPr>
        <w:pStyle w:val="ListParagraph"/>
        <w:numPr>
          <w:ilvl w:val="1"/>
          <w:numId w:val="7"/>
        </w:numPr>
        <w:spacing w:lineRule="auto" w:line="254"/>
        <w:rPr>
          <w:rFonts w:cs="Calibri" w:cstheme="minorHAnsi"/>
          <w:lang w:val="uk-UA"/>
        </w:rPr>
      </w:pPr>
      <w:r>
        <w:rPr>
          <w:rFonts w:cs="Calibri" w:cstheme="minorHAnsi"/>
          <w:lang w:val="uk-UA"/>
        </w:rPr>
        <w:t xml:space="preserve">Закарпатська і Чернівецька </w:t>
      </w:r>
    </w:p>
    <w:p>
      <w:pPr>
        <w:pStyle w:val="ListParagraph"/>
        <w:numPr>
          <w:ilvl w:val="0"/>
          <w:numId w:val="7"/>
        </w:numPr>
        <w:spacing w:lineRule="auto" w:line="254"/>
        <w:rPr>
          <w:rFonts w:cs="Calibri" w:cstheme="minorHAnsi"/>
          <w:lang w:val="uk-UA"/>
        </w:rPr>
      </w:pPr>
      <w:r>
        <w:rPr>
          <w:rFonts w:cs="Calibri" w:cstheme="minorHAnsi"/>
          <w:lang w:val="uk-UA"/>
        </w:rPr>
        <w:t>Для запитань з розбивкою за областю, статтю, розміром компанії та галуззю: відповіді "відмовився відповідати" та "не знаю" були перетворені на "пропущені".</w:t>
      </w:r>
    </w:p>
    <w:p>
      <w:pPr>
        <w:pStyle w:val="ListParagraph"/>
        <w:numPr>
          <w:ilvl w:val="0"/>
          <w:numId w:val="7"/>
        </w:numPr>
        <w:spacing w:lineRule="auto" w:line="254"/>
        <w:rPr>
          <w:rFonts w:cs="Calibri" w:cstheme="minorHAnsi"/>
          <w:lang w:val="uk-UA"/>
        </w:rPr>
      </w:pPr>
      <w:r>
        <w:rPr>
          <w:rFonts w:cs="Calibri" w:cstheme="minorHAnsi"/>
          <w:lang w:val="uk-UA"/>
        </w:rPr>
        <w:t>Для питань за шкалою Лайкерта відповіді "відмовився відповідати" та "не знаю" були перетворені на "пропущені". Кожному пункту шкали присвоювався бал, а потім обчислювалися середні показники</w:t>
      </w:r>
    </w:p>
    <w:p>
      <w:pPr>
        <w:pStyle w:val="ListParagraph"/>
        <w:numPr>
          <w:ilvl w:val="0"/>
          <w:numId w:val="8"/>
        </w:numPr>
        <w:spacing w:lineRule="auto" w:line="254"/>
        <w:jc w:val="both"/>
        <w:rPr>
          <w:rFonts w:cs="Calibri" w:cstheme="minorHAnsi"/>
          <w:lang w:val="uk-UA"/>
        </w:rPr>
      </w:pPr>
      <w:r>
        <w:rPr>
          <w:b/>
          <w:bCs/>
          <w:lang w:val="uk-UA"/>
        </w:rPr>
        <w:t xml:space="preserve">Відсутність відповідей на запитання була вирішена шляхом підстановки даних, зокрема, щоб врахувати у щоденній заробітній платі витрати на податковий облік і дотримання податкового законодавства. </w:t>
      </w:r>
      <w:r>
        <w:rPr>
          <w:lang w:val="uk-UA"/>
        </w:rPr>
        <w:t>Процес підстановки включав наступні кроки:</w:t>
      </w:r>
    </w:p>
    <w:p>
      <w:pPr>
        <w:pStyle w:val="ListParagraph"/>
        <w:numPr>
          <w:ilvl w:val="0"/>
          <w:numId w:val="3"/>
        </w:numPr>
        <w:spacing w:lineRule="auto" w:line="254"/>
        <w:jc w:val="both"/>
        <w:rPr>
          <w:lang w:val="uk-UA"/>
        </w:rPr>
      </w:pPr>
      <w:r>
        <w:rPr>
          <w:lang w:val="uk-UA"/>
        </w:rPr>
        <w:t>Стратифікацію: 24 області України були згруповані в п'ять географічних регіонів (захід, схід, південь, північ, центр), а підприємства були класифіковані за розміром обороту. В результаті було виділено 15 окремих страт з метою поділу вибірки на однорідні групи (страти).</w:t>
      </w:r>
    </w:p>
    <w:p>
      <w:pPr>
        <w:pStyle w:val="ListParagraph"/>
        <w:numPr>
          <w:ilvl w:val="0"/>
          <w:numId w:val="5"/>
        </w:numPr>
        <w:spacing w:lineRule="auto" w:line="254"/>
        <w:jc w:val="both"/>
        <w:rPr>
          <w:lang w:val="uk-UA"/>
        </w:rPr>
      </w:pPr>
      <w:r>
        <w:rPr>
          <w:lang w:val="uk-UA"/>
        </w:rPr>
        <w:t>Розрахунок середніх значень по стратах: Для кожної страти окремо було розраховано середнє арифметичне, середнє геометричне та медіану заявленої щоденної заробітної плати для працівників, які займаються податковим обліком. Відображення підстановки середнього арифметичного, середнього геометричного та медіани в оцінках витрат було проаналізовано з точки зору точності та дисперсії. Найменша дисперсія і вища точність оцінок витрат були отримані при застосуванні методу підстановки середнього арифметичного.</w:t>
      </w:r>
    </w:p>
    <w:p>
      <w:pPr>
        <w:pStyle w:val="ListParagraph"/>
        <w:numPr>
          <w:ilvl w:val="0"/>
          <w:numId w:val="5"/>
        </w:numPr>
        <w:spacing w:lineRule="auto" w:line="254"/>
        <w:jc w:val="both"/>
        <w:rPr>
          <w:b/>
          <w:bCs/>
          <w:lang w:val="uk-UA"/>
        </w:rPr>
      </w:pPr>
      <w:r>
        <w:rPr>
          <w:lang w:val="uk-UA"/>
        </w:rPr>
        <w:t>Процедуру підстановки: Відсутність відповідей щодо щоденних витрат була замінена середнім арифметичним значенням для відповідної страти.</w:t>
      </w:r>
    </w:p>
    <w:p>
      <w:pPr>
        <w:pStyle w:val="ListParagraph"/>
        <w:numPr>
          <w:ilvl w:val="0"/>
          <w:numId w:val="8"/>
        </w:numPr>
        <w:spacing w:lineRule="auto" w:line="254"/>
        <w:jc w:val="both"/>
        <w:rPr>
          <w:rFonts w:cs="Calibri" w:cstheme="minorHAnsi"/>
          <w:lang w:val="uk-UA"/>
        </w:rPr>
      </w:pPr>
      <w:r>
        <w:rPr>
          <w:b/>
          <w:bCs/>
          <w:lang w:val="uk-UA"/>
        </w:rPr>
        <w:t>Аналіз даних підпадає під наступні обмеження:</w:t>
      </w:r>
    </w:p>
    <w:p>
      <w:pPr>
        <w:pStyle w:val="ListParagraph"/>
        <w:numPr>
          <w:ilvl w:val="0"/>
          <w:numId w:val="3"/>
        </w:numPr>
        <w:spacing w:lineRule="auto" w:line="254"/>
        <w:rPr>
          <w:rFonts w:cs="Calibri" w:cstheme="minorHAnsi"/>
          <w:bCs/>
          <w:lang w:val="uk-UA"/>
        </w:rPr>
      </w:pPr>
      <w:r>
        <w:rPr>
          <w:rFonts w:cs="Calibri" w:cstheme="minorHAnsi"/>
          <w:bCs/>
          <w:lang w:val="uk-UA"/>
        </w:rPr>
        <w:t>Похибка, не пов'язана з вибіркою: Цей тип похибки включає всі види зміщення і помилки, що випливають з переліку, наданого ДПС.</w:t>
      </w:r>
    </w:p>
    <w:p>
      <w:pPr>
        <w:pStyle w:val="ListParagraph"/>
        <w:numPr>
          <w:ilvl w:val="0"/>
          <w:numId w:val="6"/>
        </w:numPr>
        <w:spacing w:lineRule="auto" w:line="254"/>
        <w:rPr>
          <w:rFonts w:cs="Calibri" w:cstheme="minorHAnsi"/>
          <w:bCs/>
          <w:color w:themeColor="text1" w:val="000000"/>
          <w:lang w:val="uk-UA"/>
        </w:rPr>
      </w:pPr>
      <w:r>
        <w:rPr>
          <w:rFonts w:cs="Calibri" w:cstheme="minorHAnsi"/>
          <w:bCs/>
          <w:lang w:val="uk-UA"/>
        </w:rPr>
        <w:t>Зміщення</w:t>
      </w:r>
      <w:r>
        <w:rPr>
          <w:rFonts w:cs="Calibri" w:cstheme="minorHAnsi"/>
          <w:bCs/>
          <w:color w:themeColor="text1" w:val="000000"/>
          <w:lang w:val="uk-UA"/>
        </w:rPr>
        <w:t xml:space="preserve"> відсутності відповідей: Це зміщення виникає, коли респонденти, які відмовляються брати участь в опитуванні, систематично відрізняються від тих, хто брав участь в опитуванні.</w:t>
      </w:r>
    </w:p>
    <w:p>
      <w:pPr>
        <w:pStyle w:val="ListParagraph"/>
        <w:numPr>
          <w:ilvl w:val="0"/>
          <w:numId w:val="6"/>
        </w:numPr>
        <w:spacing w:lineRule="auto" w:line="254"/>
        <w:rPr>
          <w:bCs/>
          <w:lang w:val="uk-UA"/>
        </w:rPr>
      </w:pPr>
      <w:r>
        <w:rPr>
          <w:bCs/>
          <w:lang w:val="uk-UA"/>
        </w:rPr>
        <w:t>Інтерпретація запитань: Під час веб-опитування немає інтерв'юера, який би роз'яснював запитання або допомагав респондентам, що може призвести до різного тлумачення запитань респондентами. Результатом можуть бути непослідовні або неточні відповіді.</w:t>
      </w:r>
    </w:p>
    <w:p>
      <w:pPr>
        <w:pStyle w:val="ListParagraph"/>
        <w:numPr>
          <w:ilvl w:val="0"/>
          <w:numId w:val="6"/>
        </w:numPr>
        <w:spacing w:lineRule="auto" w:line="254"/>
        <w:rPr>
          <w:lang w:val="uk-UA"/>
        </w:rPr>
      </w:pPr>
      <w:r>
        <w:rPr>
          <w:bCs/>
          <w:lang w:val="uk-UA"/>
        </w:rPr>
        <w:t>Втома від відповідей: Через велику кількість запитань або тривалість опитування респонденти можуть відчувати втому</w:t>
      </w:r>
      <w:r>
        <w:rPr>
          <w:lang w:val="uk-UA"/>
        </w:rPr>
        <w:t>, що призводить до поспішних або неповних відповідей, особливо наприкінці опитування.</w:t>
      </w:r>
    </w:p>
    <w:p>
      <w:pPr>
        <w:pStyle w:val="ListParagraph"/>
        <w:spacing w:lineRule="auto" w:line="254"/>
        <w:rPr>
          <w:lang w:val="uk-UA"/>
        </w:rPr>
      </w:pPr>
      <w:r>
        <w:rPr>
          <w:lang w:val="uk-UA"/>
        </w:rPr>
      </w:r>
    </w:p>
    <w:p>
      <w:pPr>
        <w:pStyle w:val="ListParagraph"/>
        <w:numPr>
          <w:ilvl w:val="0"/>
          <w:numId w:val="8"/>
        </w:numPr>
        <w:spacing w:lineRule="auto" w:line="254"/>
        <w:jc w:val="both"/>
        <w:rPr>
          <w:rFonts w:ascii="Times New Roman" w:hAnsi="Times New Roman" w:cs="Times New Roman"/>
          <w:sz w:val="24"/>
          <w:szCs w:val="24"/>
          <w:lang w:val="uk-UA"/>
        </w:rPr>
      </w:pPr>
      <w:r>
        <w:rPr>
          <w:rFonts w:eastAsia="Calibri" w:cs="Calibri"/>
          <w:b/>
          <w:bCs/>
          <w:lang w:val="uk-UA" w:eastAsia="zh-CN"/>
        </w:rPr>
        <w:t xml:space="preserve">Для подолання високого рівня відсутності відповідей, характерного для веб-опитувань, був застосований підхід калібрування по галузях, типах юридичних осіб та регіонах з метою визначення ваги відповідно до відомого розподілу популяції </w:t>
      </w:r>
      <w:r>
        <w:rPr>
          <w:rFonts w:eastAsia="Calibri" w:cs="Calibri"/>
          <w:lang w:val="uk-UA" w:eastAsia="zh-CN"/>
        </w:rPr>
        <w:t xml:space="preserve">(Вставка 1). </w:t>
      </w:r>
    </w:p>
    <w:p>
      <w:pPr>
        <w:pStyle w:val="Normal"/>
        <w:rPr>
          <w:rFonts w:ascii="Calibri" w:hAnsi="Calibri" w:eastAsia="Calibri" w:cs="Calibri"/>
          <w:lang w:val="uk-UA" w:eastAsia="zh-CN"/>
        </w:rPr>
      </w:pPr>
      <w:r>
        <w:rPr>
          <w:rFonts w:eastAsia="Calibri" w:cs="Calibri"/>
          <w:lang w:val="uk-UA" w:eastAsia="zh-CN"/>
        </w:rPr>
      </w:r>
    </w:p>
    <w:p>
      <w:pPr>
        <w:pStyle w:val="ListParagraph"/>
        <w:numPr>
          <w:ilvl w:val="0"/>
          <w:numId w:val="8"/>
        </w:numPr>
        <w:jc w:val="both"/>
        <w:rPr>
          <w:rFonts w:cs="Calibri" w:cstheme="minorHAnsi"/>
          <w:lang w:val="uk-UA"/>
        </w:rPr>
      </w:pPr>
      <w:r>
        <mc:AlternateContent>
          <mc:Choice Requires="wps">
            <w:drawing>
              <wp:anchor behindDoc="0" distT="40640" distB="59690" distL="108585" distR="124460" simplePos="0" locked="0" layoutInCell="0" allowOverlap="1" relativeHeight="59" wp14:anchorId="053D6DBD">
                <wp:simplePos x="0" y="0"/>
                <wp:positionH relativeFrom="margin">
                  <wp:posOffset>0</wp:posOffset>
                </wp:positionH>
                <wp:positionV relativeFrom="paragraph">
                  <wp:posOffset>635</wp:posOffset>
                </wp:positionV>
                <wp:extent cx="6214745" cy="5562600"/>
                <wp:effectExtent l="5715" t="5080" r="4445" b="5080"/>
                <wp:wrapSquare wrapText="bothSides"/>
                <wp:docPr id="50" name="Text Box 2"/>
                <a:graphic xmlns:a="http://schemas.openxmlformats.org/drawingml/2006/main">
                  <a:graphicData uri="http://schemas.microsoft.com/office/word/2010/wordprocessingShape">
                    <wps:wsp>
                      <wps:cNvSpPr/>
                      <wps:spPr>
                        <a:xfrm>
                          <a:off x="0" y="0"/>
                          <a:ext cx="6214680" cy="5562720"/>
                        </a:xfrm>
                        <a:prstGeom prst="rect">
                          <a:avLst/>
                        </a:prstGeom>
                        <a:solidFill>
                          <a:srgbClr val="ffffff"/>
                        </a:solidFill>
                        <a:ln w="9525">
                          <a:solidFill>
                            <a:srgbClr val="000000"/>
                          </a:solidFill>
                          <a:miter/>
                        </a:ln>
                      </wps:spPr>
                      <wps:style>
                        <a:lnRef idx="0"/>
                        <a:fillRef idx="0"/>
                        <a:effectRef idx="0"/>
                        <a:fontRef idx="minor"/>
                      </wps:style>
                      <wps:txbx>
                        <w:txbxContent>
                          <w:p>
                            <w:pPr>
                              <w:pStyle w:val="Style27"/>
                              <w:jc w:val="center"/>
                              <w:rPr>
                                <w:rFonts w:eastAsia="Calibri" w:cs="Calibri"/>
                                <w:b/>
                                <w:bCs/>
                                <w:sz w:val="18"/>
                                <w:szCs w:val="18"/>
                                <w:lang w:eastAsia="zh-CN"/>
                              </w:rPr>
                            </w:pPr>
                            <w:r>
                              <w:rPr>
                                <w:rFonts w:eastAsia="Calibri" w:cs="Calibri"/>
                                <w:b/>
                                <w:bCs/>
                                <w:sz w:val="18"/>
                                <w:szCs w:val="18"/>
                                <w:lang w:eastAsia="zh-CN"/>
                              </w:rPr>
                              <w:t>Вставка 1. Підхід до калібрування</w:t>
                            </w:r>
                          </w:p>
                          <w:p>
                            <w:pPr>
                              <w:pStyle w:val="Style27"/>
                              <w:rPr>
                                <w:rFonts w:ascii="Calibri" w:hAnsi="Calibri" w:cs="Calibri"/>
                                <w:sz w:val="20"/>
                                <w:szCs w:val="20"/>
                                <w:lang w:val="uk-UA"/>
                              </w:rPr>
                            </w:pPr>
                            <w:r>
                              <w:rPr>
                                <w:rFonts w:eastAsia="Calibri" w:cs="Calibri"/>
                                <w:sz w:val="20"/>
                                <w:szCs w:val="20"/>
                                <w:lang w:val="ru-RU" w:eastAsia="zh-CN"/>
                              </w:rPr>
                              <w:t xml:space="preserve">Калібрування виникло в </w:t>
                            </w:r>
                            <w:r>
                              <w:rPr>
                                <w:rFonts w:eastAsia="Calibri" w:cs="Calibri"/>
                                <w:sz w:val="20"/>
                                <w:szCs w:val="20"/>
                                <w:lang w:val="uk-UA" w:eastAsia="zh-CN"/>
                              </w:rPr>
                              <w:t xml:space="preserve">результаті узагальнення Девілем (1988 р.), а потім Девілем і Сьорндалом (1992 р.) ідеї Лемеля (1976 р.). Воно використовує допоміжну інформацію для покращення якості розрахунків, зважених на дизайн. Допоміжна змінна </w:t>
                            </w:r>
                            <w:r>
                              <w:rPr/>
                            </w:r>
                            <m:oMath xmlns:m="http://schemas.openxmlformats.org/officeDocument/2006/math">
                              <m:r>
                                <w:rPr>
                                  <w:rFonts w:ascii="Cambria Math" w:hAnsi="Cambria Math"/>
                                </w:rPr>
                                <m:t xml:space="preserve">x</m:t>
                              </m:r>
                            </m:oMath>
                            <w:r>
                              <w:rPr>
                                <w:rFonts w:eastAsia="Calibri" w:cs="Calibri"/>
                                <w:i/>
                                <w:sz w:val="20"/>
                                <w:szCs w:val="20"/>
                                <w:lang w:val="uk-UA" w:eastAsia="zh-CN"/>
                              </w:rPr>
                              <w:t xml:space="preserve">, </w:t>
                            </w:r>
                            <w:r>
                              <w:rPr>
                                <w:rFonts w:eastAsia="Calibri" w:cs="Calibri"/>
                                <w:sz w:val="20"/>
                                <w:szCs w:val="20"/>
                                <w:lang w:val="uk-UA" w:eastAsia="zh-CN"/>
                              </w:rPr>
                              <w:t xml:space="preserve">яку також називають </w:t>
                            </w:r>
                            <w:r>
                              <w:rPr>
                                <w:rFonts w:eastAsia="Calibri" w:cs="Calibri"/>
                                <w:i/>
                                <w:sz w:val="20"/>
                                <w:szCs w:val="20"/>
                                <w:lang w:val="uk-UA" w:eastAsia="zh-CN"/>
                              </w:rPr>
                              <w:t>калібрувальною змінною</w:t>
                            </w:r>
                            <w:r>
                              <w:rPr>
                                <w:rFonts w:eastAsia="Calibri" w:cs="Calibri"/>
                                <w:sz w:val="20"/>
                                <w:szCs w:val="20"/>
                                <w:lang w:val="uk-UA" w:eastAsia="zh-CN"/>
                              </w:rPr>
                              <w:t>, повинна мати наступні дві характеристики, які слід враховувати при калібруванні:</w:t>
                            </w:r>
                          </w:p>
                          <w:p>
                            <w:pPr>
                              <w:pStyle w:val="ListParagraph"/>
                              <w:numPr>
                                <w:ilvl w:val="0"/>
                                <w:numId w:val="1"/>
                              </w:numPr>
                              <w:spacing w:lineRule="auto" w:line="240" w:before="0" w:after="0"/>
                              <w:contextualSpacing/>
                              <w:jc w:val="both"/>
                              <w:rPr>
                                <w:rFonts w:ascii="Calibri" w:hAnsi="Calibri" w:cs="Calibri"/>
                                <w:sz w:val="20"/>
                                <w:szCs w:val="20"/>
                                <w:lang w:val="uk-UA"/>
                              </w:rPr>
                            </w:pPr>
                            <w:r>
                              <w:rPr>
                                <w:rFonts w:cs="Calibri"/>
                                <w:sz w:val="20"/>
                                <w:szCs w:val="20"/>
                                <w:lang w:val="uk-UA"/>
                              </w:rPr>
                              <w:t xml:space="preserve">Вона повинна бути доступною для всіх одиниць вибірки </w:t>
                            </w:r>
                            <w:r>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s</m:t>
                              </m:r>
                              <m:d>
                                <m:dPr>
                                  <m:begChr m:val="("/>
                                  <m:endChr m:val=")"/>
                                </m:dPr>
                                <m:e>
                                  <m:r>
                                    <w:rPr>
                                      <w:rFonts w:ascii="Cambria Math" w:hAnsi="Cambria Math"/>
                                    </w:rPr>
                                    <m:t xml:space="preserve">samplespace</m:t>
                                  </m:r>
                                </m:e>
                              </m:d>
                            </m:oMath>
                            <w:r>
                              <w:rPr>
                                <w:rFonts w:eastAsia="" w:cs="Calibri" w:eastAsiaTheme="minorEastAsia"/>
                                <w:sz w:val="20"/>
                                <w:szCs w:val="20"/>
                                <w:lang w:val="uk-UA"/>
                              </w:rPr>
                              <w:t xml:space="preserve"> </w:t>
                            </w:r>
                            <w:r>
                              <w:rPr>
                                <w:rFonts w:cs="Calibri"/>
                                <w:sz w:val="20"/>
                                <w:szCs w:val="20"/>
                                <w:lang w:val="uk-UA"/>
                              </w:rPr>
                              <w:t>і</w:t>
                            </w:r>
                          </w:p>
                          <w:p>
                            <w:pPr>
                              <w:pStyle w:val="ListParagraph"/>
                              <w:numPr>
                                <w:ilvl w:val="0"/>
                                <w:numId w:val="1"/>
                              </w:numPr>
                              <w:spacing w:lineRule="auto" w:line="240" w:before="0" w:after="0"/>
                              <w:contextualSpacing/>
                              <w:jc w:val="both"/>
                              <w:rPr>
                                <w:rFonts w:ascii="Calibri" w:hAnsi="Calibri" w:cs="Calibri"/>
                                <w:sz w:val="20"/>
                                <w:szCs w:val="20"/>
                                <w:lang w:val="uk-UA"/>
                              </w:rPr>
                            </w:pPr>
                            <w:r>
                              <w:rPr>
                                <w:rFonts w:cs="Calibri"/>
                                <w:sz w:val="20"/>
                                <w:szCs w:val="20"/>
                                <w:lang w:val="uk-UA"/>
                              </w:rPr>
                              <w:t xml:space="preserve">Повинна бути відома загальна популяція </w:t>
                            </w:r>
                            <w:r>
                              <w:rPr/>
                            </w:r>
                            <m:oMath xmlns:m="http://schemas.openxmlformats.org/officeDocument/2006/math">
                              <m:r>
                                <w:rPr>
                                  <w:rFonts w:ascii="Cambria Math" w:hAnsi="Cambria Math"/>
                                </w:rPr>
                                <m:t xml:space="preserve">X</m:t>
                              </m:r>
                              <m:r>
                                <w:rPr>
                                  <w:rFonts w:ascii="Cambria Math" w:hAnsi="Cambria Math"/>
                                </w:rPr>
                                <m:t xml:space="preserve">=</m:t>
                              </m:r>
                              <m:nary>
                                <m:naryPr>
                                  <m:chr m:val="∑"/>
                                  <m:supHide m:val="1"/>
                                </m:naryPr>
                                <m:sub>
                                  <m:r>
                                    <w:rPr>
                                      <w:rFonts w:ascii="Cambria Math" w:hAnsi="Cambria Math"/>
                                    </w:rPr>
                                    <m:t xml:space="preserve">k</m:t>
                                  </m:r>
                                  <m:r>
                                    <w:rPr>
                                      <w:rFonts w:ascii="Cambria Math" w:hAnsi="Cambria Math"/>
                                    </w:rPr>
                                    <m:t xml:space="preserve">∈</m:t>
                                  </m:r>
                                  <m:r>
                                    <w:rPr>
                                      <w:rFonts w:ascii="Cambria Math" w:hAnsi="Cambria Math"/>
                                    </w:rPr>
                                    <m:t xml:space="preserve">U</m:t>
                                  </m:r>
                                </m:sub>
                                <m:sup/>
                                <m:e>
                                  <m:sSub>
                                    <m:e>
                                      <m:r>
                                        <w:rPr>
                                          <w:rFonts w:ascii="Cambria Math" w:hAnsi="Cambria Math"/>
                                        </w:rPr>
                                        <m:t xml:space="preserve">x</m:t>
                                      </m:r>
                                    </m:e>
                                    <m:sub>
                                      <m:r>
                                        <w:rPr>
                                          <w:rFonts w:ascii="Cambria Math" w:hAnsi="Cambria Math"/>
                                        </w:rPr>
                                        <m:t xml:space="preserve">k</m:t>
                                      </m:r>
                                    </m:sub>
                                  </m:sSub>
                                </m:e>
                              </m:nary>
                            </m:oMath>
                            <w:r>
                              <w:rPr>
                                <w:rFonts w:cs="Calibri"/>
                                <w:sz w:val="20"/>
                                <w:szCs w:val="20"/>
                                <w:lang w:val="uk-UA"/>
                              </w:rPr>
                              <w:t>. U - простір популяції</w:t>
                            </w:r>
                          </w:p>
                          <w:p>
                            <w:pPr>
                              <w:pStyle w:val="Style27"/>
                              <w:spacing w:before="120" w:after="160"/>
                              <w:rPr>
                                <w:rFonts w:ascii="Calibri" w:hAnsi="Calibri" w:eastAsia="Calibri" w:cs="Calibri"/>
                                <w:sz w:val="20"/>
                                <w:szCs w:val="20"/>
                                <w:lang w:val="uk-UA" w:eastAsia="zh-CN"/>
                              </w:rPr>
                            </w:pPr>
                            <w:r>
                              <w:rPr>
                                <w:rFonts w:eastAsia="Calibri" w:cs="Calibri"/>
                                <w:sz w:val="20"/>
                                <w:szCs w:val="20"/>
                                <w:lang w:val="uk-UA" w:eastAsia="zh-CN"/>
                              </w:rPr>
                              <w:t xml:space="preserve">Мета калібрування полягає в тому, щоб знайти набір ваг </w:t>
                            </w:r>
                            <w:r>
                              <w:rPr/>
                            </w:r>
                            <m:oMath xmlns:m="http://schemas.openxmlformats.org/officeDocument/2006/math">
                              <m:r>
                                <w:rPr>
                                  <w:rFonts w:ascii="Cambria Math" w:hAnsi="Cambria Math"/>
                                </w:rPr>
                                <m:t xml:space="preserve">w</m:t>
                              </m:r>
                              <m:r>
                                <w:rPr>
                                  <w:rFonts w:ascii="Cambria Math" w:hAnsi="Cambria Math"/>
                                </w:rPr>
                                <m:t xml:space="preserve">=</m:t>
                              </m:r>
                              <m:d>
                                <m:dPr>
                                  <m:begChr m:val="("/>
                                  <m:endChr m:val=")"/>
                                </m:dPr>
                                <m:e>
                                  <m:sSub>
                                    <m:e>
                                      <m:r>
                                        <w:rPr>
                                          <w:rFonts w:ascii="Cambria Math" w:hAnsi="Cambria Math"/>
                                        </w:rPr>
                                        <m:t xml:space="preserve">w</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w</m:t>
                                      </m:r>
                                    </m:e>
                                    <m:sub>
                                      <m:r>
                                        <w:rPr>
                                          <w:rFonts w:ascii="Cambria Math" w:hAnsi="Cambria Math"/>
                                        </w:rPr>
                                        <m:t xml:space="preserve">2</m:t>
                                      </m:r>
                                    </m:sub>
                                  </m:sSub>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sSub>
                                    <m:e>
                                      <m:r>
                                        <w:rPr>
                                          <w:rFonts w:ascii="Cambria Math" w:hAnsi="Cambria Math"/>
                                        </w:rPr>
                                        <m:t xml:space="preserve">w</m:t>
                                      </m:r>
                                    </m:e>
                                    <m:sub>
                                      <m:r>
                                        <w:rPr>
                                          <w:rFonts w:ascii="Cambria Math" w:hAnsi="Cambria Math"/>
                                        </w:rPr>
                                        <m:t xml:space="preserve">n</m:t>
                                      </m:r>
                                    </m:sub>
                                  </m:sSub>
                                </m:e>
                              </m:d>
                            </m:oMath>
                            <w:r>
                              <w:rPr>
                                <w:rFonts w:eastAsia="Calibri" w:cs="Calibri"/>
                                <w:sz w:val="20"/>
                                <w:szCs w:val="20"/>
                                <w:lang w:val="uk-UA"/>
                              </w:rPr>
                              <w:t>,</w:t>
                            </w:r>
                            <w:r>
                              <w:rPr>
                                <w:rFonts w:eastAsia="Calibri" w:cs="Calibri"/>
                                <w:sz w:val="20"/>
                                <w:szCs w:val="20"/>
                                <w:lang w:val="uk-UA" w:eastAsia="zh-CN"/>
                              </w:rPr>
                              <w:t xml:space="preserve"> які якомога менше відрізняються від набору попередніх ваг</w:t>
                            </w:r>
                            <w:r>
                              <w:rPr/>
                            </w:r>
                            <m:oMath xmlns:m="http://schemas.openxmlformats.org/officeDocument/2006/math">
                              <m:sSub>
                                <m:e>
                                  <m:r>
                                    <w:rPr>
                                      <w:rFonts w:ascii="Cambria Math" w:hAnsi="Cambria Math"/>
                                    </w:rPr>
                                    <m:t xml:space="preserve">b</m:t>
                                  </m:r>
                                </m:e>
                                <m:sub>
                                  <m:r>
                                    <w:rPr>
                                      <w:rFonts w:ascii="Cambria Math" w:hAnsi="Cambria Math"/>
                                    </w:rPr>
                                    <m:t xml:space="preserve">i</m:t>
                                  </m:r>
                                </m:sub>
                              </m:sSub>
                            </m:oMath>
                            <w:r>
                              <w:rPr>
                                <w:rFonts w:eastAsia="Calibri" w:cs="Calibri"/>
                                <w:sz w:val="20"/>
                                <w:szCs w:val="20"/>
                                <w:lang w:val="uk-UA" w:eastAsia="zh-CN"/>
                              </w:rPr>
                              <w:t xml:space="preserve"> при цьому гарантуючи, що зважена вибірка відповідає набору цільових орієнтирів (допоміжних змінних). Калібрування мінімізує відстань:</w:t>
                            </w:r>
                          </w:p>
                          <w:p>
                            <w:pPr>
                              <w:pStyle w:val="Style27"/>
                              <w:jc w:val="center"/>
                              <w:rPr>
                                <w:rFonts w:ascii="Calibri" w:hAnsi="Calibri" w:eastAsia="Calibri" w:cs="Calibri"/>
                                <w:sz w:val="20"/>
                                <w:szCs w:val="20"/>
                                <w:lang w:val="uk-UA"/>
                              </w:rPr>
                            </w:pPr>
                            <w:r>
                              <w:rPr/>
                            </w:r>
                            <m:oMathPara xmlns:m="http://schemas.openxmlformats.org/officeDocument/2006/math">
                              <m:oMathParaPr>
                                <m:jc m:val="center"/>
                              </m:oMathParaPr>
                              <m:oMath>
                                <m:nary>
                                  <m:naryPr>
                                    <m:chr m:val="∑"/>
                                    <m:supHide m:val="1"/>
                                  </m:naryPr>
                                  <m:sub>
                                    <m:r>
                                      <w:rPr>
                                        <w:rFonts w:ascii="Cambria Math" w:hAnsi="Cambria Math"/>
                                      </w:rPr>
                                      <m:t xml:space="preserve">i</m:t>
                                    </m:r>
                                  </m:sub>
                                  <m:sup/>
                                  <m:e>
                                    <m:r>
                                      <w:rPr>
                                        <w:rFonts w:ascii="Cambria Math" w:hAnsi="Cambria Math"/>
                                      </w:rPr>
                                      <m:t xml:space="preserve">D</m:t>
                                    </m:r>
                                    <m:d>
                                      <m:dPr>
                                        <m:begChr m:val="("/>
                                        <m:sepChr m:val="|"/>
                                        <m:endChr m:val=")"/>
                                      </m:dPr>
                                      <m:e>
                                        <m:sSub>
                                          <m:e>
                                            <m:r>
                                              <w:rPr>
                                                <w:rFonts w:ascii="Cambria Math" w:hAnsi="Cambria Math"/>
                                              </w:rPr>
                                              <m:t xml:space="preserve">w</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i</m:t>
                                            </m:r>
                                          </m:sub>
                                        </m:sSub>
                                      </m:e>
                                    </m:d>
                                  </m:e>
                                </m:nary>
                              </m:oMath>
                            </m:oMathPara>
                          </w:p>
                          <w:p>
                            <w:pPr>
                              <w:pStyle w:val="Style27"/>
                              <w:rPr>
                                <w:rFonts w:ascii="Calibri" w:hAnsi="Calibri" w:eastAsia="Calibri" w:cs="Calibri"/>
                                <w:sz w:val="20"/>
                                <w:szCs w:val="20"/>
                                <w:lang w:val="uk-UA" w:eastAsia="zh-CN"/>
                              </w:rPr>
                            </w:pPr>
                            <w:r>
                              <w:rPr>
                                <w:rFonts w:eastAsia="Calibri" w:cs="Calibri"/>
                                <w:sz w:val="20"/>
                                <w:szCs w:val="20"/>
                                <w:lang w:val="uk-UA" w:eastAsia="zh-CN"/>
                              </w:rPr>
                              <w:t>З урахуванням обмежень:</w:t>
                            </w:r>
                          </w:p>
                          <w:p>
                            <w:pPr>
                              <w:pStyle w:val="Style27"/>
                              <w:jc w:val="center"/>
                              <w:rPr>
                                <w:rFonts w:ascii="Calibri" w:hAnsi="Calibri" w:eastAsia="Calibri" w:cs="Calibri"/>
                                <w:sz w:val="20"/>
                                <w:szCs w:val="20"/>
                                <w:lang w:val="uk-UA"/>
                              </w:rPr>
                            </w:pPr>
                            <w:r>
                              <w:rPr/>
                            </w:r>
                            <m:oMathPara xmlns:m="http://schemas.openxmlformats.org/officeDocument/2006/math">
                              <m:oMathParaPr>
                                <m:jc m:val="center"/>
                              </m:oMathParaPr>
                              <m:oMath>
                                <m:sSub>
                                  <m:e>
                                    <m:r>
                                      <w:rPr>
                                        <w:rFonts w:ascii="Cambria Math" w:hAnsi="Cambria Math"/>
                                      </w:rPr>
                                      <m:t xml:space="preserve">t</m:t>
                                    </m:r>
                                  </m:e>
                                  <m:sub>
                                    <m:r>
                                      <w:rPr>
                                        <w:rFonts w:ascii="Cambria Math" w:hAnsi="Cambria Math"/>
                                      </w:rPr>
                                      <m:t xml:space="preserve">g</m:t>
                                    </m:r>
                                  </m:sub>
                                </m:sSub>
                                <m:r>
                                  <w:rPr>
                                    <w:rFonts w:ascii="Cambria Math" w:hAnsi="Cambria Math"/>
                                  </w:rPr>
                                  <m:t xml:space="preserve">=</m:t>
                                </m:r>
                                <m:nary>
                                  <m:naryPr>
                                    <m:chr m:val="∑"/>
                                    <m:supHide m:val="1"/>
                                  </m:naryPr>
                                  <m:sub>
                                    <m:r>
                                      <w:rPr>
                                        <w:rFonts w:ascii="Cambria Math" w:hAnsi="Cambria Math"/>
                                      </w:rPr>
                                      <m:t xml:space="preserve">i</m:t>
                                    </m:r>
                                  </m:sub>
                                  <m:sup/>
                                  <m:e>
                                    <m:sSub>
                                      <m:e>
                                        <m:r>
                                          <w:rPr>
                                            <w:rFonts w:ascii="Cambria Math" w:hAnsi="Cambria Math"/>
                                          </w:rPr>
                                          <m:t xml:space="preserve">w</m:t>
                                        </m:r>
                                      </m:e>
                                      <m:sub>
                                        <m:r>
                                          <w:rPr>
                                            <w:rFonts w:ascii="Cambria Math" w:hAnsi="Cambria Math"/>
                                          </w:rPr>
                                          <m:t xml:space="preserve">i</m:t>
                                        </m:r>
                                      </m:sub>
                                    </m:sSub>
                                    <m:sSub>
                                      <m:e>
                                        <m:r>
                                          <w:rPr>
                                            <w:rFonts w:ascii="Cambria Math" w:hAnsi="Cambria Math"/>
                                          </w:rPr>
                                          <m:t xml:space="preserve">x</m:t>
                                        </m:r>
                                      </m:e>
                                      <m:sub>
                                        <m:r>
                                          <w:rPr>
                                            <w:rFonts w:ascii="Cambria Math" w:hAnsi="Cambria Math"/>
                                          </w:rPr>
                                          <m:t xml:space="preserve">ig</m:t>
                                        </m:r>
                                      </m:sub>
                                    </m:sSub>
                                  </m:e>
                                </m:nary>
                              </m:oMath>
                            </m:oMathPara>
                          </w:p>
                          <w:p>
                            <w:pPr>
                              <w:pStyle w:val="Style27"/>
                              <w:rPr>
                                <w:rFonts w:ascii="Calibri" w:hAnsi="Calibri" w:eastAsia="Calibri" w:cs="Calibri"/>
                                <w:sz w:val="20"/>
                                <w:szCs w:val="20"/>
                                <w:lang w:val="uk-UA" w:eastAsia="zh-CN"/>
                              </w:rPr>
                            </w:pPr>
                            <w:r>
                              <w:rPr>
                                <w:rFonts w:eastAsia="Calibri" w:cs="Calibri"/>
                                <w:sz w:val="20"/>
                                <w:szCs w:val="20"/>
                                <w:lang w:val="uk-UA" w:eastAsia="zh-CN"/>
                              </w:rPr>
                              <w:t xml:space="preserve">Тут допоміжний вектор </w:t>
                            </w:r>
                            <w:r>
                              <w:rPr/>
                            </w:r>
                            <m:oMath xmlns:m="http://schemas.openxmlformats.org/officeDocument/2006/math">
                              <m:r>
                                <w:rPr>
                                  <w:rFonts w:ascii="Cambria Math" w:hAnsi="Cambria Math"/>
                                </w:rPr>
                                <m:t xml:space="preserve">x</m:t>
                              </m:r>
                              <m:r>
                                <w:rPr>
                                  <w:rFonts w:ascii="Cambria Math" w:hAnsi="Cambria Math"/>
                                </w:rPr>
                                <m:t xml:space="preserve">=</m:t>
                              </m:r>
                              <m:sSup>
                                <m:e>
                                  <m:d>
                                    <m:dPr>
                                      <m:begChr m:val="("/>
                                      <m:endChr m:val=")"/>
                                    </m:dPr>
                                    <m:e>
                                      <m:sSub>
                                        <m:e>
                                          <m:r>
                                            <w:rPr>
                                              <w:rFonts w:ascii="Cambria Math" w:hAnsi="Cambria Math"/>
                                            </w:rPr>
                                            <m:t xml:space="preserve">x</m:t>
                                          </m:r>
                                        </m:e>
                                        <m:sub>
                                          <m:r>
                                            <w:rPr>
                                              <w:rFonts w:ascii="Cambria Math" w:hAnsi="Cambria Math"/>
                                            </w:rPr>
                                            <m:t xml:space="preserve">i</m:t>
                                          </m:r>
                                          <m:r>
                                            <w:rPr>
                                              <w:rFonts w:ascii="Cambria Math" w:hAnsi="Cambria Math"/>
                                            </w:rPr>
                                            <m:t xml:space="preserve">1</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iG</m:t>
                                          </m:r>
                                        </m:sub>
                                      </m:sSub>
                                      <m:r>
                                        <w:rPr>
                                          <w:rFonts w:ascii="Cambria Math" w:hAnsi="Cambria Math"/>
                                        </w:rPr>
                                        <m:t xml:space="preserve">,</m:t>
                                      </m:r>
                                    </m:e>
                                  </m:d>
                                </m:e>
                                <m:sup>
                                  <m:r>
                                    <w:rPr>
                                      <w:rFonts w:ascii="Cambria Math" w:hAnsi="Cambria Math"/>
                                    </w:rPr>
                                    <m:t xml:space="preserve">ı</m:t>
                                  </m:r>
                                </m:sup>
                              </m:sSup>
                            </m:oMath>
                            <w:r>
                              <w:rPr>
                                <w:rFonts w:eastAsia="Calibri" w:cs="Calibri"/>
                                <w:sz w:val="20"/>
                                <w:szCs w:val="20"/>
                                <w:lang w:val="uk-UA"/>
                              </w:rPr>
                              <w:t xml:space="preserve">, </w:t>
                            </w:r>
                            <w:r>
                              <w:rPr>
                                <w:rFonts w:eastAsia="Calibri" w:cs="Calibri"/>
                                <w:sz w:val="20"/>
                                <w:szCs w:val="20"/>
                                <w:lang w:val="uk-UA" w:eastAsia="zh-CN"/>
                              </w:rPr>
                              <w:t xml:space="preserve">де </w:t>
                            </w:r>
                            <w:r>
                              <w:rPr/>
                            </w:r>
                            <m:oMath xmlns:m="http://schemas.openxmlformats.org/officeDocument/2006/math">
                              <m:r>
                                <w:rPr>
                                  <w:rFonts w:ascii="Cambria Math" w:hAnsi="Cambria Math"/>
                                </w:rPr>
                                <m:t xml:space="preserve">g</m:t>
                              </m:r>
                            </m:oMath>
                            <w:r>
                              <w:rPr>
                                <w:rFonts w:eastAsia="Calibri" w:cs="Calibri"/>
                                <w:sz w:val="20"/>
                                <w:szCs w:val="20"/>
                                <w:lang w:val="uk-UA" w:eastAsia="zh-CN"/>
                              </w:rPr>
                              <w:t xml:space="preserve"> позначає калібрувальний шар, кодує інформацію вибірки, що відповідає цільовим орієнтирам </w:t>
                            </w:r>
                            <w:r>
                              <w:rPr/>
                            </w:r>
                            <m:oMath xmlns:m="http://schemas.openxmlformats.org/officeDocument/2006/math">
                              <m:r>
                                <w:rPr>
                                  <w:rFonts w:ascii="Cambria Math" w:hAnsi="Cambria Math"/>
                                </w:rPr>
                                <m:t xml:space="preserve">t</m:t>
                              </m:r>
                              <m:r>
                                <w:rPr>
                                  <w:rFonts w:ascii="Cambria Math" w:hAnsi="Cambria Math"/>
                                </w:rPr>
                                <m:t xml:space="preserve">=</m:t>
                              </m:r>
                              <m:d>
                                <m:dPr>
                                  <m:begChr m:val="("/>
                                  <m:endChr m:val=")"/>
                                </m:dPr>
                                <m:e>
                                  <m:sSub>
                                    <m:e>
                                      <m:r>
                                        <w:rPr>
                                          <w:rFonts w:ascii="Cambria Math" w:hAnsi="Cambria Math"/>
                                        </w:rPr>
                                        <m:t xml:space="preserve">t</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3</m:t>
                                      </m:r>
                                    </m:sub>
                                  </m:sSub>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sSub>
                                    <m:e>
                                      <m:r>
                                        <w:rPr>
                                          <w:rFonts w:ascii="Cambria Math" w:hAnsi="Cambria Math"/>
                                        </w:rPr>
                                        <m:t xml:space="preserve">t</m:t>
                                      </m:r>
                                    </m:e>
                                    <m:sub>
                                      <m:r>
                                        <w:rPr>
                                          <w:rFonts w:ascii="Cambria Math" w:hAnsi="Cambria Math"/>
                                        </w:rPr>
                                        <m:t xml:space="preserve">G</m:t>
                                      </m:r>
                                    </m:sub>
                                  </m:sSub>
                                  <m:r>
                                    <w:rPr>
                                      <w:rFonts w:ascii="Cambria Math" w:hAnsi="Cambria Math"/>
                                    </w:rPr>
                                    <m:t xml:space="preserve">,</m:t>
                                  </m:r>
                                </m:e>
                              </m:d>
                            </m:oMath>
                            <w:r>
                              <w:rPr>
                                <w:rFonts w:eastAsia="Calibri" w:cs="Calibri"/>
                                <w:sz w:val="20"/>
                                <w:szCs w:val="20"/>
                                <w:lang w:val="uk-UA" w:eastAsia="zh-CN"/>
                              </w:rPr>
                              <w:t xml:space="preserve">. Оскільки не існує єдиного способу вимірювання відстані між w та b, калібрування залежить від вибору метрики відстані </w:t>
                            </w:r>
                            <w:r>
                              <w:rPr/>
                            </w:r>
                            <m:oMath xmlns:m="http://schemas.openxmlformats.org/officeDocument/2006/math">
                              <m:r>
                                <w:rPr>
                                  <w:rFonts w:ascii="Cambria Math" w:hAnsi="Cambria Math"/>
                                </w:rPr>
                                <m:t xml:space="preserve">D</m:t>
                              </m:r>
                              <m:d>
                                <m:dPr>
                                  <m:begChr m:val="("/>
                                  <m:endChr m:val=")"/>
                                </m:dPr>
                                <m:e>
                                  <m:sSub>
                                    <m:e>
                                      <m:r>
                                        <w:rPr>
                                          <w:rFonts w:ascii="Cambria Math" w:hAnsi="Cambria Math"/>
                                        </w:rPr>
                                        <m:t xml:space="preserve">w</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i</m:t>
                                      </m:r>
                                    </m:sub>
                                  </m:sSub>
                                </m:e>
                              </m:d>
                              <m:r>
                                <w:rPr>
                                  <w:rFonts w:ascii="Cambria Math" w:hAnsi="Cambria Math"/>
                                </w:rPr>
                                <m:t xml:space="preserve">.</m:t>
                              </m:r>
                            </m:oMath>
                            <w:r>
                              <w:rPr>
                                <w:rFonts w:eastAsia="Calibri" w:cs="Calibri"/>
                                <w:sz w:val="20"/>
                                <w:szCs w:val="20"/>
                                <w:lang w:val="uk-UA"/>
                              </w:rPr>
                              <w:t xml:space="preserve"> </w:t>
                            </w:r>
                            <w:r>
                              <w:rPr>
                                <w:rFonts w:eastAsia="Calibri" w:cs="Calibri"/>
                                <w:sz w:val="20"/>
                                <w:szCs w:val="20"/>
                                <w:lang w:val="uk-UA" w:eastAsia="zh-CN"/>
                              </w:rPr>
                              <w:t>Два найпоширеніші методи зважування - це згрібання і лінійне зважування. У той час як згрібання мінімізує перехресну ентропію, при лінійному калібруванні ваги мінімізують евклідову відстань. Вибір метрики відстані набагато менш важливий, ніж вибір допоміжного вектора та відповідних цільових сукупностей (Лумлей, 2010 р.). Зсув відсутності відповіді у середньому значенні вибірки для одиниць, що відповіли, дорівнює:</w:t>
                            </w:r>
                          </w:p>
                          <w:p>
                            <w:pPr>
                              <w:pStyle w:val="Style27"/>
                              <w:jc w:val="center"/>
                              <w:rPr>
                                <w:rFonts w:ascii="Calibri" w:hAnsi="Calibri" w:cs="Calibri"/>
                                <w:sz w:val="20"/>
                                <w:szCs w:val="20"/>
                                <w:lang w:val="uk-UA"/>
                              </w:rPr>
                            </w:pPr>
                            <w:r>
                              <w:rPr/>
                            </w:r>
                            <m:oMathPara xmlns:m="http://schemas.openxmlformats.org/officeDocument/2006/math">
                              <m:oMathParaPr>
                                <m:jc m:val="center"/>
                              </m:oMathParaPr>
                              <m:oMath>
                                <m:r>
                                  <w:rPr>
                                    <w:rFonts w:ascii="Cambria Math" w:hAnsi="Cambria Math"/>
                                  </w:rPr>
                                  <m:t xml:space="preserve">Bias</m:t>
                                </m:r>
                                <m:d>
                                  <m:dPr>
                                    <m:begChr m:val="("/>
                                    <m:endChr m:val=")"/>
                                  </m:dPr>
                                  <m:e>
                                    <m:bar>
                                      <m:barPr>
                                        <m:pos m:val="top"/>
                                      </m:barPr>
                                      <m:e>
                                        <m:r>
                                          <w:rPr>
                                            <w:rFonts w:ascii="Cambria Math" w:hAnsi="Cambria Math"/>
                                          </w:rPr>
                                          <m:t xml:space="preserve">y</m:t>
                                        </m:r>
                                      </m:e>
                                    </m:bar>
                                  </m:e>
                                </m:d>
                                <m:r>
                                  <w:rPr>
                                    <w:rFonts w:ascii="Cambria Math" w:hAnsi="Cambria Math"/>
                                  </w:rPr>
                                  <m:t xml:space="preserve">=</m:t>
                                </m:r>
                                <m:sSub>
                                  <m:e>
                                    <m:r>
                                      <w:rPr>
                                        <w:rFonts w:ascii="Cambria Math" w:hAnsi="Cambria Math"/>
                                      </w:rPr>
                                      <m:t xml:space="preserve">σ</m:t>
                                    </m:r>
                                  </m:e>
                                  <m:sub>
                                    <m:r>
                                      <w:rPr>
                                        <w:rFonts w:ascii="Cambria Math" w:hAnsi="Cambria Math"/>
                                      </w:rPr>
                                      <m:t xml:space="preserve">p</m:t>
                                    </m:r>
                                  </m:sub>
                                </m:sSub>
                                <m:sSub>
                                  <m:e>
                                    <m:r>
                                      <w:rPr>
                                        <w:rFonts w:ascii="Cambria Math" w:hAnsi="Cambria Math"/>
                                      </w:rPr>
                                      <m:t xml:space="preserve">σ</m:t>
                                    </m:r>
                                  </m:e>
                                  <m:sub>
                                    <m:r>
                                      <w:rPr>
                                        <w:rFonts w:ascii="Cambria Math" w:hAnsi="Cambria Math"/>
                                      </w:rPr>
                                      <m:t xml:space="preserve">y</m:t>
                                    </m:r>
                                  </m:sub>
                                </m:sSub>
                                <m:f>
                                  <m:fPr>
                                    <m:type m:val="lin"/>
                                  </m:fPr>
                                  <m:num>
                                    <m:sSub>
                                      <m:e>
                                        <m:r>
                                          <w:rPr>
                                            <w:rFonts w:ascii="Cambria Math" w:hAnsi="Cambria Math"/>
                                          </w:rPr>
                                          <m:t xml:space="preserve">R</m:t>
                                        </m:r>
                                      </m:e>
                                      <m:sub>
                                        <m:r>
                                          <w:rPr>
                                            <w:rFonts w:ascii="Cambria Math" w:hAnsi="Cambria Math"/>
                                          </w:rPr>
                                          <m:t xml:space="preserve">py</m:t>
                                        </m:r>
                                      </m:sub>
                                    </m:sSub>
                                  </m:num>
                                  <m:den>
                                    <m:bar>
                                      <m:barPr>
                                        <m:pos m:val="top"/>
                                      </m:barPr>
                                      <m:e>
                                        <m:r>
                                          <w:rPr>
                                            <w:rFonts w:ascii="Cambria Math" w:hAnsi="Cambria Math"/>
                                          </w:rPr>
                                          <m:t xml:space="preserve">p</m:t>
                                        </m:r>
                                      </m:e>
                                    </m:bar>
                                  </m:den>
                                </m:f>
                              </m:oMath>
                            </m:oMathPara>
                          </w:p>
                          <w:p>
                            <w:pPr>
                              <w:pStyle w:val="Style27"/>
                              <w:spacing w:before="0" w:after="160"/>
                              <w:rPr>
                                <w:rFonts w:ascii="Calibri" w:hAnsi="Calibri" w:eastAsia="Calibri" w:cs="Calibri"/>
                                <w:sz w:val="20"/>
                                <w:szCs w:val="20"/>
                                <w:lang w:val="uk-UA" w:eastAsia="zh-CN"/>
                              </w:rPr>
                            </w:pPr>
                            <w:r>
                              <w:rPr>
                                <w:rFonts w:eastAsia="" w:cs="Calibri" w:eastAsiaTheme="minorEastAsia"/>
                                <w:sz w:val="20"/>
                                <w:szCs w:val="20"/>
                                <w:lang w:val="uk-UA" w:eastAsia="zh-CN"/>
                              </w:rPr>
                              <w:t xml:space="preserve">Тут </w:t>
                            </w:r>
                            <w:r>
                              <w:rPr/>
                            </w:r>
                            <m:oMath xmlns:m="http://schemas.openxmlformats.org/officeDocument/2006/math">
                              <m:bar>
                                <m:barPr>
                                  <m:pos m:val="top"/>
                                </m:barPr>
                                <m:e>
                                  <m:r>
                                    <w:rPr>
                                      <w:rFonts w:ascii="Cambria Math" w:hAnsi="Cambria Math"/>
                                    </w:rPr>
                                    <m:t xml:space="preserve">p</m:t>
                                  </m:r>
                                </m:e>
                              </m:bar>
                              <m:r>
                                <w:rPr>
                                  <w:rFonts w:ascii="Cambria Math" w:hAnsi="Cambria Math"/>
                                </w:rPr>
                                <m:t xml:space="preserve">̄</m:t>
                              </m:r>
                            </m:oMath>
                            <w:r>
                              <w:rPr>
                                <w:rFonts w:eastAsia="Calibri" w:cs="Calibri"/>
                                <w:sz w:val="20"/>
                                <w:szCs w:val="20"/>
                                <w:lang w:val="uk-UA" w:eastAsia="zh-CN"/>
                              </w:rPr>
                              <w:t xml:space="preserve"> - середня ймовірність відповіді </w:t>
                            </w:r>
                            <w:r>
                              <w:rPr/>
                            </w:r>
                            <m:oMath xmlns:m="http://schemas.openxmlformats.org/officeDocument/2006/math">
                              <m:r>
                                <w:rPr>
                                  <w:rFonts w:ascii="Cambria Math" w:hAnsi="Cambria Math"/>
                                </w:rPr>
                                <m:t xml:space="preserve">p</m:t>
                              </m:r>
                            </m:oMath>
                            <w:r>
                              <w:rPr>
                                <w:rFonts w:eastAsia="Calibri" w:cs="Calibri"/>
                                <w:sz w:val="20"/>
                                <w:szCs w:val="20"/>
                                <w:lang w:val="uk-UA" w:eastAsia="zh-CN"/>
                              </w:rPr>
                              <w:t xml:space="preserve"> в популяції, </w:t>
                            </w:r>
                            <w:r>
                              <w:rPr/>
                            </w:r>
                            <m:oMath xmlns:m="http://schemas.openxmlformats.org/officeDocument/2006/math">
                              <m:sSub>
                                <m:e>
                                  <m:r>
                                    <w:rPr>
                                      <w:rFonts w:ascii="Cambria Math" w:hAnsi="Cambria Math"/>
                                    </w:rPr>
                                    <m:t xml:space="preserve">σ</m:t>
                                  </m:r>
                                </m:e>
                                <m:sub>
                                  <m:r>
                                    <w:rPr>
                                      <w:rFonts w:ascii="Cambria Math" w:hAnsi="Cambria Math"/>
                                    </w:rPr>
                                    <m:t xml:space="preserve">p</m:t>
                                  </m:r>
                                </m:sub>
                              </m:sSub>
                            </m:oMath>
                            <w:r>
                              <w:rPr>
                                <w:rFonts w:cs="Calibri"/>
                                <w:sz w:val="20"/>
                                <w:szCs w:val="20"/>
                                <w:lang w:val="uk-UA"/>
                              </w:rPr>
                              <w:t xml:space="preserve"> і </w:t>
                            </w:r>
                            <w:r>
                              <w:rPr/>
                            </w:r>
                            <m:oMath xmlns:m="http://schemas.openxmlformats.org/officeDocument/2006/math">
                              <m:sSub>
                                <m:e>
                                  <m:r>
                                    <w:rPr>
                                      <w:rFonts w:ascii="Cambria Math" w:hAnsi="Cambria Math"/>
                                    </w:rPr>
                                    <m:t xml:space="preserve">σ</m:t>
                                  </m:r>
                                </m:e>
                                <m:sub>
                                  <m:r>
                                    <w:rPr>
                                      <w:rFonts w:ascii="Cambria Math" w:hAnsi="Cambria Math"/>
                                    </w:rPr>
                                    <m:t xml:space="preserve">y</m:t>
                                  </m:r>
                                </m:sub>
                              </m:sSub>
                            </m:oMath>
                            <w:r>
                              <w:rPr>
                                <w:rFonts w:eastAsia="Calibri" w:cs="Calibri"/>
                                <w:sz w:val="20"/>
                                <w:szCs w:val="20"/>
                                <w:lang w:val="uk-UA" w:eastAsia="zh-CN"/>
                              </w:rPr>
                              <w:t xml:space="preserve"> - середньоквадратичні відхилення </w:t>
                            </w:r>
                            <w:r>
                              <w:rPr/>
                            </w:r>
                            <m:oMath xmlns:m="http://schemas.openxmlformats.org/officeDocument/2006/math">
                              <m:r>
                                <w:rPr>
                                  <w:rFonts w:ascii="Cambria Math" w:hAnsi="Cambria Math"/>
                                </w:rPr>
                                <m:t xml:space="preserve">p</m:t>
                              </m:r>
                            </m:oMath>
                            <w:r>
                              <w:rPr>
                                <w:rFonts w:cs="Calibri"/>
                                <w:sz w:val="20"/>
                                <w:szCs w:val="20"/>
                                <w:lang w:val="uk-UA"/>
                              </w:rPr>
                              <w:t xml:space="preserve"> і </w:t>
                            </w:r>
                            <w:r>
                              <w:rPr/>
                            </w:r>
                            <m:oMath xmlns:m="http://schemas.openxmlformats.org/officeDocument/2006/math">
                              <m:r>
                                <w:rPr>
                                  <w:rFonts w:ascii="Cambria Math" w:hAnsi="Cambria Math"/>
                                </w:rPr>
                                <m:t xml:space="preserve">y</m:t>
                              </m:r>
                            </m:oMath>
                            <w:r>
                              <w:rPr>
                                <w:rFonts w:eastAsia="" w:cs="Calibri" w:eastAsiaTheme="minorEastAsia"/>
                                <w:sz w:val="20"/>
                                <w:szCs w:val="20"/>
                                <w:lang w:val="uk-UA"/>
                              </w:rPr>
                              <w:t xml:space="preserve">, </w:t>
                            </w:r>
                            <w:r>
                              <w:rPr>
                                <w:rFonts w:cs="Calibri"/>
                                <w:sz w:val="20"/>
                                <w:szCs w:val="20"/>
                                <w:lang w:val="uk-UA"/>
                              </w:rPr>
                              <w:t xml:space="preserve">а </w:t>
                            </w:r>
                            <w:r>
                              <w:rPr/>
                            </w:r>
                            <m:oMath xmlns:m="http://schemas.openxmlformats.org/officeDocument/2006/math">
                              <m:sSub>
                                <m:e>
                                  <m:r>
                                    <w:rPr>
                                      <w:rFonts w:ascii="Cambria Math" w:hAnsi="Cambria Math"/>
                                    </w:rPr>
                                    <m:t xml:space="preserve">R</m:t>
                                  </m:r>
                                </m:e>
                                <m:sub>
                                  <m:r>
                                    <w:rPr>
                                      <w:rFonts w:ascii="Cambria Math" w:hAnsi="Cambria Math"/>
                                    </w:rPr>
                                    <m:t xml:space="preserve">py</m:t>
                                  </m:r>
                                </m:sub>
                              </m:sSub>
                            </m:oMath>
                            <w:r>
                              <w:rPr>
                                <w:rFonts w:eastAsia="Calibri" w:cs="Calibri"/>
                                <w:sz w:val="20"/>
                                <w:szCs w:val="20"/>
                                <w:lang w:val="uk-UA" w:eastAsia="zh-CN"/>
                              </w:rPr>
                              <w:t xml:space="preserve"> - популяційна кореляція між </w:t>
                            </w:r>
                            <w:r>
                              <w:rPr/>
                            </w:r>
                            <m:oMath xmlns:m="http://schemas.openxmlformats.org/officeDocument/2006/math">
                              <m:r>
                                <w:rPr>
                                  <w:rFonts w:ascii="Cambria Math" w:hAnsi="Cambria Math"/>
                                </w:rPr>
                                <m:t xml:space="preserve">p</m:t>
                              </m:r>
                            </m:oMath>
                            <w:r>
                              <w:rPr>
                                <w:rFonts w:cs="Calibri"/>
                                <w:sz w:val="20"/>
                                <w:szCs w:val="20"/>
                                <w:lang w:val="uk-UA"/>
                              </w:rPr>
                              <w:t xml:space="preserve"> і </w:t>
                            </w:r>
                            <w:r>
                              <w:rPr/>
                            </w:r>
                            <m:oMath xmlns:m="http://schemas.openxmlformats.org/officeDocument/2006/math">
                              <m:r>
                                <w:rPr>
                                  <w:rFonts w:ascii="Cambria Math" w:hAnsi="Cambria Math"/>
                                </w:rPr>
                                <m:t xml:space="preserve">y</m:t>
                              </m:r>
                            </m:oMath>
                            <w:r>
                              <w:rPr>
                                <w:rFonts w:eastAsia="Calibri" w:cs="Calibri"/>
                                <w:sz w:val="20"/>
                                <w:szCs w:val="20"/>
                                <w:lang w:val="uk-UA" w:eastAsia="zh-CN"/>
                              </w:rPr>
                              <w:t>(Бетлехем, Коббен, і Шутен 2011 р., 249). Ваги зменшують зміщення відсутності відповіді настільки, наскільки вони порушують кореляцію між ймовірностями відповіді та змінною результату, що нас цікавить (Кафей і Хардман, 2017 р.).</w:t>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0pt;margin-top:0pt;width:489.3pt;height:437.95pt;mso-wrap-style:square;v-text-anchor:top;mso-position-horizontal-relative:margin" wp14:anchorId="053D6DBD">
                <v:fill o:detectmouseclick="t" type="solid" color2="black"/>
                <v:stroke color="black" weight="9360" joinstyle="miter" endcap="flat"/>
                <v:textbox>
                  <w:txbxContent>
                    <w:p>
                      <w:pPr>
                        <w:pStyle w:val="Style27"/>
                        <w:jc w:val="center"/>
                        <w:rPr>
                          <w:rFonts w:eastAsia="Calibri" w:cs="Calibri"/>
                          <w:b/>
                          <w:bCs/>
                          <w:sz w:val="18"/>
                          <w:szCs w:val="18"/>
                          <w:lang w:eastAsia="zh-CN"/>
                        </w:rPr>
                      </w:pPr>
                      <w:r>
                        <w:rPr>
                          <w:rFonts w:eastAsia="Calibri" w:cs="Calibri"/>
                          <w:b/>
                          <w:bCs/>
                          <w:sz w:val="18"/>
                          <w:szCs w:val="18"/>
                          <w:lang w:eastAsia="zh-CN"/>
                        </w:rPr>
                        <w:t>Вставка 1. Підхід до калібрування</w:t>
                      </w:r>
                    </w:p>
                    <w:p>
                      <w:pPr>
                        <w:pStyle w:val="Style27"/>
                        <w:rPr>
                          <w:rFonts w:ascii="Calibri" w:hAnsi="Calibri" w:cs="Calibri"/>
                          <w:sz w:val="20"/>
                          <w:szCs w:val="20"/>
                          <w:lang w:val="uk-UA"/>
                        </w:rPr>
                      </w:pPr>
                      <w:r>
                        <w:rPr>
                          <w:rFonts w:eastAsia="Calibri" w:cs="Calibri"/>
                          <w:sz w:val="20"/>
                          <w:szCs w:val="20"/>
                          <w:lang w:val="ru-RU" w:eastAsia="zh-CN"/>
                        </w:rPr>
                        <w:t xml:space="preserve">Калібрування виникло в </w:t>
                      </w:r>
                      <w:r>
                        <w:rPr>
                          <w:rFonts w:eastAsia="Calibri" w:cs="Calibri"/>
                          <w:sz w:val="20"/>
                          <w:szCs w:val="20"/>
                          <w:lang w:val="uk-UA" w:eastAsia="zh-CN"/>
                        </w:rPr>
                        <w:t xml:space="preserve">результаті узагальнення Девілем (1988 р.), а потім Девілем і Сьорндалом (1992 р.) ідеї Лемеля (1976 р.). Воно використовує допоміжну інформацію для покращення якості розрахунків, зважених на дизайн. Допоміжна змінна </w:t>
                      </w:r>
                      <w:r>
                        <w:rPr/>
                      </w:r>
                      <m:oMath xmlns:m="http://schemas.openxmlformats.org/officeDocument/2006/math">
                        <m:r>
                          <w:rPr>
                            <w:rFonts w:ascii="Cambria Math" w:hAnsi="Cambria Math"/>
                          </w:rPr>
                          <m:t xml:space="preserve">x</m:t>
                        </m:r>
                      </m:oMath>
                      <w:r>
                        <w:rPr>
                          <w:rFonts w:eastAsia="Calibri" w:cs="Calibri"/>
                          <w:i/>
                          <w:sz w:val="20"/>
                          <w:szCs w:val="20"/>
                          <w:lang w:val="uk-UA" w:eastAsia="zh-CN"/>
                        </w:rPr>
                        <w:t xml:space="preserve">, </w:t>
                      </w:r>
                      <w:r>
                        <w:rPr>
                          <w:rFonts w:eastAsia="Calibri" w:cs="Calibri"/>
                          <w:sz w:val="20"/>
                          <w:szCs w:val="20"/>
                          <w:lang w:val="uk-UA" w:eastAsia="zh-CN"/>
                        </w:rPr>
                        <w:t xml:space="preserve">яку також називають </w:t>
                      </w:r>
                      <w:r>
                        <w:rPr>
                          <w:rFonts w:eastAsia="Calibri" w:cs="Calibri"/>
                          <w:i/>
                          <w:sz w:val="20"/>
                          <w:szCs w:val="20"/>
                          <w:lang w:val="uk-UA" w:eastAsia="zh-CN"/>
                        </w:rPr>
                        <w:t>калібрувальною змінною</w:t>
                      </w:r>
                      <w:r>
                        <w:rPr>
                          <w:rFonts w:eastAsia="Calibri" w:cs="Calibri"/>
                          <w:sz w:val="20"/>
                          <w:szCs w:val="20"/>
                          <w:lang w:val="uk-UA" w:eastAsia="zh-CN"/>
                        </w:rPr>
                        <w:t>, повинна мати наступні дві характеристики, які слід враховувати при калібруванні:</w:t>
                      </w:r>
                    </w:p>
                    <w:p>
                      <w:pPr>
                        <w:pStyle w:val="ListParagraph"/>
                        <w:numPr>
                          <w:ilvl w:val="0"/>
                          <w:numId w:val="1"/>
                        </w:numPr>
                        <w:spacing w:lineRule="auto" w:line="240" w:before="0" w:after="0"/>
                        <w:contextualSpacing/>
                        <w:jc w:val="both"/>
                        <w:rPr>
                          <w:rFonts w:ascii="Calibri" w:hAnsi="Calibri" w:cs="Calibri"/>
                          <w:sz w:val="20"/>
                          <w:szCs w:val="20"/>
                          <w:lang w:val="uk-UA"/>
                        </w:rPr>
                      </w:pPr>
                      <w:r>
                        <w:rPr>
                          <w:rFonts w:cs="Calibri"/>
                          <w:sz w:val="20"/>
                          <w:szCs w:val="20"/>
                          <w:lang w:val="uk-UA"/>
                        </w:rPr>
                        <w:t xml:space="preserve">Вона повинна бути доступною для всіх одиниць вибірки </w:t>
                      </w:r>
                      <w:r>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s</m:t>
                        </m:r>
                        <m:d>
                          <m:dPr>
                            <m:begChr m:val="("/>
                            <m:endChr m:val=")"/>
                          </m:dPr>
                          <m:e>
                            <m:r>
                              <w:rPr>
                                <w:rFonts w:ascii="Cambria Math" w:hAnsi="Cambria Math"/>
                              </w:rPr>
                              <m:t xml:space="preserve">samplespace</m:t>
                            </m:r>
                          </m:e>
                        </m:d>
                      </m:oMath>
                      <w:r>
                        <w:rPr>
                          <w:rFonts w:eastAsia="" w:cs="Calibri" w:eastAsiaTheme="minorEastAsia"/>
                          <w:sz w:val="20"/>
                          <w:szCs w:val="20"/>
                          <w:lang w:val="uk-UA"/>
                        </w:rPr>
                        <w:t xml:space="preserve"> </w:t>
                      </w:r>
                      <w:r>
                        <w:rPr>
                          <w:rFonts w:cs="Calibri"/>
                          <w:sz w:val="20"/>
                          <w:szCs w:val="20"/>
                          <w:lang w:val="uk-UA"/>
                        </w:rPr>
                        <w:t>і</w:t>
                      </w:r>
                    </w:p>
                    <w:p>
                      <w:pPr>
                        <w:pStyle w:val="ListParagraph"/>
                        <w:numPr>
                          <w:ilvl w:val="0"/>
                          <w:numId w:val="1"/>
                        </w:numPr>
                        <w:spacing w:lineRule="auto" w:line="240" w:before="0" w:after="0"/>
                        <w:contextualSpacing/>
                        <w:jc w:val="both"/>
                        <w:rPr>
                          <w:rFonts w:ascii="Calibri" w:hAnsi="Calibri" w:cs="Calibri"/>
                          <w:sz w:val="20"/>
                          <w:szCs w:val="20"/>
                          <w:lang w:val="uk-UA"/>
                        </w:rPr>
                      </w:pPr>
                      <w:r>
                        <w:rPr>
                          <w:rFonts w:cs="Calibri"/>
                          <w:sz w:val="20"/>
                          <w:szCs w:val="20"/>
                          <w:lang w:val="uk-UA"/>
                        </w:rPr>
                        <w:t xml:space="preserve">Повинна бути відома загальна популяція </w:t>
                      </w:r>
                      <w:r>
                        <w:rPr/>
                      </w:r>
                      <m:oMath xmlns:m="http://schemas.openxmlformats.org/officeDocument/2006/math">
                        <m:r>
                          <w:rPr>
                            <w:rFonts w:ascii="Cambria Math" w:hAnsi="Cambria Math"/>
                          </w:rPr>
                          <m:t xml:space="preserve">X</m:t>
                        </m:r>
                        <m:r>
                          <w:rPr>
                            <w:rFonts w:ascii="Cambria Math" w:hAnsi="Cambria Math"/>
                          </w:rPr>
                          <m:t xml:space="preserve">=</m:t>
                        </m:r>
                        <m:nary>
                          <m:naryPr>
                            <m:chr m:val="∑"/>
                            <m:supHide m:val="1"/>
                          </m:naryPr>
                          <m:sub>
                            <m:r>
                              <w:rPr>
                                <w:rFonts w:ascii="Cambria Math" w:hAnsi="Cambria Math"/>
                              </w:rPr>
                              <m:t xml:space="preserve">k</m:t>
                            </m:r>
                            <m:r>
                              <w:rPr>
                                <w:rFonts w:ascii="Cambria Math" w:hAnsi="Cambria Math"/>
                              </w:rPr>
                              <m:t xml:space="preserve">∈</m:t>
                            </m:r>
                            <m:r>
                              <w:rPr>
                                <w:rFonts w:ascii="Cambria Math" w:hAnsi="Cambria Math"/>
                              </w:rPr>
                              <m:t xml:space="preserve">U</m:t>
                            </m:r>
                          </m:sub>
                          <m:sup/>
                          <m:e>
                            <m:sSub>
                              <m:e>
                                <m:r>
                                  <w:rPr>
                                    <w:rFonts w:ascii="Cambria Math" w:hAnsi="Cambria Math"/>
                                  </w:rPr>
                                  <m:t xml:space="preserve">x</m:t>
                                </m:r>
                              </m:e>
                              <m:sub>
                                <m:r>
                                  <w:rPr>
                                    <w:rFonts w:ascii="Cambria Math" w:hAnsi="Cambria Math"/>
                                  </w:rPr>
                                  <m:t xml:space="preserve">k</m:t>
                                </m:r>
                              </m:sub>
                            </m:sSub>
                          </m:e>
                        </m:nary>
                      </m:oMath>
                      <w:r>
                        <w:rPr>
                          <w:rFonts w:cs="Calibri"/>
                          <w:sz w:val="20"/>
                          <w:szCs w:val="20"/>
                          <w:lang w:val="uk-UA"/>
                        </w:rPr>
                        <w:t>. U - простір популяції</w:t>
                      </w:r>
                    </w:p>
                    <w:p>
                      <w:pPr>
                        <w:pStyle w:val="Style27"/>
                        <w:spacing w:before="120" w:after="160"/>
                        <w:rPr>
                          <w:rFonts w:ascii="Calibri" w:hAnsi="Calibri" w:eastAsia="Calibri" w:cs="Calibri"/>
                          <w:sz w:val="20"/>
                          <w:szCs w:val="20"/>
                          <w:lang w:val="uk-UA" w:eastAsia="zh-CN"/>
                        </w:rPr>
                      </w:pPr>
                      <w:r>
                        <w:rPr>
                          <w:rFonts w:eastAsia="Calibri" w:cs="Calibri"/>
                          <w:sz w:val="20"/>
                          <w:szCs w:val="20"/>
                          <w:lang w:val="uk-UA" w:eastAsia="zh-CN"/>
                        </w:rPr>
                        <w:t xml:space="preserve">Мета калібрування полягає в тому, щоб знайти набір ваг </w:t>
                      </w:r>
                      <w:r>
                        <w:rPr/>
                      </w:r>
                      <m:oMath xmlns:m="http://schemas.openxmlformats.org/officeDocument/2006/math">
                        <m:r>
                          <w:rPr>
                            <w:rFonts w:ascii="Cambria Math" w:hAnsi="Cambria Math"/>
                          </w:rPr>
                          <m:t xml:space="preserve">w</m:t>
                        </m:r>
                        <m:r>
                          <w:rPr>
                            <w:rFonts w:ascii="Cambria Math" w:hAnsi="Cambria Math"/>
                          </w:rPr>
                          <m:t xml:space="preserve">=</m:t>
                        </m:r>
                        <m:d>
                          <m:dPr>
                            <m:begChr m:val="("/>
                            <m:endChr m:val=")"/>
                          </m:dPr>
                          <m:e>
                            <m:sSub>
                              <m:e>
                                <m:r>
                                  <w:rPr>
                                    <w:rFonts w:ascii="Cambria Math" w:hAnsi="Cambria Math"/>
                                  </w:rPr>
                                  <m:t xml:space="preserve">w</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w</m:t>
                                </m:r>
                              </m:e>
                              <m:sub>
                                <m:r>
                                  <w:rPr>
                                    <w:rFonts w:ascii="Cambria Math" w:hAnsi="Cambria Math"/>
                                  </w:rPr>
                                  <m:t xml:space="preserve">2</m:t>
                                </m:r>
                              </m:sub>
                            </m:sSub>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sSub>
                              <m:e>
                                <m:r>
                                  <w:rPr>
                                    <w:rFonts w:ascii="Cambria Math" w:hAnsi="Cambria Math"/>
                                  </w:rPr>
                                  <m:t xml:space="preserve">w</m:t>
                                </m:r>
                              </m:e>
                              <m:sub>
                                <m:r>
                                  <w:rPr>
                                    <w:rFonts w:ascii="Cambria Math" w:hAnsi="Cambria Math"/>
                                  </w:rPr>
                                  <m:t xml:space="preserve">n</m:t>
                                </m:r>
                              </m:sub>
                            </m:sSub>
                          </m:e>
                        </m:d>
                      </m:oMath>
                      <w:r>
                        <w:rPr>
                          <w:rFonts w:eastAsia="Calibri" w:cs="Calibri"/>
                          <w:sz w:val="20"/>
                          <w:szCs w:val="20"/>
                          <w:lang w:val="uk-UA"/>
                        </w:rPr>
                        <w:t>,</w:t>
                      </w:r>
                      <w:r>
                        <w:rPr>
                          <w:rFonts w:eastAsia="Calibri" w:cs="Calibri"/>
                          <w:sz w:val="20"/>
                          <w:szCs w:val="20"/>
                          <w:lang w:val="uk-UA" w:eastAsia="zh-CN"/>
                        </w:rPr>
                        <w:t xml:space="preserve"> які якомога менше відрізняються від набору попередніх ваг</w:t>
                      </w:r>
                      <w:r>
                        <w:rPr/>
                      </w:r>
                      <m:oMath xmlns:m="http://schemas.openxmlformats.org/officeDocument/2006/math">
                        <m:sSub>
                          <m:e>
                            <m:r>
                              <w:rPr>
                                <w:rFonts w:ascii="Cambria Math" w:hAnsi="Cambria Math"/>
                              </w:rPr>
                              <m:t xml:space="preserve">b</m:t>
                            </m:r>
                          </m:e>
                          <m:sub>
                            <m:r>
                              <w:rPr>
                                <w:rFonts w:ascii="Cambria Math" w:hAnsi="Cambria Math"/>
                              </w:rPr>
                              <m:t xml:space="preserve">i</m:t>
                            </m:r>
                          </m:sub>
                        </m:sSub>
                      </m:oMath>
                      <w:r>
                        <w:rPr>
                          <w:rFonts w:eastAsia="Calibri" w:cs="Calibri"/>
                          <w:sz w:val="20"/>
                          <w:szCs w:val="20"/>
                          <w:lang w:val="uk-UA" w:eastAsia="zh-CN"/>
                        </w:rPr>
                        <w:t xml:space="preserve"> при цьому гарантуючи, що зважена вибірка відповідає набору цільових орієнтирів (допоміжних змінних). Калібрування мінімізує відстань:</w:t>
                      </w:r>
                    </w:p>
                    <w:p>
                      <w:pPr>
                        <w:pStyle w:val="Style27"/>
                        <w:jc w:val="center"/>
                        <w:rPr>
                          <w:rFonts w:ascii="Calibri" w:hAnsi="Calibri" w:eastAsia="Calibri" w:cs="Calibri"/>
                          <w:sz w:val="20"/>
                          <w:szCs w:val="20"/>
                          <w:lang w:val="uk-UA"/>
                        </w:rPr>
                      </w:pPr>
                      <w:r>
                        <w:rPr/>
                      </w:r>
                      <m:oMathPara xmlns:m="http://schemas.openxmlformats.org/officeDocument/2006/math">
                        <m:oMathParaPr>
                          <m:jc m:val="center"/>
                        </m:oMathParaPr>
                        <m:oMath>
                          <m:nary>
                            <m:naryPr>
                              <m:chr m:val="∑"/>
                              <m:supHide m:val="1"/>
                            </m:naryPr>
                            <m:sub>
                              <m:r>
                                <w:rPr>
                                  <w:rFonts w:ascii="Cambria Math" w:hAnsi="Cambria Math"/>
                                </w:rPr>
                                <m:t xml:space="preserve">i</m:t>
                              </m:r>
                            </m:sub>
                            <m:sup/>
                            <m:e>
                              <m:r>
                                <w:rPr>
                                  <w:rFonts w:ascii="Cambria Math" w:hAnsi="Cambria Math"/>
                                </w:rPr>
                                <m:t xml:space="preserve">D</m:t>
                              </m:r>
                              <m:d>
                                <m:dPr>
                                  <m:begChr m:val="("/>
                                  <m:sepChr m:val="|"/>
                                  <m:endChr m:val=")"/>
                                </m:dPr>
                                <m:e>
                                  <m:sSub>
                                    <m:e>
                                      <m:r>
                                        <w:rPr>
                                          <w:rFonts w:ascii="Cambria Math" w:hAnsi="Cambria Math"/>
                                        </w:rPr>
                                        <m:t xml:space="preserve">w</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i</m:t>
                                      </m:r>
                                    </m:sub>
                                  </m:sSub>
                                </m:e>
                              </m:d>
                            </m:e>
                          </m:nary>
                        </m:oMath>
                      </m:oMathPara>
                    </w:p>
                    <w:p>
                      <w:pPr>
                        <w:pStyle w:val="Style27"/>
                        <w:rPr>
                          <w:rFonts w:ascii="Calibri" w:hAnsi="Calibri" w:eastAsia="Calibri" w:cs="Calibri"/>
                          <w:sz w:val="20"/>
                          <w:szCs w:val="20"/>
                          <w:lang w:val="uk-UA" w:eastAsia="zh-CN"/>
                        </w:rPr>
                      </w:pPr>
                      <w:r>
                        <w:rPr>
                          <w:rFonts w:eastAsia="Calibri" w:cs="Calibri"/>
                          <w:sz w:val="20"/>
                          <w:szCs w:val="20"/>
                          <w:lang w:val="uk-UA" w:eastAsia="zh-CN"/>
                        </w:rPr>
                        <w:t>З урахуванням обмежень:</w:t>
                      </w:r>
                    </w:p>
                    <w:p>
                      <w:pPr>
                        <w:pStyle w:val="Style27"/>
                        <w:jc w:val="center"/>
                        <w:rPr>
                          <w:rFonts w:ascii="Calibri" w:hAnsi="Calibri" w:eastAsia="Calibri" w:cs="Calibri"/>
                          <w:sz w:val="20"/>
                          <w:szCs w:val="20"/>
                          <w:lang w:val="uk-UA"/>
                        </w:rPr>
                      </w:pPr>
                      <w:r>
                        <w:rPr/>
                      </w:r>
                      <m:oMathPara xmlns:m="http://schemas.openxmlformats.org/officeDocument/2006/math">
                        <m:oMathParaPr>
                          <m:jc m:val="center"/>
                        </m:oMathParaPr>
                        <m:oMath>
                          <m:sSub>
                            <m:e>
                              <m:r>
                                <w:rPr>
                                  <w:rFonts w:ascii="Cambria Math" w:hAnsi="Cambria Math"/>
                                </w:rPr>
                                <m:t xml:space="preserve">t</m:t>
                              </m:r>
                            </m:e>
                            <m:sub>
                              <m:r>
                                <w:rPr>
                                  <w:rFonts w:ascii="Cambria Math" w:hAnsi="Cambria Math"/>
                                </w:rPr>
                                <m:t xml:space="preserve">g</m:t>
                              </m:r>
                            </m:sub>
                          </m:sSub>
                          <m:r>
                            <w:rPr>
                              <w:rFonts w:ascii="Cambria Math" w:hAnsi="Cambria Math"/>
                            </w:rPr>
                            <m:t xml:space="preserve">=</m:t>
                          </m:r>
                          <m:nary>
                            <m:naryPr>
                              <m:chr m:val="∑"/>
                              <m:supHide m:val="1"/>
                            </m:naryPr>
                            <m:sub>
                              <m:r>
                                <w:rPr>
                                  <w:rFonts w:ascii="Cambria Math" w:hAnsi="Cambria Math"/>
                                </w:rPr>
                                <m:t xml:space="preserve">i</m:t>
                              </m:r>
                            </m:sub>
                            <m:sup/>
                            <m:e>
                              <m:sSub>
                                <m:e>
                                  <m:r>
                                    <w:rPr>
                                      <w:rFonts w:ascii="Cambria Math" w:hAnsi="Cambria Math"/>
                                    </w:rPr>
                                    <m:t xml:space="preserve">w</m:t>
                                  </m:r>
                                </m:e>
                                <m:sub>
                                  <m:r>
                                    <w:rPr>
                                      <w:rFonts w:ascii="Cambria Math" w:hAnsi="Cambria Math"/>
                                    </w:rPr>
                                    <m:t xml:space="preserve">i</m:t>
                                  </m:r>
                                </m:sub>
                              </m:sSub>
                              <m:sSub>
                                <m:e>
                                  <m:r>
                                    <w:rPr>
                                      <w:rFonts w:ascii="Cambria Math" w:hAnsi="Cambria Math"/>
                                    </w:rPr>
                                    <m:t xml:space="preserve">x</m:t>
                                  </m:r>
                                </m:e>
                                <m:sub>
                                  <m:r>
                                    <w:rPr>
                                      <w:rFonts w:ascii="Cambria Math" w:hAnsi="Cambria Math"/>
                                    </w:rPr>
                                    <m:t xml:space="preserve">ig</m:t>
                                  </m:r>
                                </m:sub>
                              </m:sSub>
                            </m:e>
                          </m:nary>
                        </m:oMath>
                      </m:oMathPara>
                    </w:p>
                    <w:p>
                      <w:pPr>
                        <w:pStyle w:val="Style27"/>
                        <w:rPr>
                          <w:rFonts w:ascii="Calibri" w:hAnsi="Calibri" w:eastAsia="Calibri" w:cs="Calibri"/>
                          <w:sz w:val="20"/>
                          <w:szCs w:val="20"/>
                          <w:lang w:val="uk-UA" w:eastAsia="zh-CN"/>
                        </w:rPr>
                      </w:pPr>
                      <w:r>
                        <w:rPr>
                          <w:rFonts w:eastAsia="Calibri" w:cs="Calibri"/>
                          <w:sz w:val="20"/>
                          <w:szCs w:val="20"/>
                          <w:lang w:val="uk-UA" w:eastAsia="zh-CN"/>
                        </w:rPr>
                        <w:t xml:space="preserve">Тут допоміжний вектор </w:t>
                      </w:r>
                      <w:r>
                        <w:rPr/>
                      </w:r>
                      <m:oMath xmlns:m="http://schemas.openxmlformats.org/officeDocument/2006/math">
                        <m:r>
                          <w:rPr>
                            <w:rFonts w:ascii="Cambria Math" w:hAnsi="Cambria Math"/>
                          </w:rPr>
                          <m:t xml:space="preserve">x</m:t>
                        </m:r>
                        <m:r>
                          <w:rPr>
                            <w:rFonts w:ascii="Cambria Math" w:hAnsi="Cambria Math"/>
                          </w:rPr>
                          <m:t xml:space="preserve">=</m:t>
                        </m:r>
                        <m:sSup>
                          <m:e>
                            <m:d>
                              <m:dPr>
                                <m:begChr m:val="("/>
                                <m:endChr m:val=")"/>
                              </m:dPr>
                              <m:e>
                                <m:sSub>
                                  <m:e>
                                    <m:r>
                                      <w:rPr>
                                        <w:rFonts w:ascii="Cambria Math" w:hAnsi="Cambria Math"/>
                                      </w:rPr>
                                      <m:t xml:space="preserve">x</m:t>
                                    </m:r>
                                  </m:e>
                                  <m:sub>
                                    <m:r>
                                      <w:rPr>
                                        <w:rFonts w:ascii="Cambria Math" w:hAnsi="Cambria Math"/>
                                      </w:rPr>
                                      <m:t xml:space="preserve">i</m:t>
                                    </m:r>
                                    <m:r>
                                      <w:rPr>
                                        <w:rFonts w:ascii="Cambria Math" w:hAnsi="Cambria Math"/>
                                      </w:rPr>
                                      <m:t xml:space="preserve">1</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iG</m:t>
                                    </m:r>
                                  </m:sub>
                                </m:sSub>
                                <m:r>
                                  <w:rPr>
                                    <w:rFonts w:ascii="Cambria Math" w:hAnsi="Cambria Math"/>
                                  </w:rPr>
                                  <m:t xml:space="preserve">,</m:t>
                                </m:r>
                              </m:e>
                            </m:d>
                          </m:e>
                          <m:sup>
                            <m:r>
                              <w:rPr>
                                <w:rFonts w:ascii="Cambria Math" w:hAnsi="Cambria Math"/>
                              </w:rPr>
                              <m:t xml:space="preserve">ı</m:t>
                            </m:r>
                          </m:sup>
                        </m:sSup>
                      </m:oMath>
                      <w:r>
                        <w:rPr>
                          <w:rFonts w:eastAsia="Calibri" w:cs="Calibri"/>
                          <w:sz w:val="20"/>
                          <w:szCs w:val="20"/>
                          <w:lang w:val="uk-UA"/>
                        </w:rPr>
                        <w:t xml:space="preserve">, </w:t>
                      </w:r>
                      <w:r>
                        <w:rPr>
                          <w:rFonts w:eastAsia="Calibri" w:cs="Calibri"/>
                          <w:sz w:val="20"/>
                          <w:szCs w:val="20"/>
                          <w:lang w:val="uk-UA" w:eastAsia="zh-CN"/>
                        </w:rPr>
                        <w:t xml:space="preserve">де </w:t>
                      </w:r>
                      <w:r>
                        <w:rPr/>
                      </w:r>
                      <m:oMath xmlns:m="http://schemas.openxmlformats.org/officeDocument/2006/math">
                        <m:r>
                          <w:rPr>
                            <w:rFonts w:ascii="Cambria Math" w:hAnsi="Cambria Math"/>
                          </w:rPr>
                          <m:t xml:space="preserve">g</m:t>
                        </m:r>
                      </m:oMath>
                      <w:r>
                        <w:rPr>
                          <w:rFonts w:eastAsia="Calibri" w:cs="Calibri"/>
                          <w:sz w:val="20"/>
                          <w:szCs w:val="20"/>
                          <w:lang w:val="uk-UA" w:eastAsia="zh-CN"/>
                        </w:rPr>
                        <w:t xml:space="preserve"> позначає калібрувальний шар, кодує інформацію вибірки, що відповідає цільовим орієнтирам </w:t>
                      </w:r>
                      <w:r>
                        <w:rPr/>
                      </w:r>
                      <m:oMath xmlns:m="http://schemas.openxmlformats.org/officeDocument/2006/math">
                        <m:r>
                          <w:rPr>
                            <w:rFonts w:ascii="Cambria Math" w:hAnsi="Cambria Math"/>
                          </w:rPr>
                          <m:t xml:space="preserve">t</m:t>
                        </m:r>
                        <m:r>
                          <w:rPr>
                            <w:rFonts w:ascii="Cambria Math" w:hAnsi="Cambria Math"/>
                          </w:rPr>
                          <m:t xml:space="preserve">=</m:t>
                        </m:r>
                        <m:d>
                          <m:dPr>
                            <m:begChr m:val="("/>
                            <m:endChr m:val=")"/>
                          </m:dPr>
                          <m:e>
                            <m:sSub>
                              <m:e>
                                <m:r>
                                  <w:rPr>
                                    <w:rFonts w:ascii="Cambria Math" w:hAnsi="Cambria Math"/>
                                  </w:rPr>
                                  <m:t xml:space="preserve">t</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3</m:t>
                                </m:r>
                              </m:sub>
                            </m:sSub>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sSub>
                              <m:e>
                                <m:r>
                                  <w:rPr>
                                    <w:rFonts w:ascii="Cambria Math" w:hAnsi="Cambria Math"/>
                                  </w:rPr>
                                  <m:t xml:space="preserve">t</m:t>
                                </m:r>
                              </m:e>
                              <m:sub>
                                <m:r>
                                  <w:rPr>
                                    <w:rFonts w:ascii="Cambria Math" w:hAnsi="Cambria Math"/>
                                  </w:rPr>
                                  <m:t xml:space="preserve">G</m:t>
                                </m:r>
                              </m:sub>
                            </m:sSub>
                            <m:r>
                              <w:rPr>
                                <w:rFonts w:ascii="Cambria Math" w:hAnsi="Cambria Math"/>
                              </w:rPr>
                              <m:t xml:space="preserve">,</m:t>
                            </m:r>
                          </m:e>
                        </m:d>
                      </m:oMath>
                      <w:r>
                        <w:rPr>
                          <w:rFonts w:eastAsia="Calibri" w:cs="Calibri"/>
                          <w:sz w:val="20"/>
                          <w:szCs w:val="20"/>
                          <w:lang w:val="uk-UA" w:eastAsia="zh-CN"/>
                        </w:rPr>
                        <w:t xml:space="preserve">. Оскільки не існує єдиного способу вимірювання відстані між w та b, калібрування залежить від вибору метрики відстані </w:t>
                      </w:r>
                      <w:r>
                        <w:rPr/>
                      </w:r>
                      <m:oMath xmlns:m="http://schemas.openxmlformats.org/officeDocument/2006/math">
                        <m:r>
                          <w:rPr>
                            <w:rFonts w:ascii="Cambria Math" w:hAnsi="Cambria Math"/>
                          </w:rPr>
                          <m:t xml:space="preserve">D</m:t>
                        </m:r>
                        <m:d>
                          <m:dPr>
                            <m:begChr m:val="("/>
                            <m:endChr m:val=")"/>
                          </m:dPr>
                          <m:e>
                            <m:sSub>
                              <m:e>
                                <m:r>
                                  <w:rPr>
                                    <w:rFonts w:ascii="Cambria Math" w:hAnsi="Cambria Math"/>
                                  </w:rPr>
                                  <m:t xml:space="preserve">w</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i</m:t>
                                </m:r>
                              </m:sub>
                            </m:sSub>
                          </m:e>
                        </m:d>
                        <m:r>
                          <w:rPr>
                            <w:rFonts w:ascii="Cambria Math" w:hAnsi="Cambria Math"/>
                          </w:rPr>
                          <m:t xml:space="preserve">.</m:t>
                        </m:r>
                      </m:oMath>
                      <w:r>
                        <w:rPr>
                          <w:rFonts w:eastAsia="Calibri" w:cs="Calibri"/>
                          <w:sz w:val="20"/>
                          <w:szCs w:val="20"/>
                          <w:lang w:val="uk-UA"/>
                        </w:rPr>
                        <w:t xml:space="preserve"> </w:t>
                      </w:r>
                      <w:r>
                        <w:rPr>
                          <w:rFonts w:eastAsia="Calibri" w:cs="Calibri"/>
                          <w:sz w:val="20"/>
                          <w:szCs w:val="20"/>
                          <w:lang w:val="uk-UA" w:eastAsia="zh-CN"/>
                        </w:rPr>
                        <w:t>Два найпоширеніші методи зважування - це згрібання і лінійне зважування. У той час як згрібання мінімізує перехресну ентропію, при лінійному калібруванні ваги мінімізують евклідову відстань. Вибір метрики відстані набагато менш важливий, ніж вибір допоміжного вектора та відповідних цільових сукупностей (Лумлей, 2010 р.). Зсув відсутності відповіді у середньому значенні вибірки для одиниць, що відповіли, дорівнює:</w:t>
                      </w:r>
                    </w:p>
                    <w:p>
                      <w:pPr>
                        <w:pStyle w:val="Style27"/>
                        <w:jc w:val="center"/>
                        <w:rPr>
                          <w:rFonts w:ascii="Calibri" w:hAnsi="Calibri" w:cs="Calibri"/>
                          <w:sz w:val="20"/>
                          <w:szCs w:val="20"/>
                          <w:lang w:val="uk-UA"/>
                        </w:rPr>
                      </w:pPr>
                      <w:r>
                        <w:rPr/>
                      </w:r>
                      <m:oMathPara xmlns:m="http://schemas.openxmlformats.org/officeDocument/2006/math">
                        <m:oMathParaPr>
                          <m:jc m:val="center"/>
                        </m:oMathParaPr>
                        <m:oMath>
                          <m:r>
                            <w:rPr>
                              <w:rFonts w:ascii="Cambria Math" w:hAnsi="Cambria Math"/>
                            </w:rPr>
                            <m:t xml:space="preserve">Bias</m:t>
                          </m:r>
                          <m:d>
                            <m:dPr>
                              <m:begChr m:val="("/>
                              <m:endChr m:val=")"/>
                            </m:dPr>
                            <m:e>
                              <m:bar>
                                <m:barPr>
                                  <m:pos m:val="top"/>
                                </m:barPr>
                                <m:e>
                                  <m:r>
                                    <w:rPr>
                                      <w:rFonts w:ascii="Cambria Math" w:hAnsi="Cambria Math"/>
                                    </w:rPr>
                                    <m:t xml:space="preserve">y</m:t>
                                  </m:r>
                                </m:e>
                              </m:bar>
                            </m:e>
                          </m:d>
                          <m:r>
                            <w:rPr>
                              <w:rFonts w:ascii="Cambria Math" w:hAnsi="Cambria Math"/>
                            </w:rPr>
                            <m:t xml:space="preserve">=</m:t>
                          </m:r>
                          <m:sSub>
                            <m:e>
                              <m:r>
                                <w:rPr>
                                  <w:rFonts w:ascii="Cambria Math" w:hAnsi="Cambria Math"/>
                                </w:rPr>
                                <m:t xml:space="preserve">σ</m:t>
                              </m:r>
                            </m:e>
                            <m:sub>
                              <m:r>
                                <w:rPr>
                                  <w:rFonts w:ascii="Cambria Math" w:hAnsi="Cambria Math"/>
                                </w:rPr>
                                <m:t xml:space="preserve">p</m:t>
                              </m:r>
                            </m:sub>
                          </m:sSub>
                          <m:sSub>
                            <m:e>
                              <m:r>
                                <w:rPr>
                                  <w:rFonts w:ascii="Cambria Math" w:hAnsi="Cambria Math"/>
                                </w:rPr>
                                <m:t xml:space="preserve">σ</m:t>
                              </m:r>
                            </m:e>
                            <m:sub>
                              <m:r>
                                <w:rPr>
                                  <w:rFonts w:ascii="Cambria Math" w:hAnsi="Cambria Math"/>
                                </w:rPr>
                                <m:t xml:space="preserve">y</m:t>
                              </m:r>
                            </m:sub>
                          </m:sSub>
                          <m:f>
                            <m:fPr>
                              <m:type m:val="lin"/>
                            </m:fPr>
                            <m:num>
                              <m:sSub>
                                <m:e>
                                  <m:r>
                                    <w:rPr>
                                      <w:rFonts w:ascii="Cambria Math" w:hAnsi="Cambria Math"/>
                                    </w:rPr>
                                    <m:t xml:space="preserve">R</m:t>
                                  </m:r>
                                </m:e>
                                <m:sub>
                                  <m:r>
                                    <w:rPr>
                                      <w:rFonts w:ascii="Cambria Math" w:hAnsi="Cambria Math"/>
                                    </w:rPr>
                                    <m:t xml:space="preserve">py</m:t>
                                  </m:r>
                                </m:sub>
                              </m:sSub>
                            </m:num>
                            <m:den>
                              <m:bar>
                                <m:barPr>
                                  <m:pos m:val="top"/>
                                </m:barPr>
                                <m:e>
                                  <m:r>
                                    <w:rPr>
                                      <w:rFonts w:ascii="Cambria Math" w:hAnsi="Cambria Math"/>
                                    </w:rPr>
                                    <m:t xml:space="preserve">p</m:t>
                                  </m:r>
                                </m:e>
                              </m:bar>
                            </m:den>
                          </m:f>
                        </m:oMath>
                      </m:oMathPara>
                    </w:p>
                    <w:p>
                      <w:pPr>
                        <w:pStyle w:val="Style27"/>
                        <w:spacing w:before="0" w:after="160"/>
                        <w:rPr>
                          <w:rFonts w:ascii="Calibri" w:hAnsi="Calibri" w:eastAsia="Calibri" w:cs="Calibri"/>
                          <w:sz w:val="20"/>
                          <w:szCs w:val="20"/>
                          <w:lang w:val="uk-UA" w:eastAsia="zh-CN"/>
                        </w:rPr>
                      </w:pPr>
                      <w:r>
                        <w:rPr>
                          <w:rFonts w:eastAsia="" w:cs="Calibri" w:eastAsiaTheme="minorEastAsia"/>
                          <w:sz w:val="20"/>
                          <w:szCs w:val="20"/>
                          <w:lang w:val="uk-UA" w:eastAsia="zh-CN"/>
                        </w:rPr>
                        <w:t xml:space="preserve">Тут </w:t>
                      </w:r>
                      <w:r>
                        <w:rPr/>
                      </w:r>
                      <m:oMath xmlns:m="http://schemas.openxmlformats.org/officeDocument/2006/math">
                        <m:bar>
                          <m:barPr>
                            <m:pos m:val="top"/>
                          </m:barPr>
                          <m:e>
                            <m:r>
                              <w:rPr>
                                <w:rFonts w:ascii="Cambria Math" w:hAnsi="Cambria Math"/>
                              </w:rPr>
                              <m:t xml:space="preserve">p</m:t>
                            </m:r>
                          </m:e>
                        </m:bar>
                        <m:r>
                          <w:rPr>
                            <w:rFonts w:ascii="Cambria Math" w:hAnsi="Cambria Math"/>
                          </w:rPr>
                          <m:t xml:space="preserve">̄</m:t>
                        </m:r>
                      </m:oMath>
                      <w:r>
                        <w:rPr>
                          <w:rFonts w:eastAsia="Calibri" w:cs="Calibri"/>
                          <w:sz w:val="20"/>
                          <w:szCs w:val="20"/>
                          <w:lang w:val="uk-UA" w:eastAsia="zh-CN"/>
                        </w:rPr>
                        <w:t xml:space="preserve"> - середня ймовірність відповіді </w:t>
                      </w:r>
                      <w:r>
                        <w:rPr/>
                      </w:r>
                      <m:oMath xmlns:m="http://schemas.openxmlformats.org/officeDocument/2006/math">
                        <m:r>
                          <w:rPr>
                            <w:rFonts w:ascii="Cambria Math" w:hAnsi="Cambria Math"/>
                          </w:rPr>
                          <m:t xml:space="preserve">p</m:t>
                        </m:r>
                      </m:oMath>
                      <w:r>
                        <w:rPr>
                          <w:rFonts w:eastAsia="Calibri" w:cs="Calibri"/>
                          <w:sz w:val="20"/>
                          <w:szCs w:val="20"/>
                          <w:lang w:val="uk-UA" w:eastAsia="zh-CN"/>
                        </w:rPr>
                        <w:t xml:space="preserve"> в популяції, </w:t>
                      </w:r>
                      <w:r>
                        <w:rPr/>
                      </w:r>
                      <m:oMath xmlns:m="http://schemas.openxmlformats.org/officeDocument/2006/math">
                        <m:sSub>
                          <m:e>
                            <m:r>
                              <w:rPr>
                                <w:rFonts w:ascii="Cambria Math" w:hAnsi="Cambria Math"/>
                              </w:rPr>
                              <m:t xml:space="preserve">σ</m:t>
                            </m:r>
                          </m:e>
                          <m:sub>
                            <m:r>
                              <w:rPr>
                                <w:rFonts w:ascii="Cambria Math" w:hAnsi="Cambria Math"/>
                              </w:rPr>
                              <m:t xml:space="preserve">p</m:t>
                            </m:r>
                          </m:sub>
                        </m:sSub>
                      </m:oMath>
                      <w:r>
                        <w:rPr>
                          <w:rFonts w:cs="Calibri"/>
                          <w:sz w:val="20"/>
                          <w:szCs w:val="20"/>
                          <w:lang w:val="uk-UA"/>
                        </w:rPr>
                        <w:t xml:space="preserve"> і </w:t>
                      </w:r>
                      <w:r>
                        <w:rPr/>
                      </w:r>
                      <m:oMath xmlns:m="http://schemas.openxmlformats.org/officeDocument/2006/math">
                        <m:sSub>
                          <m:e>
                            <m:r>
                              <w:rPr>
                                <w:rFonts w:ascii="Cambria Math" w:hAnsi="Cambria Math"/>
                              </w:rPr>
                              <m:t xml:space="preserve">σ</m:t>
                            </m:r>
                          </m:e>
                          <m:sub>
                            <m:r>
                              <w:rPr>
                                <w:rFonts w:ascii="Cambria Math" w:hAnsi="Cambria Math"/>
                              </w:rPr>
                              <m:t xml:space="preserve">y</m:t>
                            </m:r>
                          </m:sub>
                        </m:sSub>
                      </m:oMath>
                      <w:r>
                        <w:rPr>
                          <w:rFonts w:eastAsia="Calibri" w:cs="Calibri"/>
                          <w:sz w:val="20"/>
                          <w:szCs w:val="20"/>
                          <w:lang w:val="uk-UA" w:eastAsia="zh-CN"/>
                        </w:rPr>
                        <w:t xml:space="preserve"> - середньоквадратичні відхилення </w:t>
                      </w:r>
                      <w:r>
                        <w:rPr/>
                      </w:r>
                      <m:oMath xmlns:m="http://schemas.openxmlformats.org/officeDocument/2006/math">
                        <m:r>
                          <w:rPr>
                            <w:rFonts w:ascii="Cambria Math" w:hAnsi="Cambria Math"/>
                          </w:rPr>
                          <m:t xml:space="preserve">p</m:t>
                        </m:r>
                      </m:oMath>
                      <w:r>
                        <w:rPr>
                          <w:rFonts w:cs="Calibri"/>
                          <w:sz w:val="20"/>
                          <w:szCs w:val="20"/>
                          <w:lang w:val="uk-UA"/>
                        </w:rPr>
                        <w:t xml:space="preserve"> і </w:t>
                      </w:r>
                      <w:r>
                        <w:rPr/>
                      </w:r>
                      <m:oMath xmlns:m="http://schemas.openxmlformats.org/officeDocument/2006/math">
                        <m:r>
                          <w:rPr>
                            <w:rFonts w:ascii="Cambria Math" w:hAnsi="Cambria Math"/>
                          </w:rPr>
                          <m:t xml:space="preserve">y</m:t>
                        </m:r>
                      </m:oMath>
                      <w:r>
                        <w:rPr>
                          <w:rFonts w:eastAsia="" w:cs="Calibri" w:eastAsiaTheme="minorEastAsia"/>
                          <w:sz w:val="20"/>
                          <w:szCs w:val="20"/>
                          <w:lang w:val="uk-UA"/>
                        </w:rPr>
                        <w:t xml:space="preserve">, </w:t>
                      </w:r>
                      <w:r>
                        <w:rPr>
                          <w:rFonts w:cs="Calibri"/>
                          <w:sz w:val="20"/>
                          <w:szCs w:val="20"/>
                          <w:lang w:val="uk-UA"/>
                        </w:rPr>
                        <w:t xml:space="preserve">а </w:t>
                      </w:r>
                      <w:r>
                        <w:rPr/>
                      </w:r>
                      <m:oMath xmlns:m="http://schemas.openxmlformats.org/officeDocument/2006/math">
                        <m:sSub>
                          <m:e>
                            <m:r>
                              <w:rPr>
                                <w:rFonts w:ascii="Cambria Math" w:hAnsi="Cambria Math"/>
                              </w:rPr>
                              <m:t xml:space="preserve">R</m:t>
                            </m:r>
                          </m:e>
                          <m:sub>
                            <m:r>
                              <w:rPr>
                                <w:rFonts w:ascii="Cambria Math" w:hAnsi="Cambria Math"/>
                              </w:rPr>
                              <m:t xml:space="preserve">py</m:t>
                            </m:r>
                          </m:sub>
                        </m:sSub>
                      </m:oMath>
                      <w:r>
                        <w:rPr>
                          <w:rFonts w:eastAsia="Calibri" w:cs="Calibri"/>
                          <w:sz w:val="20"/>
                          <w:szCs w:val="20"/>
                          <w:lang w:val="uk-UA" w:eastAsia="zh-CN"/>
                        </w:rPr>
                        <w:t xml:space="preserve"> - популяційна кореляція між </w:t>
                      </w:r>
                      <w:r>
                        <w:rPr/>
                      </w:r>
                      <m:oMath xmlns:m="http://schemas.openxmlformats.org/officeDocument/2006/math">
                        <m:r>
                          <w:rPr>
                            <w:rFonts w:ascii="Cambria Math" w:hAnsi="Cambria Math"/>
                          </w:rPr>
                          <m:t xml:space="preserve">p</m:t>
                        </m:r>
                      </m:oMath>
                      <w:r>
                        <w:rPr>
                          <w:rFonts w:cs="Calibri"/>
                          <w:sz w:val="20"/>
                          <w:szCs w:val="20"/>
                          <w:lang w:val="uk-UA"/>
                        </w:rPr>
                        <w:t xml:space="preserve"> і </w:t>
                      </w:r>
                      <w:r>
                        <w:rPr/>
                      </w:r>
                      <m:oMath xmlns:m="http://schemas.openxmlformats.org/officeDocument/2006/math">
                        <m:r>
                          <w:rPr>
                            <w:rFonts w:ascii="Cambria Math" w:hAnsi="Cambria Math"/>
                          </w:rPr>
                          <m:t xml:space="preserve">y</m:t>
                        </m:r>
                      </m:oMath>
                      <w:r>
                        <w:rPr>
                          <w:rFonts w:eastAsia="Calibri" w:cs="Calibri"/>
                          <w:sz w:val="20"/>
                          <w:szCs w:val="20"/>
                          <w:lang w:val="uk-UA" w:eastAsia="zh-CN"/>
                        </w:rPr>
                        <w:t>(Бетлехем, Коббен, і Шутен 2011 р., 249). Ваги зменшують зміщення відсутності відповіді настільки, наскільки вони порушують кореляцію між ймовірностями відповіді та змінною результату, що нас цікавить (Кафей і Хардман, 2017 р.).</w:t>
                      </w:r>
                    </w:p>
                  </w:txbxContent>
                </v:textbox>
                <w10:wrap type="square"/>
              </v:rect>
            </w:pict>
          </mc:Fallback>
        </mc:AlternateContent>
      </w:r>
      <w:r>
        <w:rPr>
          <w:b/>
          <w:bCs/>
          <w:lang w:val="uk-UA"/>
        </w:rPr>
        <w:t xml:space="preserve">Зважена вибірка тісно узгоджується з розподілом бази даних ДПС по галузях, </w:t>
      </w:r>
      <w:r>
        <w:rPr>
          <w:rFonts w:eastAsia="Calibri" w:cs="Calibri"/>
          <w:b/>
          <w:bCs/>
          <w:lang w:val="uk-UA" w:eastAsia="zh-CN"/>
        </w:rPr>
        <w:t>суб'єктах господарювання</w:t>
      </w:r>
      <w:r>
        <w:rPr>
          <w:b/>
          <w:bCs/>
          <w:lang w:val="uk-UA"/>
        </w:rPr>
        <w:t xml:space="preserve"> і розмірах. </w:t>
      </w:r>
      <w:r>
        <w:rPr>
          <w:lang w:val="uk-UA"/>
        </w:rPr>
        <w:t xml:space="preserve">Таблиця 1 демонструє </w:t>
      </w:r>
      <w:r>
        <w:rPr>
          <w:rFonts w:eastAsia="Calibri" w:cs="Calibri"/>
          <w:lang w:val="uk-UA" w:eastAsia="zh-CN"/>
        </w:rPr>
        <w:t>розподіл контрольних параметрів у базі даних ДПС, вибірці опитування та зваженій вибірці.</w:t>
      </w:r>
    </w:p>
    <w:p>
      <w:pPr>
        <w:pStyle w:val="Normal"/>
        <w:rPr>
          <w:rFonts w:eastAsia="Calibri" w:cs="Calibri"/>
          <w:b/>
          <w:bCs/>
          <w:lang w:val="uk-UA" w:eastAsia="zh-CN"/>
        </w:rPr>
      </w:pPr>
      <w:r>
        <w:rPr>
          <w:rFonts w:eastAsia="Calibri" w:cs="Calibri"/>
          <w:b/>
          <w:bCs/>
          <w:lang w:val="uk-UA" w:eastAsia="zh-CN"/>
        </w:rPr>
        <w:t xml:space="preserve">Таблиця 1. Порівняння бази даних ДПС, вибірки опитування та зваженої вибірки </w:t>
      </w:r>
      <w:r>
        <w:rPr>
          <w:b/>
          <w:bCs/>
          <w:lang w:val="uk-UA"/>
        </w:rPr>
        <w:t xml:space="preserve">по галузях, </w:t>
      </w:r>
      <w:r>
        <w:rPr>
          <w:rFonts w:eastAsia="Calibri" w:cs="Calibri"/>
          <w:b/>
          <w:bCs/>
          <w:lang w:val="uk-UA" w:eastAsia="zh-CN"/>
        </w:rPr>
        <w:t>суб'єктах господарювання та областях</w:t>
      </w:r>
    </w:p>
    <w:tbl>
      <w:tblPr>
        <w:tblStyle w:val="GridTable4Accent1"/>
        <w:tblW w:w="935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395"/>
        <w:gridCol w:w="1404"/>
        <w:gridCol w:w="1418"/>
        <w:gridCol w:w="1137"/>
      </w:tblGrid>
      <w:tr>
        <w:trPr>
          <w:tblHeader w:val="true"/>
          <w:trHeight w:val="476" w:hRule="atLeast"/>
          <w:cnfStyle w:val="100000000000" w:firstRow="1" w:lastRow="0" w:firstColumn="0" w:lastColumn="0" w:oddVBand="0" w:evenVBand="0" w:oddHBand="0"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top w:val="single" w:sz="4" w:space="0" w:color="4472C4"/>
              <w:left w:val="single" w:sz="4" w:space="0" w:color="4472C4"/>
              <w:bottom w:val="single" w:sz="4" w:space="0" w:color="4472C4"/>
              <w:right w:val="single" w:sz="4" w:space="0" w:color="4472C4"/>
            </w:tcBorders>
            <w:shd w:color="auto" w:fill="4472C4" w:themeFill="accent1" w:val="clear"/>
          </w:tcPr>
          <w:p>
            <w:pPr>
              <w:pStyle w:val="Normal"/>
              <w:widowControl/>
              <w:spacing w:lineRule="auto" w:line="240" w:before="0" w:after="0"/>
              <w:jc w:val="both"/>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b/>
                <w:bCs/>
                <w:color w:val="000000"/>
                <w:sz w:val="20"/>
                <w:szCs w:val="20"/>
                <w:lang w:val="uk-UA" w:eastAsia="en-GB" w:bidi="ar-SA"/>
              </w:rPr>
              <w:t>Тип суб'єкту господарювання</w:t>
            </w:r>
          </w:p>
        </w:tc>
        <w:tc>
          <w:tcPr>
            <w:tcW w:w="1404" w:type="dxa"/>
            <w:tcBorders>
              <w:top w:val="single" w:sz="4" w:space="0" w:color="4472C4"/>
              <w:left w:val="single" w:sz="4" w:space="0" w:color="4472C4"/>
              <w:bottom w:val="single" w:sz="4" w:space="0" w:color="4472C4"/>
              <w:right w:val="single" w:sz="4" w:space="0" w:color="4472C4"/>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b w:val="false"/>
                <w:bCs w:val="false"/>
                <w:color w:val="000000"/>
                <w:sz w:val="20"/>
                <w:szCs w:val="20"/>
                <w:lang w:val="uk-UA"/>
              </w:rPr>
            </w:pPr>
            <w:r>
              <w:rPr>
                <w:rFonts w:eastAsia="Times New Roman" w:cs="Calibri" w:cstheme="minorHAnsi"/>
                <w:b/>
                <w:bCs/>
                <w:color w:val="000000"/>
                <w:sz w:val="20"/>
                <w:szCs w:val="20"/>
                <w:lang w:val="uk-UA" w:eastAsia="en-GB" w:bidi="ar-SA"/>
              </w:rPr>
              <w:t>База даних ДПС</w:t>
            </w:r>
          </w:p>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b/>
                <w:bCs/>
                <w:color w:val="000000"/>
                <w:sz w:val="20"/>
                <w:szCs w:val="20"/>
                <w:lang w:val="uk-UA" w:eastAsia="en-GB" w:bidi="ar-SA"/>
              </w:rPr>
              <w:t>(у відсотках)</w:t>
            </w:r>
          </w:p>
        </w:tc>
        <w:tc>
          <w:tcPr>
            <w:tcW w:w="1418" w:type="dxa"/>
            <w:tcBorders>
              <w:top w:val="single" w:sz="4" w:space="0" w:color="4472C4"/>
              <w:left w:val="single" w:sz="4" w:space="0" w:color="4472C4"/>
              <w:bottom w:val="single" w:sz="4" w:space="0" w:color="4472C4"/>
              <w:right w:val="single" w:sz="4" w:space="0" w:color="4472C4"/>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b w:val="false"/>
                <w:bCs w:val="false"/>
                <w:color w:val="000000"/>
                <w:sz w:val="20"/>
                <w:szCs w:val="20"/>
                <w:lang w:val="uk-UA"/>
              </w:rPr>
            </w:pPr>
            <w:r>
              <w:rPr>
                <w:rFonts w:eastAsia="Times New Roman" w:cs="Calibri" w:cstheme="minorHAnsi"/>
                <w:b/>
                <w:bCs/>
                <w:color w:val="000000"/>
                <w:sz w:val="20"/>
                <w:szCs w:val="20"/>
                <w:lang w:val="uk-UA" w:eastAsia="en-GB" w:bidi="ar-SA"/>
              </w:rPr>
              <w:t>Незважена вибірка</w:t>
            </w:r>
          </w:p>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b/>
                <w:bCs/>
                <w:color w:val="000000"/>
                <w:sz w:val="20"/>
                <w:szCs w:val="20"/>
                <w:lang w:val="uk-UA" w:eastAsia="en-GB" w:bidi="ar-SA"/>
              </w:rPr>
              <w:t>(у відсотках)</w:t>
            </w:r>
          </w:p>
        </w:tc>
        <w:tc>
          <w:tcPr>
            <w:tcW w:w="1137" w:type="dxa"/>
            <w:tcBorders>
              <w:top w:val="single" w:sz="4" w:space="0" w:color="4472C4"/>
              <w:left w:val="single" w:sz="4" w:space="0" w:color="4472C4"/>
              <w:bottom w:val="single" w:sz="4" w:space="0" w:color="4472C4"/>
              <w:right w:val="single" w:sz="4" w:space="0" w:color="4472C4"/>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b/>
                <w:bCs/>
                <w:color w:val="000000"/>
                <w:sz w:val="20"/>
                <w:szCs w:val="20"/>
                <w:lang w:val="uk-UA" w:eastAsia="en-GB" w:bidi="ar-SA"/>
              </w:rPr>
              <w:t>Зважена вибірка (у відсотках)</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Фізична особа-підприємець (з найманими працівниками або без них)</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74,0</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77,2</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74,1</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 xml:space="preserve"> </w:t>
            </w:r>
            <w:r>
              <w:rPr>
                <w:rFonts w:eastAsia="Times New Roman" w:cs="Calibri" w:cstheme="minorHAnsi"/>
                <w:b w:val="false"/>
                <w:bCs w:val="false"/>
                <w:color w:val="000000"/>
                <w:sz w:val="20"/>
                <w:szCs w:val="20"/>
                <w:lang w:val="uk-UA" w:eastAsia="en-GB" w:bidi="ar-SA"/>
              </w:rPr>
              <w:t>Юридична особа</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26,0</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22,8</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25,9</w:t>
            </w:r>
          </w:p>
        </w:tc>
      </w:tr>
      <w:tr>
        <w:trPr>
          <w:trHeight w:val="345" w:hRule="atLeast"/>
          <w:cnfStyle w:val="000000100000" w:firstRow="0" w:lastRow="0" w:firstColumn="0" w:lastColumn="0" w:oddVBand="0" w:evenVBand="0" w:oddHBand="1" w:evenHBand="0" w:firstRowFirstColumn="0" w:firstRowLastColumn="0" w:lastRowFirstColumn="0" w:lastRowLastColumn="0"/>
        </w:trPr>
        <w:tc>
          <w:tcPr>
            <w:tcW w:w="8217" w:type="dxa"/>
            <w:gridSpan w:val="3"/>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bCs w:val="false"/>
                <w:color w:val="000000"/>
                <w:sz w:val="20"/>
                <w:szCs w:val="20"/>
                <w:lang w:val="uk-UA" w:eastAsia="en-GB" w:bidi="ar-SA"/>
              </w:rPr>
              <w:t>Класифікація видів економічної діяльності - КВЕД (верхній рівень)</w:t>
            </w:r>
          </w:p>
        </w:tc>
        <w:tc>
          <w:tcPr>
            <w:tcW w:w="113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b/>
                <w:bCs/>
                <w:color w:val="000000"/>
                <w:sz w:val="20"/>
                <w:szCs w:val="20"/>
                <w:lang w:val="uk-UA"/>
              </w:rPr>
            </w:pPr>
            <w:r>
              <w:rPr>
                <w:rFonts w:eastAsia="Times New Roman" w:cs="Calibri" w:cstheme="minorHAnsi"/>
                <w:b/>
                <w:bCs/>
                <w:color w:val="000000"/>
                <w:sz w:val="20"/>
                <w:szCs w:val="20"/>
                <w:lang w:val="uk-UA" w:eastAsia="en-GB" w:bidi="ar-SA"/>
              </w:rPr>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Діяльність у сфері транспорту та зв'язку</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0,0</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2,15</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0,0</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Сільське, лісове та рибне господарство</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3,7</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5,65</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3,7</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Переробна промисловість та гірничодобувна промисловість і розробка кар'єрів</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5,6</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4,89</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5,6</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Постачання електроенергії, газу, пари та кондиційованого повітря</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0,2</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0,32</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0,2</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Водопостачання; водовідведення, поводження з відходами</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0,2</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0,69</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0,3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Будівництво</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2,9</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4,07</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2,9</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Оптова та роздрібна торгівля; ремонт автотранспортних засобів і мотоциклів</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33,9</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18,37</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33,9</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Транспорт, складське господарство, поштова та кур'єрська діяльність</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4,9</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2,08</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4,9</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Тимчасове проживання та харчування</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3,0</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1,48</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3,0</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Інформація та телекомунікації</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15,7</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28,56</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15,7</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Фінансова та страхова діяльність</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0,6</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2,52</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0,6</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Операції з нерухомістю</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4,9</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3,31</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4,9</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Професійна, наукова та технічна діяльність</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8,0</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11,52</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8,0</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Діяльність у сфері адміністративного та допоміжного обслуговування</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4,4</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3</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4,4</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Державне управління й оборона; обов'язкове соціальне страхування</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0,5</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0,22</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0,5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Освіта</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1,4</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2,24</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1,4</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Охорона здоров'я та надання соціальної допомоги</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2,3</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2,05</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2,3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Мистецтво, спорт, розваги та відпочинок</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0,9</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1,64</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0,9</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Надання інших видів послуг</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6,8</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3,85</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6,8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Діяльність домогосподарств</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0,0</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0,25</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0,0</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val="false"/>
                <w:bCs w:val="false"/>
                <w:color w:val="000000"/>
                <w:sz w:val="20"/>
                <w:szCs w:val="20"/>
                <w:lang w:val="uk-UA" w:eastAsia="en-GB" w:bidi="ar-SA"/>
              </w:rPr>
              <w:t>Інші види діяльності</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0,0</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0,03</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0,0</w:t>
            </w:r>
          </w:p>
        </w:tc>
      </w:tr>
      <w:tr>
        <w:trPr>
          <w:trHeight w:val="345"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 w:val="20"/>
                <w:szCs w:val="20"/>
                <w:lang w:val="uk-UA"/>
              </w:rPr>
            </w:pPr>
            <w:r>
              <w:rPr>
                <w:rFonts w:eastAsia="Times New Roman" w:cs="Calibri" w:cstheme="minorHAnsi"/>
                <w:b/>
                <w:bCs w:val="false"/>
                <w:color w:val="000000"/>
                <w:sz w:val="20"/>
                <w:szCs w:val="20"/>
                <w:lang w:val="uk-UA" w:eastAsia="en-GB" w:bidi="ar-SA"/>
              </w:rPr>
              <w:t>Область</w:t>
            </w:r>
          </w:p>
        </w:tc>
        <w:tc>
          <w:tcPr>
            <w:tcW w:w="140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b/>
                <w:bCs/>
                <w:color w:val="000000"/>
                <w:sz w:val="20"/>
                <w:szCs w:val="20"/>
                <w:lang w:val="uk-UA"/>
              </w:rPr>
            </w:pPr>
            <w:r>
              <w:rPr>
                <w:rFonts w:eastAsia="Times New Roman" w:cs="Calibri" w:cstheme="minorHAnsi"/>
                <w:b/>
                <w:bCs/>
                <w:color w:val="000000"/>
                <w:sz w:val="20"/>
                <w:szCs w:val="20"/>
                <w:lang w:val="uk-UA" w:eastAsia="en-GB" w:bidi="ar-SA"/>
              </w:rPr>
            </w:r>
          </w:p>
        </w:tc>
        <w:tc>
          <w:tcPr>
            <w:tcW w:w="141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sz w:val="20"/>
                <w:szCs w:val="20"/>
                <w:lang w:val="uk-UA"/>
              </w:rPr>
            </w:pPr>
            <w:r>
              <w:rPr>
                <w:rFonts w:eastAsia="Times New Roman" w:cs="Calibri" w:cstheme="minorHAnsi"/>
                <w:sz w:val="20"/>
                <w:szCs w:val="20"/>
                <w:lang w:val="uk-UA" w:eastAsia="en-GB" w:bidi="ar-SA"/>
              </w:rPr>
            </w:r>
          </w:p>
        </w:tc>
        <w:tc>
          <w:tcPr>
            <w:tcW w:w="113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sz w:val="20"/>
                <w:szCs w:val="20"/>
                <w:lang w:val="uk-UA"/>
              </w:rPr>
            </w:pPr>
            <w:r>
              <w:rPr>
                <w:rFonts w:eastAsia="Times New Roman" w:cs="Calibri" w:cstheme="minorHAnsi"/>
                <w:sz w:val="20"/>
                <w:szCs w:val="20"/>
                <w:lang w:val="uk-UA" w:eastAsia="en-GB" w:bidi="ar-SA"/>
              </w:rPr>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Вінницька</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3,8</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3,9</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3,8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Волинська</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2,4</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2,3</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2,4</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Дніпропетровська</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8,3</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9,0</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8,3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Донецька</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1,6</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1,4</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1,6</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Житомирська</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2,7</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2,1</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2,8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Закарпатська</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2,6</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1,3</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2,6</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Запорізька</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2,9</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2,8</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2,9</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Івано-Франківська</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3,1</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1,7</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3,1</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Київська</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6,3</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13,0</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6,3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Кіровоградська</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2,0</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2,0</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2,0</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Луганська</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0,3</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0,4</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0,3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Львівська</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7,7</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6,8</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7,7</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Миколаївська</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2,5</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3,0</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2,5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Одеська</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6,7</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4,4</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6,7</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Полтавська</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3,4</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3,2</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3,4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Рівненська</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2,5</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2,1</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2,5</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Сумська</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2,1</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2,2</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2,1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Тернопільська</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2,2</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1,6</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2,2</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Харківська</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7,8</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7,2</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7,8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Херсонська</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1,0</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1,1</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1,0</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Хмельницька</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3,5</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1,8</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3,5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Черкаська</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3,0</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2,4</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3,0</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Чернівецька</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2,1</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0,8</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2,2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Чернігівська</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2,2</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2,4</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2,2</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 w:val="20"/>
                <w:szCs w:val="20"/>
                <w:lang w:val="uk-UA"/>
              </w:rPr>
            </w:pPr>
            <w:r>
              <w:rPr>
                <w:rFonts w:eastAsia="Times New Roman" w:cs="Calibri" w:cstheme="minorHAnsi"/>
                <w:b w:val="false"/>
                <w:bCs w:val="false"/>
                <w:color w:themeColor="text1" w:val="000000"/>
                <w:sz w:val="20"/>
                <w:szCs w:val="20"/>
                <w:lang w:val="uk-UA" w:eastAsia="en-GB" w:bidi="ar-SA"/>
              </w:rPr>
              <w:t>м. Київ</w:t>
            </w:r>
          </w:p>
        </w:tc>
        <w:tc>
          <w:tcPr>
            <w:tcW w:w="1404"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17,2</w:t>
            </w:r>
          </w:p>
        </w:tc>
        <w:tc>
          <w:tcPr>
            <w:tcW w:w="1418"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color w:val="000000"/>
                <w:sz w:val="20"/>
                <w:szCs w:val="20"/>
                <w:lang w:val="uk-UA" w:eastAsia="en-GB" w:bidi="ar-SA"/>
              </w:rPr>
              <w:t>21,1</w:t>
            </w:r>
          </w:p>
        </w:tc>
        <w:tc>
          <w:tcPr>
            <w:tcW w:w="113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SimSun" w:cs="Calibri" w:cstheme="minorHAnsi"/>
                <w:sz w:val="20"/>
                <w:szCs w:val="20"/>
                <w:lang w:val="uk-UA" w:eastAsia="en-GB" w:bidi="ar-SA"/>
              </w:rPr>
              <w:t>17,2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b w:val="false"/>
                <w:bCs/>
                <w:color w:val="000000"/>
                <w:sz w:val="20"/>
                <w:szCs w:val="20"/>
                <w:lang w:val="uk-UA" w:eastAsia="en-GB" w:bidi="ar-SA"/>
              </w:rPr>
              <w:t>ВСЬОГО</w:t>
            </w:r>
          </w:p>
        </w:tc>
        <w:tc>
          <w:tcPr>
            <w:tcW w:w="1404"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100,0</w:t>
            </w:r>
          </w:p>
        </w:tc>
        <w:tc>
          <w:tcPr>
            <w:tcW w:w="1418"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100,0</w:t>
            </w:r>
          </w:p>
        </w:tc>
        <w:tc>
          <w:tcPr>
            <w:tcW w:w="113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 w:val="20"/>
                <w:szCs w:val="20"/>
                <w:lang w:val="uk-UA"/>
              </w:rPr>
            </w:pPr>
            <w:r>
              <w:rPr>
                <w:rFonts w:eastAsia="Times New Roman" w:cs="Calibri" w:cstheme="minorHAnsi"/>
                <w:color w:val="000000"/>
                <w:sz w:val="20"/>
                <w:szCs w:val="20"/>
                <w:lang w:val="uk-UA" w:eastAsia="en-GB" w:bidi="ar-SA"/>
              </w:rPr>
              <w:t>100,0</w:t>
            </w:r>
          </w:p>
        </w:tc>
      </w:tr>
    </w:tbl>
    <w:p>
      <w:pPr>
        <w:pStyle w:val="ListParagraph"/>
        <w:ind w:left="360"/>
        <w:jc w:val="both"/>
        <w:rPr>
          <w:rFonts w:cs="Calibri" w:cstheme="minorHAnsi"/>
          <w:lang w:val="uk-UA"/>
        </w:rPr>
      </w:pPr>
      <w:r>
        <w:rPr>
          <w:rFonts w:cs="Calibri" w:cstheme="minorHAnsi"/>
          <w:lang w:val="uk-UA"/>
        </w:rPr>
      </w:r>
    </w:p>
    <w:p>
      <w:pPr>
        <w:pStyle w:val="ListParagraph"/>
        <w:numPr>
          <w:ilvl w:val="0"/>
          <w:numId w:val="8"/>
        </w:numPr>
        <w:spacing w:before="0" w:after="160"/>
        <w:contextualSpacing/>
        <w:jc w:val="both"/>
        <w:rPr>
          <w:rFonts w:cs="Calibri" w:cstheme="minorHAnsi"/>
          <w:lang w:val="uk-UA"/>
        </w:rPr>
      </w:pPr>
      <w:r>
        <w:rPr>
          <w:b/>
          <w:bCs/>
          <w:lang w:val="uk-UA"/>
        </w:rPr>
        <w:t>Категоріальні питання були деталізовані у розрізі регіонів, розміру компаній, типу компаній та сфери діяльності.</w:t>
      </w:r>
      <w:r>
        <w:rPr>
          <w:lang w:val="uk-UA"/>
        </w:rPr>
        <w:t xml:space="preserve"> Для оцінки незалежності категоріальних змінних було використано критерій хі-квадрат (χ²). Поріг значущості для критерію хі-квадрат становив 0,050. Якщо p-значення нижче 0,050, що вказує на статистично значущий зв'язок, результати інтерпретувались за допомогою детальної розбивки. Якщо p-значення вище 0,050, що свідчить про відсутність значущого зв'язку, інтерпретувались лише загальні результати.</w:t>
      </w:r>
      <w:bookmarkEnd w:id="45"/>
    </w:p>
    <w:sectPr>
      <w:headerReference w:type="even" r:id="rId40"/>
      <w:headerReference w:type="default" r:id="rId41"/>
      <w:headerReference w:type="first" r:id="rId42"/>
      <w:footerReference w:type="even" r:id="rId43"/>
      <w:footerReference w:type="default" r:id="rId44"/>
      <w:footerReference w:type="first" r:id="rId45"/>
      <w:footnotePr>
        <w:numFmt w:val="decimal"/>
      </w:footnotePr>
      <w:type w:val="nextPage"/>
      <w:pgSz w:w="12240" w:h="15840"/>
      <w:pgMar w:left="1440" w:right="1440" w:gutter="0" w:header="720" w:top="1440" w:footer="720" w:bottom="144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Segoe UI">
    <w:charset w:val="00"/>
    <w:family w:val="roman"/>
    <w:pitch w:val="variable"/>
  </w:font>
  <w:font w:name="Arial">
    <w:charset w:val="00"/>
    <w:family w:val="roman"/>
    <w:pitch w:val="variable"/>
  </w:font>
  <w:font w:name="Carlito">
    <w:altName w:val="Calibri"/>
    <w:charset w:val="00"/>
    <w:family w:val="roman"/>
    <w:pitch w:val="variable"/>
  </w:font>
  <w:font w:name="Gill Sans MT">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11274388"/>
    </w:sdtPr>
    <w:sdtContent>
      <w:p>
        <w:pPr>
          <w:pStyle w:val="Footer"/>
          <w:jc w:val="right"/>
          <w:rPr/>
        </w:pPr>
        <w:r>
          <w:rPr/>
          <w:fldChar w:fldCharType="begin"/>
        </w:r>
        <w:r>
          <w:rPr/>
          <w:instrText xml:space="preserve"> PAGE </w:instrText>
        </w:r>
        <w:r>
          <w:rPr/>
          <w:fldChar w:fldCharType="separate"/>
        </w:r>
        <w:r>
          <w:rPr/>
          <w:t>28</w:t>
        </w:r>
        <w:r>
          <w:rPr/>
          <w:fldChar w:fldCharType="end"/>
        </w:r>
      </w:p>
      <w:p>
        <w:pPr>
          <w:pStyle w:val="Footer"/>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pPr>
    <w:r>
      <w:rPr/>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30549961"/>
    </w:sdtPr>
    <w:sdtContent>
      <w:p>
        <w:pPr>
          <w:pStyle w:val="Footer"/>
          <w:jc w:val="right"/>
          <w:rPr/>
        </w:pPr>
        <w:r>
          <w:rPr/>
          <w:fldChar w:fldCharType="begin"/>
        </w:r>
        <w:r>
          <w:rPr/>
          <w:instrText xml:space="preserve"> PAGE </w:instrText>
        </w:r>
        <w:r>
          <w:rPr/>
          <w:fldChar w:fldCharType="separate"/>
        </w:r>
        <w:r>
          <w:rPr/>
          <w:t>30</w:t>
        </w:r>
        <w:r>
          <w:rPr/>
          <w:fldChar w:fldCharType="end"/>
        </w:r>
      </w:p>
    </w:sdtContent>
  </w:sdt>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12415553"/>
    </w:sdtPr>
    <w:sdtContent>
      <w:p>
        <w:pPr>
          <w:pStyle w:val="Footer"/>
          <w:jc w:val="right"/>
          <w:rPr/>
        </w:pPr>
        <w:r>
          <w:rPr/>
          <w:fldChar w:fldCharType="begin"/>
        </w:r>
        <w:r>
          <w:rPr/>
          <w:instrText xml:space="preserve"> PAGE </w:instrText>
        </w:r>
        <w:r>
          <w:rPr/>
          <w:fldChar w:fldCharType="separate"/>
        </w:r>
        <w:r>
          <w:rPr/>
          <w:t>29</w:t>
        </w:r>
        <w:r>
          <w:rPr/>
          <w:fldChar w:fldCharType="end"/>
        </w:r>
      </w:p>
    </w:sdtContent>
  </w:sdt>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55350268"/>
    </w:sdtPr>
    <w:sdtContent>
      <w:p>
        <w:pPr>
          <w:pStyle w:val="Footer"/>
          <w:jc w:val="right"/>
          <w:rPr/>
        </w:pPr>
        <w:r>
          <w:rPr/>
          <w:fldChar w:fldCharType="begin"/>
        </w:r>
        <w:r>
          <w:rPr/>
          <w:instrText xml:space="preserve"> PAGE </w:instrText>
        </w:r>
        <w:r>
          <w:rPr/>
          <w:fldChar w:fldCharType="separate"/>
        </w:r>
        <w:r>
          <w:rPr/>
          <w:t>44</w:t>
        </w:r>
        <w:r>
          <w:rPr/>
          <w:fldChar w:fldCharType="end"/>
        </w:r>
      </w:p>
    </w:sdtContent>
  </w:sdt>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7931868"/>
    </w:sdtPr>
    <w:sdtContent>
      <w:p>
        <w:pPr>
          <w:pStyle w:val="Footer"/>
          <w:jc w:val="right"/>
          <w:rPr/>
        </w:pPr>
        <w:r>
          <w:rPr/>
          <w:fldChar w:fldCharType="begin"/>
        </w:r>
        <w:r>
          <w:rPr/>
          <w:instrText xml:space="preserve"> PAGE </w:instrText>
        </w:r>
        <w:r>
          <w:rPr/>
          <w:fldChar w:fldCharType="separate"/>
        </w:r>
        <w:r>
          <w:rPr/>
          <w:t>31</w:t>
        </w:r>
        <w:r>
          <w:rPr/>
          <w:fldChar w:fldCharType="end"/>
        </w:r>
      </w:p>
    </w:sdtContent>
  </w:sdt>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rPr>
          <w:rFonts w:cs="Calibri" w:cstheme="minorHAnsi"/>
          <w:lang w:val="ru-RU"/>
        </w:rPr>
      </w:pPr>
      <w:r>
        <w:rPr>
          <w:rStyle w:val="Style5"/>
        </w:rPr>
        <w:footnoteRef/>
      </w:r>
      <w:r>
        <w:rPr>
          <w:rFonts w:cs="Calibri" w:cstheme="minorHAnsi"/>
          <w:i/>
          <w:iCs/>
          <w:shd w:fill="FFFFFF" w:val="clear"/>
          <w:lang w:val="uk-UA"/>
        </w:rPr>
        <w:t xml:space="preserve"> </w:t>
      </w:r>
      <w:r>
        <w:rPr>
          <w:rFonts w:cs="Calibri" w:cstheme="minorHAnsi"/>
          <w:i/>
          <w:iCs/>
          <w:shd w:fill="FFFFFF" w:val="clear"/>
          <w:lang w:val="uk-UA"/>
        </w:rPr>
        <w:t xml:space="preserve">Дослідження витрат на дотримання податкового законодавства: використання даних для розробки адресних реформ. </w:t>
      </w:r>
      <w:r>
        <w:rPr>
          <w:rFonts w:cs="Calibri" w:cstheme="minorHAnsi"/>
          <w:shd w:fill="FFFFFF" w:val="clear"/>
          <w:lang w:val="uk-UA"/>
        </w:rPr>
        <w:t xml:space="preserve">Інвестиційний клімат на практиці; № 8. Записка з питань оподаткування бізнесу, Світовий банк, 2010 рік, Вашингтон, округ Колумбія (http://documents.worldbank.org/curated/en/371871468295501537/Tax-compliance-cost-surveys-using-data-to-design-targeted-reforms) , а також Кулідж, Жаклін; Ілік, Домагой; Кісунько, Григорій. Опитування підприємств щодо витрат на дотримання податкового законодавства. Вашингтон, округ Колумбія: Група Світового банку, 2014 р. </w:t>
      </w:r>
      <w:r>
        <w:rPr>
          <w:rFonts w:cs="Calibri" w:cstheme="minorHAnsi"/>
          <w:shd w:fill="FFFFFF" w:val="clear"/>
          <w:lang w:val="ru-RU"/>
        </w:rPr>
        <w:t>(</w:t>
      </w:r>
      <w:r>
        <w:rPr>
          <w:rFonts w:cs="Calibri" w:cstheme="minorHAnsi"/>
          <w:shd w:fill="FFFFFF" w:val="clear"/>
        </w:rPr>
        <w:t>https</w:t>
      </w:r>
      <w:r>
        <w:rPr>
          <w:rFonts w:cs="Calibri" w:cstheme="minorHAnsi"/>
          <w:shd w:fill="FFFFFF" w:val="clear"/>
          <w:lang w:val="ru-RU"/>
        </w:rPr>
        <w:t>://</w:t>
      </w:r>
      <w:r>
        <w:rPr>
          <w:rFonts w:cs="Calibri" w:cstheme="minorHAnsi"/>
          <w:shd w:fill="FFFFFF" w:val="clear"/>
        </w:rPr>
        <w:t>worldbankgroup</w:t>
      </w:r>
      <w:r>
        <w:rPr>
          <w:rFonts w:cs="Calibri" w:cstheme="minorHAnsi"/>
          <w:shd w:fill="FFFFFF" w:val="clear"/>
          <w:lang w:val="ru-RU"/>
        </w:rPr>
        <w:t>.</w:t>
      </w:r>
      <w:r>
        <w:rPr>
          <w:rFonts w:cs="Calibri" w:cstheme="minorHAnsi"/>
          <w:shd w:fill="FFFFFF" w:val="clear"/>
        </w:rPr>
        <w:t>sharepoint</w:t>
      </w:r>
      <w:r>
        <w:rPr>
          <w:rFonts w:cs="Calibri" w:cstheme="minorHAnsi"/>
          <w:shd w:fill="FFFFFF" w:val="clear"/>
          <w:lang w:val="ru-RU"/>
        </w:rPr>
        <w:t>.</w:t>
      </w:r>
      <w:r>
        <w:rPr>
          <w:rFonts w:cs="Calibri" w:cstheme="minorHAnsi"/>
          <w:shd w:fill="FFFFFF" w:val="clear"/>
        </w:rPr>
        <w:t>com</w:t>
      </w:r>
      <w:r>
        <w:rPr>
          <w:rFonts w:cs="Calibri" w:cstheme="minorHAnsi"/>
          <w:shd w:fill="FFFFFF" w:val="clear"/>
          <w:lang w:val="ru-RU"/>
        </w:rPr>
        <w:t>/</w:t>
      </w:r>
      <w:r>
        <w:rPr>
          <w:rFonts w:cs="Calibri" w:cstheme="minorHAnsi"/>
          <w:shd w:fill="FFFFFF" w:val="clear"/>
        </w:rPr>
        <w:t>sites</w:t>
      </w:r>
      <w:r>
        <w:rPr>
          <w:rFonts w:cs="Calibri" w:cstheme="minorHAnsi"/>
          <w:shd w:fill="FFFFFF" w:val="clear"/>
          <w:lang w:val="ru-RU"/>
        </w:rPr>
        <w:t>/</w:t>
      </w:r>
      <w:r>
        <w:rPr>
          <w:rFonts w:cs="Calibri" w:cstheme="minorHAnsi"/>
          <w:shd w:fill="FFFFFF" w:val="clear"/>
        </w:rPr>
        <w:t>IBArchive</w:t>
      </w:r>
      <w:r>
        <w:rPr>
          <w:rFonts w:cs="Calibri" w:cstheme="minorHAnsi"/>
          <w:shd w:fill="FFFFFF" w:val="clear"/>
          <w:lang w:val="ru-RU"/>
        </w:rPr>
        <w:t>/</w:t>
      </w:r>
      <w:r>
        <w:rPr>
          <w:rFonts w:cs="Calibri" w:cstheme="minorHAnsi"/>
          <w:shd w:fill="FFFFFF" w:val="clear"/>
        </w:rPr>
        <w:t>Shared</w:t>
      </w:r>
      <w:r>
        <w:rPr>
          <w:rFonts w:cs="Calibri" w:cstheme="minorHAnsi"/>
          <w:shd w:fill="FFFFFF" w:val="clear"/>
          <w:lang w:val="ru-RU"/>
        </w:rPr>
        <w:t>%20</w:t>
      </w:r>
      <w:r>
        <w:rPr>
          <w:rFonts w:cs="Calibri" w:cstheme="minorHAnsi"/>
          <w:shd w:fill="FFFFFF" w:val="clear"/>
        </w:rPr>
        <w:t>Documents</w:t>
      </w:r>
      <w:r>
        <w:rPr>
          <w:rFonts w:cs="Calibri" w:cstheme="minorHAnsi"/>
          <w:shd w:fill="FFFFFF" w:val="clear"/>
          <w:lang w:val="ru-RU"/>
        </w:rPr>
        <w:t>/</w:t>
      </w:r>
      <w:r>
        <w:rPr>
          <w:rFonts w:cs="Calibri" w:cstheme="minorHAnsi"/>
          <w:shd w:fill="FFFFFF" w:val="clear"/>
        </w:rPr>
        <w:t>Forms</w:t>
      </w:r>
      <w:r>
        <w:rPr>
          <w:rFonts w:cs="Calibri" w:cstheme="minorHAnsi"/>
          <w:shd w:fill="FFFFFF" w:val="clear"/>
          <w:lang w:val="ru-RU"/>
        </w:rPr>
        <w:t>/</w:t>
      </w:r>
      <w:r>
        <w:rPr>
          <w:rFonts w:cs="Calibri" w:cstheme="minorHAnsi"/>
          <w:shd w:fill="FFFFFF" w:val="clear"/>
        </w:rPr>
        <w:t>AllItems</w:t>
      </w:r>
      <w:r>
        <w:rPr>
          <w:rFonts w:cs="Calibri" w:cstheme="minorHAnsi"/>
          <w:shd w:fill="FFFFFF" w:val="clear"/>
          <w:lang w:val="ru-RU"/>
        </w:rPr>
        <w:t>.</w:t>
      </w:r>
      <w:r>
        <w:rPr>
          <w:rFonts w:cs="Calibri" w:cstheme="minorHAnsi"/>
          <w:shd w:fill="FFFFFF" w:val="clear"/>
        </w:rPr>
        <w:t>aspx</w:t>
      </w:r>
      <w:r>
        <w:rPr>
          <w:rFonts w:cs="Calibri" w:cstheme="minorHAnsi"/>
          <w:shd w:fill="FFFFFF" w:val="clear"/>
          <w:lang w:val="ru-RU"/>
        </w:rPr>
        <w:t>?</w:t>
      </w:r>
      <w:r>
        <w:rPr>
          <w:rFonts w:cs="Calibri" w:cstheme="minorHAnsi"/>
          <w:shd w:fill="FFFFFF" w:val="clear"/>
        </w:rPr>
        <w:t>id</w:t>
      </w:r>
      <w:r>
        <w:rPr>
          <w:rFonts w:cs="Calibri" w:cstheme="minorHAnsi"/>
          <w:shd w:fill="FFFFFF" w:val="clear"/>
          <w:lang w:val="ru-RU"/>
        </w:rPr>
        <w:t>=%2</w:t>
      </w:r>
      <w:r>
        <w:rPr>
          <w:rFonts w:cs="Calibri" w:cstheme="minorHAnsi"/>
          <w:shd w:fill="FFFFFF" w:val="clear"/>
        </w:rPr>
        <w:t>Fsites</w:t>
      </w:r>
      <w:r>
        <w:rPr>
          <w:rFonts w:cs="Calibri" w:cstheme="minorHAnsi"/>
          <w:shd w:fill="FFFFFF" w:val="clear"/>
          <w:lang w:val="ru-RU"/>
        </w:rPr>
        <w:t>%2</w:t>
      </w:r>
      <w:r>
        <w:rPr>
          <w:rFonts w:cs="Calibri" w:cstheme="minorHAnsi"/>
          <w:shd w:fill="FFFFFF" w:val="clear"/>
        </w:rPr>
        <w:t>FIBArchive</w:t>
      </w:r>
      <w:r>
        <w:rPr>
          <w:rFonts w:cs="Calibri" w:cstheme="minorHAnsi"/>
          <w:shd w:fill="FFFFFF" w:val="clear"/>
          <w:lang w:val="ru-RU"/>
        </w:rPr>
        <w:t>%2</w:t>
      </w:r>
      <w:r>
        <w:rPr>
          <w:rFonts w:cs="Calibri" w:cstheme="minorHAnsi"/>
          <w:shd w:fill="FFFFFF" w:val="clear"/>
        </w:rPr>
        <w:t>FShared</w:t>
      </w:r>
      <w:r>
        <w:rPr>
          <w:rFonts w:cs="Calibri" w:cstheme="minorHAnsi"/>
          <w:shd w:fill="FFFFFF" w:val="clear"/>
          <w:lang w:val="ru-RU"/>
        </w:rPr>
        <w:t>%20</w:t>
      </w:r>
      <w:r>
        <w:rPr>
          <w:rFonts w:cs="Calibri" w:cstheme="minorHAnsi"/>
          <w:shd w:fill="FFFFFF" w:val="clear"/>
        </w:rPr>
        <w:t>Documents</w:t>
      </w:r>
      <w:r>
        <w:rPr>
          <w:rFonts w:cs="Calibri" w:cstheme="minorHAnsi"/>
          <w:shd w:fill="FFFFFF" w:val="clear"/>
          <w:lang w:val="ru-RU"/>
        </w:rPr>
        <w:t>%2</w:t>
      </w:r>
      <w:r>
        <w:rPr>
          <w:rFonts w:cs="Calibri" w:cstheme="minorHAnsi"/>
          <w:shd w:fill="FFFFFF" w:val="clear"/>
        </w:rPr>
        <w:t>F</w:t>
      </w:r>
      <w:r>
        <w:rPr>
          <w:rFonts w:cs="Calibri" w:cstheme="minorHAnsi"/>
          <w:shd w:fill="FFFFFF" w:val="clear"/>
          <w:lang w:val="ru-RU"/>
        </w:rPr>
        <w:t>2014%2</w:t>
      </w:r>
      <w:r>
        <w:rPr>
          <w:rFonts w:cs="Calibri" w:cstheme="minorHAnsi"/>
          <w:shd w:fill="FFFFFF" w:val="clear"/>
        </w:rPr>
        <w:t>FOfficialUseOnly</w:t>
      </w:r>
      <w:r>
        <w:rPr>
          <w:rFonts w:cs="Calibri" w:cstheme="minorHAnsi"/>
          <w:shd w:fill="FFFFFF" w:val="clear"/>
          <w:lang w:val="ru-RU"/>
        </w:rPr>
        <w:t>%2</w:t>
      </w:r>
      <w:r>
        <w:rPr>
          <w:rFonts w:cs="Calibri" w:cstheme="minorHAnsi"/>
          <w:shd w:fill="FFFFFF" w:val="clear"/>
        </w:rPr>
        <w:t>FSurveying</w:t>
      </w:r>
      <w:r>
        <w:rPr>
          <w:rFonts w:cs="Calibri" w:cstheme="minorHAnsi"/>
          <w:shd w:fill="FFFFFF" w:val="clear"/>
          <w:lang w:val="ru-RU"/>
        </w:rPr>
        <w:t>%20</w:t>
      </w:r>
      <w:r>
        <w:rPr>
          <w:rFonts w:cs="Calibri" w:cstheme="minorHAnsi"/>
          <w:shd w:fill="FFFFFF" w:val="clear"/>
        </w:rPr>
        <w:t>businesses</w:t>
      </w:r>
      <w:r>
        <w:rPr>
          <w:rFonts w:cs="Calibri" w:cstheme="minorHAnsi"/>
          <w:shd w:fill="FFFFFF" w:val="clear"/>
          <w:lang w:val="ru-RU"/>
        </w:rPr>
        <w:t>%20</w:t>
      </w:r>
      <w:r>
        <w:rPr>
          <w:rFonts w:cs="Calibri" w:cstheme="minorHAnsi"/>
          <w:shd w:fill="FFFFFF" w:val="clear"/>
        </w:rPr>
        <w:t>on</w:t>
      </w:r>
      <w:r>
        <w:rPr>
          <w:rFonts w:cs="Calibri" w:cstheme="minorHAnsi"/>
          <w:shd w:fill="FFFFFF" w:val="clear"/>
          <w:lang w:val="ru-RU"/>
        </w:rPr>
        <w:t>%20</w:t>
      </w:r>
      <w:r>
        <w:rPr>
          <w:rFonts w:cs="Calibri" w:cstheme="minorHAnsi"/>
          <w:shd w:fill="FFFFFF" w:val="clear"/>
        </w:rPr>
        <w:t>tax</w:t>
      </w:r>
      <w:r>
        <w:rPr>
          <w:rFonts w:cs="Calibri" w:cstheme="minorHAnsi"/>
          <w:shd w:fill="FFFFFF" w:val="clear"/>
          <w:lang w:val="ru-RU"/>
        </w:rPr>
        <w:t>%20</w:t>
      </w:r>
      <w:r>
        <w:rPr>
          <w:rFonts w:cs="Calibri" w:cstheme="minorHAnsi"/>
          <w:shd w:fill="FFFFFF" w:val="clear"/>
        </w:rPr>
        <w:t>compliance</w:t>
      </w:r>
      <w:r>
        <w:rPr>
          <w:rFonts w:cs="Calibri" w:cstheme="minorHAnsi"/>
          <w:shd w:fill="FFFFFF" w:val="clear"/>
          <w:lang w:val="ru-RU"/>
        </w:rPr>
        <w:t>%20</w:t>
      </w:r>
      <w:r>
        <w:rPr>
          <w:rFonts w:cs="Calibri" w:cstheme="minorHAnsi"/>
          <w:shd w:fill="FFFFFF" w:val="clear"/>
        </w:rPr>
        <w:t>costs</w:t>
      </w:r>
      <w:r>
        <w:rPr>
          <w:rFonts w:cs="Calibri" w:cstheme="minorHAnsi"/>
          <w:shd w:fill="FFFFFF" w:val="clear"/>
          <w:lang w:val="ru-RU"/>
        </w:rPr>
        <w:t>%2</w:t>
      </w:r>
      <w:r>
        <w:rPr>
          <w:rFonts w:cs="Calibri" w:cstheme="minorHAnsi"/>
          <w:shd w:fill="FFFFFF" w:val="clear"/>
        </w:rPr>
        <w:t>Epdf</w:t>
      </w:r>
      <w:r>
        <w:rPr>
          <w:rFonts w:cs="Calibri" w:cstheme="minorHAnsi"/>
          <w:shd w:fill="FFFFFF" w:val="clear"/>
          <w:lang w:val="ru-RU"/>
        </w:rPr>
        <w:t>&amp;</w:t>
      </w:r>
      <w:r>
        <w:rPr>
          <w:rFonts w:cs="Calibri" w:cstheme="minorHAnsi"/>
          <w:shd w:fill="FFFFFF" w:val="clear"/>
        </w:rPr>
        <w:t>parent</w:t>
      </w:r>
      <w:r>
        <w:rPr>
          <w:rFonts w:cs="Calibri" w:cstheme="minorHAnsi"/>
          <w:shd w:fill="FFFFFF" w:val="clear"/>
          <w:lang w:val="ru-RU"/>
        </w:rPr>
        <w:t>=%2</w:t>
      </w:r>
      <w:r>
        <w:rPr>
          <w:rFonts w:cs="Calibri" w:cstheme="minorHAnsi"/>
          <w:shd w:fill="FFFFFF" w:val="clear"/>
        </w:rPr>
        <w:t>Fsites</w:t>
      </w:r>
      <w:r>
        <w:rPr>
          <w:rFonts w:cs="Calibri" w:cstheme="minorHAnsi"/>
          <w:shd w:fill="FFFFFF" w:val="clear"/>
          <w:lang w:val="ru-RU"/>
        </w:rPr>
        <w:t>%2</w:t>
      </w:r>
      <w:r>
        <w:rPr>
          <w:rFonts w:cs="Calibri" w:cstheme="minorHAnsi"/>
          <w:shd w:fill="FFFFFF" w:val="clear"/>
        </w:rPr>
        <w:t>FIBArchive</w:t>
      </w:r>
      <w:r>
        <w:rPr>
          <w:rFonts w:cs="Calibri" w:cstheme="minorHAnsi"/>
          <w:shd w:fill="FFFFFF" w:val="clear"/>
          <w:lang w:val="ru-RU"/>
        </w:rPr>
        <w:t>%2</w:t>
      </w:r>
      <w:r>
        <w:rPr>
          <w:rFonts w:cs="Calibri" w:cstheme="minorHAnsi"/>
          <w:shd w:fill="FFFFFF" w:val="clear"/>
        </w:rPr>
        <w:t>FShared</w:t>
      </w:r>
      <w:r>
        <w:rPr>
          <w:rFonts w:cs="Calibri" w:cstheme="minorHAnsi"/>
          <w:shd w:fill="FFFFFF" w:val="clear"/>
          <w:lang w:val="ru-RU"/>
        </w:rPr>
        <w:t>%20</w:t>
      </w:r>
      <w:r>
        <w:rPr>
          <w:rFonts w:cs="Calibri" w:cstheme="minorHAnsi"/>
          <w:shd w:fill="FFFFFF" w:val="clear"/>
        </w:rPr>
        <w:t>Documents</w:t>
      </w:r>
      <w:r>
        <w:rPr>
          <w:rFonts w:cs="Calibri" w:cstheme="minorHAnsi"/>
          <w:shd w:fill="FFFFFF" w:val="clear"/>
          <w:lang w:val="ru-RU"/>
        </w:rPr>
        <w:t>%2</w:t>
      </w:r>
      <w:r>
        <w:rPr>
          <w:rFonts w:cs="Calibri" w:cstheme="minorHAnsi"/>
          <w:shd w:fill="FFFFFF" w:val="clear"/>
        </w:rPr>
        <w:t>F</w:t>
      </w:r>
      <w:r>
        <w:rPr>
          <w:rFonts w:cs="Calibri" w:cstheme="minorHAnsi"/>
          <w:shd w:fill="FFFFFF" w:val="clear"/>
          <w:lang w:val="ru-RU"/>
        </w:rPr>
        <w:t>2014%2</w:t>
      </w:r>
      <w:r>
        <w:rPr>
          <w:rFonts w:cs="Calibri" w:cstheme="minorHAnsi"/>
          <w:shd w:fill="FFFFFF" w:val="clear"/>
        </w:rPr>
        <w:t>FOfficialUseOnly</w:t>
      </w:r>
      <w:r>
        <w:rPr>
          <w:rFonts w:cs="Calibri" w:cstheme="minorHAnsi"/>
          <w:shd w:fill="FFFFFF" w:val="clear"/>
          <w:lang w:val="ru-RU"/>
        </w:rPr>
        <w:t>%2</w:t>
      </w:r>
      <w:r>
        <w:rPr>
          <w:rFonts w:cs="Calibri" w:cstheme="minorHAnsi"/>
          <w:shd w:fill="FFFFFF" w:val="clear"/>
        </w:rPr>
        <w:t>F</w:t>
      </w:r>
      <w:r>
        <w:rPr>
          <w:rFonts w:cs="Calibri" w:cstheme="minorHAnsi"/>
          <w:shd w:fill="FFFFFF" w:val="clear"/>
          <w:lang w:val="ru-RU"/>
        </w:rPr>
        <w:t>).</w:t>
      </w:r>
    </w:p>
  </w:footnote>
  <w:footnote w:id="3">
    <w:p>
      <w:pPr>
        <w:pStyle w:val="FootnoteText"/>
        <w:rPr>
          <w:rFonts w:cs="Calibri" w:cstheme="minorHAnsi"/>
          <w:lang w:val="ru-RU"/>
        </w:rPr>
      </w:pPr>
      <w:r>
        <w:rPr>
          <w:rStyle w:val="Style5"/>
        </w:rPr>
        <w:footnoteRef/>
      </w:r>
      <w:r>
        <w:rPr>
          <w:lang w:val="ru-RU"/>
        </w:rPr>
        <w:t xml:space="preserve"> </w:t>
      </w:r>
      <w:r>
        <w:rPr>
          <w:rFonts w:cs="Calibri" w:cstheme="minorHAnsi"/>
          <w:i/>
          <w:iCs/>
          <w:shd w:fill="FFFFFF" w:val="clear"/>
          <w:lang w:val="ru-RU"/>
        </w:rPr>
        <w:t xml:space="preserve">Дослідження витрат на дотримання податкового законодавства: використання даних для розробки адресних реформ. </w:t>
      </w:r>
      <w:r>
        <w:rPr>
          <w:rFonts w:cs="Calibri" w:cstheme="minorHAnsi"/>
          <w:shd w:fill="FFFFFF" w:val="clear"/>
          <w:lang w:val="ru-RU"/>
        </w:rPr>
        <w:t>Інвестиційний клімат на практиці;</w:t>
      </w:r>
      <w:r>
        <w:rPr>
          <w:rFonts w:cs="Calibri" w:cstheme="minorHAnsi"/>
          <w:i/>
          <w:iCs/>
          <w:shd w:fill="FFFFFF" w:val="clear"/>
          <w:lang w:val="ru-RU"/>
        </w:rPr>
        <w:t xml:space="preserve"> </w:t>
      </w:r>
      <w:r>
        <w:rPr>
          <w:rFonts w:cs="Calibri" w:cstheme="minorHAnsi"/>
          <w:shd w:fill="FFFFFF" w:val="clear"/>
          <w:lang w:val="ru-RU"/>
        </w:rPr>
        <w:t>№ 8. Записка з питань оподаткування бізнесу, Світовий банк, 2010 р., Вашингтон, округ Колумбія.</w:t>
      </w:r>
      <w:r>
        <w:rPr>
          <w:rFonts w:cs="Calibri" w:cstheme="minorHAnsi"/>
          <w:i/>
          <w:iCs/>
          <w:shd w:fill="FFFFFF" w:val="clear"/>
          <w:lang w:val="ru-RU"/>
        </w:rPr>
        <w:t xml:space="preserve"> </w:t>
      </w:r>
      <w:r>
        <w:rPr>
          <w:rFonts w:cs="Calibri" w:cstheme="minorHAnsi"/>
          <w:shd w:fill="FFFFFF" w:val="clear"/>
          <w:lang w:val="ru-RU"/>
        </w:rPr>
        <w:t>(</w:t>
      </w:r>
      <w:hyperlink r:id="rId1">
        <w:r>
          <w:rPr>
            <w:rStyle w:val="Hyperlink"/>
            <w:rFonts w:cs="Calibri" w:cstheme="minorHAnsi"/>
            <w:shd w:fill="FFFFFF" w:val="clear"/>
          </w:rPr>
          <w:t>http</w:t>
        </w:r>
        <w:r>
          <w:rPr>
            <w:rStyle w:val="Hyperlink"/>
            <w:rFonts w:cs="Calibri" w:cstheme="minorHAnsi"/>
            <w:shd w:fill="FFFFFF" w:val="clear"/>
            <w:lang w:val="ru-RU"/>
          </w:rPr>
          <w:t>://</w:t>
        </w:r>
        <w:r>
          <w:rPr>
            <w:rStyle w:val="Hyperlink"/>
            <w:rFonts w:cs="Calibri" w:cstheme="minorHAnsi"/>
            <w:shd w:fill="FFFFFF" w:val="clear"/>
          </w:rPr>
          <w:t>documents</w:t>
        </w:r>
        <w:r>
          <w:rPr>
            <w:rStyle w:val="Hyperlink"/>
            <w:rFonts w:cs="Calibri" w:cstheme="minorHAnsi"/>
            <w:shd w:fill="FFFFFF" w:val="clear"/>
            <w:lang w:val="ru-RU"/>
          </w:rPr>
          <w:t>.</w:t>
        </w:r>
        <w:r>
          <w:rPr>
            <w:rStyle w:val="Hyperlink"/>
            <w:rFonts w:cs="Calibri" w:cstheme="minorHAnsi"/>
            <w:shd w:fill="FFFFFF" w:val="clear"/>
          </w:rPr>
          <w:t>worldbank</w:t>
        </w:r>
        <w:r>
          <w:rPr>
            <w:rStyle w:val="Hyperlink"/>
            <w:rFonts w:cs="Calibri" w:cstheme="minorHAnsi"/>
            <w:shd w:fill="FFFFFF" w:val="clear"/>
            <w:lang w:val="ru-RU"/>
          </w:rPr>
          <w:t>.</w:t>
        </w:r>
        <w:r>
          <w:rPr>
            <w:rStyle w:val="Hyperlink"/>
            <w:rFonts w:cs="Calibri" w:cstheme="minorHAnsi"/>
            <w:shd w:fill="FFFFFF" w:val="clear"/>
          </w:rPr>
          <w:t>org</w:t>
        </w:r>
        <w:r>
          <w:rPr>
            <w:rStyle w:val="Hyperlink"/>
            <w:rFonts w:cs="Calibri" w:cstheme="minorHAnsi"/>
            <w:shd w:fill="FFFFFF" w:val="clear"/>
            <w:lang w:val="ru-RU"/>
          </w:rPr>
          <w:t>/</w:t>
        </w:r>
        <w:r>
          <w:rPr>
            <w:rStyle w:val="Hyperlink"/>
            <w:rFonts w:cs="Calibri" w:cstheme="minorHAnsi"/>
            <w:shd w:fill="FFFFFF" w:val="clear"/>
          </w:rPr>
          <w:t>curated</w:t>
        </w:r>
        <w:r>
          <w:rPr>
            <w:rStyle w:val="Hyperlink"/>
            <w:rFonts w:cs="Calibri" w:cstheme="minorHAnsi"/>
            <w:shd w:fill="FFFFFF" w:val="clear"/>
            <w:lang w:val="ru-RU"/>
          </w:rPr>
          <w:t>/</w:t>
        </w:r>
        <w:r>
          <w:rPr>
            <w:rStyle w:val="Hyperlink"/>
            <w:rFonts w:cs="Calibri" w:cstheme="minorHAnsi"/>
            <w:shd w:fill="FFFFFF" w:val="clear"/>
          </w:rPr>
          <w:t>en</w:t>
        </w:r>
        <w:r>
          <w:rPr>
            <w:rStyle w:val="Hyperlink"/>
            <w:rFonts w:cs="Calibri" w:cstheme="minorHAnsi"/>
            <w:shd w:fill="FFFFFF" w:val="clear"/>
            <w:lang w:val="ru-RU"/>
          </w:rPr>
          <w:t>/371871468295501537/</w:t>
        </w:r>
        <w:r>
          <w:rPr>
            <w:rStyle w:val="Hyperlink"/>
            <w:rFonts w:cs="Calibri" w:cstheme="minorHAnsi"/>
            <w:shd w:fill="FFFFFF" w:val="clear"/>
          </w:rPr>
          <w:t>Tax</w:t>
        </w:r>
        <w:r>
          <w:rPr>
            <w:rStyle w:val="Hyperlink"/>
            <w:rFonts w:cs="Calibri" w:cstheme="minorHAnsi"/>
            <w:shd w:fill="FFFFFF" w:val="clear"/>
            <w:lang w:val="ru-RU"/>
          </w:rPr>
          <w:t>-</w:t>
        </w:r>
        <w:r>
          <w:rPr>
            <w:rStyle w:val="Hyperlink"/>
            <w:rFonts w:cs="Calibri" w:cstheme="minorHAnsi"/>
            <w:shd w:fill="FFFFFF" w:val="clear"/>
          </w:rPr>
          <w:t>compliance</w:t>
        </w:r>
        <w:r>
          <w:rPr>
            <w:rStyle w:val="Hyperlink"/>
            <w:rFonts w:cs="Calibri" w:cstheme="minorHAnsi"/>
            <w:shd w:fill="FFFFFF" w:val="clear"/>
            <w:lang w:val="ru-RU"/>
          </w:rPr>
          <w:t>-</w:t>
        </w:r>
        <w:r>
          <w:rPr>
            <w:rStyle w:val="Hyperlink"/>
            <w:rFonts w:cs="Calibri" w:cstheme="minorHAnsi"/>
            <w:shd w:fill="FFFFFF" w:val="clear"/>
          </w:rPr>
          <w:t>cost</w:t>
        </w:r>
        <w:r>
          <w:rPr>
            <w:rStyle w:val="Hyperlink"/>
            <w:rFonts w:cs="Calibri" w:cstheme="minorHAnsi"/>
            <w:shd w:fill="FFFFFF" w:val="clear"/>
            <w:lang w:val="ru-RU"/>
          </w:rPr>
          <w:t>-</w:t>
        </w:r>
        <w:r>
          <w:rPr>
            <w:rStyle w:val="Hyperlink"/>
            <w:rFonts w:cs="Calibri" w:cstheme="minorHAnsi"/>
            <w:shd w:fill="FFFFFF" w:val="clear"/>
          </w:rPr>
          <w:t>surveys</w:t>
        </w:r>
        <w:r>
          <w:rPr>
            <w:rStyle w:val="Hyperlink"/>
            <w:rFonts w:cs="Calibri" w:cstheme="minorHAnsi"/>
            <w:shd w:fill="FFFFFF" w:val="clear"/>
            <w:lang w:val="ru-RU"/>
          </w:rPr>
          <w:t>-</w:t>
        </w:r>
        <w:r>
          <w:rPr>
            <w:rStyle w:val="Hyperlink"/>
            <w:rFonts w:cs="Calibri" w:cstheme="minorHAnsi"/>
            <w:shd w:fill="FFFFFF" w:val="clear"/>
          </w:rPr>
          <w:t>using</w:t>
        </w:r>
        <w:r>
          <w:rPr>
            <w:rStyle w:val="Hyperlink"/>
            <w:rFonts w:cs="Calibri" w:cstheme="minorHAnsi"/>
            <w:shd w:fill="FFFFFF" w:val="clear"/>
            <w:lang w:val="ru-RU"/>
          </w:rPr>
          <w:t>-</w:t>
        </w:r>
        <w:r>
          <w:rPr>
            <w:rStyle w:val="Hyperlink"/>
            <w:rFonts w:cs="Calibri" w:cstheme="minorHAnsi"/>
            <w:shd w:fill="FFFFFF" w:val="clear"/>
          </w:rPr>
          <w:t>data</w:t>
        </w:r>
        <w:r>
          <w:rPr>
            <w:rStyle w:val="Hyperlink"/>
            <w:rFonts w:cs="Calibri" w:cstheme="minorHAnsi"/>
            <w:shd w:fill="FFFFFF" w:val="clear"/>
            <w:lang w:val="ru-RU"/>
          </w:rPr>
          <w:t>-</w:t>
        </w:r>
        <w:r>
          <w:rPr>
            <w:rStyle w:val="Hyperlink"/>
            <w:rFonts w:cs="Calibri" w:cstheme="minorHAnsi"/>
            <w:shd w:fill="FFFFFF" w:val="clear"/>
          </w:rPr>
          <w:t>to</w:t>
        </w:r>
        <w:r>
          <w:rPr>
            <w:rStyle w:val="Hyperlink"/>
            <w:rFonts w:cs="Calibri" w:cstheme="minorHAnsi"/>
            <w:shd w:fill="FFFFFF" w:val="clear"/>
            <w:lang w:val="ru-RU"/>
          </w:rPr>
          <w:t>-</w:t>
        </w:r>
        <w:r>
          <w:rPr>
            <w:rStyle w:val="Hyperlink"/>
            <w:rFonts w:cs="Calibri" w:cstheme="minorHAnsi"/>
            <w:shd w:fill="FFFFFF" w:val="clear"/>
          </w:rPr>
          <w:t>design</w:t>
        </w:r>
        <w:r>
          <w:rPr>
            <w:rStyle w:val="Hyperlink"/>
            <w:rFonts w:cs="Calibri" w:cstheme="minorHAnsi"/>
            <w:shd w:fill="FFFFFF" w:val="clear"/>
            <w:lang w:val="ru-RU"/>
          </w:rPr>
          <w:t>-</w:t>
        </w:r>
        <w:r>
          <w:rPr>
            <w:rStyle w:val="Hyperlink"/>
            <w:rFonts w:cs="Calibri" w:cstheme="minorHAnsi"/>
            <w:shd w:fill="FFFFFF" w:val="clear"/>
          </w:rPr>
          <w:t>targeted</w:t>
        </w:r>
        <w:r>
          <w:rPr>
            <w:rStyle w:val="Hyperlink"/>
            <w:rFonts w:cs="Calibri" w:cstheme="minorHAnsi"/>
            <w:shd w:fill="FFFFFF" w:val="clear"/>
            <w:lang w:val="ru-RU"/>
          </w:rPr>
          <w:t>-</w:t>
        </w:r>
        <w:r>
          <w:rPr>
            <w:rStyle w:val="Hyperlink"/>
            <w:rFonts w:cs="Calibri" w:cstheme="minorHAnsi"/>
            <w:shd w:fill="FFFFFF" w:val="clear"/>
          </w:rPr>
          <w:t>reforms</w:t>
        </w:r>
      </w:hyperlink>
      <w:r>
        <w:rPr>
          <w:rFonts w:cs="Calibri" w:cstheme="minorHAnsi"/>
          <w:shd w:fill="FFFFFF" w:val="clear"/>
          <w:lang w:val="ru-RU"/>
        </w:rPr>
        <w:t xml:space="preserve">) </w:t>
      </w:r>
    </w:p>
  </w:footnote>
  <w:footnote w:id="4">
    <w:p>
      <w:pPr>
        <w:pStyle w:val="FootnoteText"/>
        <w:rPr>
          <w:i/>
          <w:i/>
          <w:iCs/>
          <w:lang w:val="uk-UA"/>
        </w:rPr>
      </w:pPr>
      <w:r>
        <w:rPr>
          <w:rStyle w:val="Style5"/>
        </w:rPr>
        <w:footnoteRef/>
      </w:r>
      <w:r>
        <w:rPr>
          <w:i/>
          <w:iCs/>
          <w:lang w:val="uk-UA"/>
        </w:rPr>
        <w:t xml:space="preserve"> </w:t>
      </w:r>
      <w:r>
        <w:rPr>
          <w:i/>
          <w:iCs/>
          <w:lang w:val="uk-UA"/>
        </w:rPr>
        <w:t>Через недостатню кількість відповідей на питання, пов'язані з відвідуванням податкової, категорії "до 250 працівників" та "понад 250 працівників" були об'єднані.</w:t>
      </w:r>
    </w:p>
  </w:footnote>
  <w:footnote w:id="5">
    <w:p>
      <w:pPr>
        <w:pStyle w:val="FootnoteText"/>
        <w:rPr>
          <w:i/>
          <w:i/>
          <w:iCs/>
          <w:lang w:val="uk-UA"/>
        </w:rPr>
      </w:pPr>
      <w:r>
        <w:rPr>
          <w:rStyle w:val="Style5"/>
        </w:rPr>
        <w:footnoteRef/>
      </w:r>
      <w:r>
        <w:rPr>
          <w:lang w:val="uk-UA"/>
        </w:rPr>
        <w:t xml:space="preserve"> </w:t>
      </w:r>
      <w:r>
        <w:rPr>
          <w:lang w:val="uk-UA"/>
        </w:rPr>
        <w:t>Кількість відповідей залежить від рівня дезагрегації, тому підсумок у стовпчику може дещо відрізнятися.</w:t>
      </w:r>
    </w:p>
  </w:footnote>
  <w:footnote w:id="6">
    <w:p>
      <w:pPr>
        <w:pStyle w:val="Normal"/>
        <w:spacing w:before="0" w:after="160"/>
        <w:rPr>
          <w:sz w:val="20"/>
          <w:szCs w:val="20"/>
          <w:lang w:val="uk-UA"/>
        </w:rPr>
      </w:pPr>
      <w:r>
        <w:rPr>
          <w:rStyle w:val="Style5"/>
        </w:rPr>
        <w:footnoteRef/>
      </w:r>
      <w:r>
        <w:rPr>
          <w:sz w:val="20"/>
          <w:szCs w:val="20"/>
          <w:lang w:val="uk-UA"/>
        </w:rPr>
        <w:t xml:space="preserve"> </w:t>
      </w:r>
      <w:r>
        <w:rPr>
          <w:sz w:val="20"/>
          <w:szCs w:val="20"/>
          <w:lang w:val="uk-UA"/>
        </w:rPr>
        <w:t>Кількість відповідей залежить від рівня дезагрегації, тому підсумок у стовпчику може дещо відрізнятися.</w:t>
      </w:r>
    </w:p>
  </w:footnote>
  <w:footnote w:id="7">
    <w:p>
      <w:pPr>
        <w:pStyle w:val="FootnoteText"/>
        <w:rPr>
          <w:lang w:val="uk-UA"/>
        </w:rPr>
      </w:pPr>
      <w:r>
        <w:rPr>
          <w:rStyle w:val="Style5"/>
        </w:rPr>
        <w:footnoteRef/>
      </w:r>
      <w:r>
        <w:rPr>
          <w:lang w:val="uk-UA"/>
        </w:rPr>
        <w:t xml:space="preserve"> </w:t>
      </w:r>
      <w:r>
        <w:rPr>
          <w:lang w:val="uk-UA"/>
        </w:rPr>
        <w:t>Кількість спостережень та характер відповідей суттєво відрізняються між ФОПами без найманих працівників та ФОПами з найманими працівниками. Тому дані оцінки на рівні ФОП з найманими працівниками слід інтерпретувати з обережністю.</w:t>
      </w:r>
    </w:p>
  </w:footnote>
  <w:footnote w:id="8">
    <w:p>
      <w:pPr>
        <w:pStyle w:val="FootnoteText"/>
        <w:rPr>
          <w:lang w:val="uk-UA"/>
        </w:rPr>
      </w:pPr>
      <w:r>
        <w:rPr>
          <w:rStyle w:val="Style5"/>
        </w:rPr>
        <w:footnoteRef/>
      </w:r>
      <w:r>
        <w:rPr>
          <w:lang w:val="uk-UA"/>
        </w:rPr>
        <w:t xml:space="preserve"> </w:t>
      </w:r>
      <w:r>
        <w:rPr>
          <w:lang w:val="uk-UA"/>
        </w:rPr>
        <w:t>За винятком фізичних осіб-підприємців, які не мають найманих працівників</w:t>
      </w:r>
      <w:r>
        <w:rPr>
          <w:i/>
          <w:iCs/>
          <w:lang w:val="uk-UA"/>
        </w:rPr>
        <w:t>.</w:t>
      </w:r>
    </w:p>
  </w:footnote>
  <w:footnote w:id="9">
    <w:p>
      <w:pPr>
        <w:pStyle w:val="Normal"/>
        <w:spacing w:before="0" w:after="160"/>
        <w:rPr>
          <w:lang w:val="uk-UA"/>
        </w:rPr>
      </w:pPr>
      <w:r>
        <w:rPr>
          <w:rStyle w:val="Style5"/>
        </w:rPr>
        <w:footnoteRef/>
      </w:r>
      <w:r>
        <w:rPr>
          <w:sz w:val="20"/>
          <w:szCs w:val="20"/>
          <w:lang w:val="uk-UA"/>
        </w:rPr>
        <w:t xml:space="preserve"> </w:t>
      </w:r>
      <w:r>
        <w:rPr>
          <w:sz w:val="20"/>
          <w:szCs w:val="20"/>
          <w:lang w:val="uk-UA"/>
        </w:rPr>
        <w:t>Кількість відповідей залежить від рівня дезагрегації, тому підсумок у стовпчику може дещо відрізнятися.</w:t>
      </w:r>
    </w:p>
  </w:footnote>
  <w:footnote w:id="10">
    <w:p>
      <w:pPr>
        <w:pStyle w:val="FootnoteText"/>
        <w:rPr>
          <w:lang w:val="uk-UA"/>
        </w:rPr>
      </w:pPr>
      <w:r>
        <w:rPr>
          <w:rStyle w:val="Style5"/>
        </w:rPr>
        <w:footnoteRef/>
      </w:r>
      <w:r>
        <w:rPr>
          <w:lang w:val="uk-UA"/>
        </w:rPr>
        <w:t xml:space="preserve"> </w:t>
      </w:r>
      <w:r>
        <w:rPr>
          <w:lang w:val="uk-UA"/>
        </w:rPr>
        <w:t>Загальні відсотки перевищують 100% через те, що респонденти мали змогу вибрати кілька варіантів відповідей, і це свідчить про те, що респонденти обрали більше одного варіанту.</w:t>
      </w:r>
    </w:p>
  </w:footnote>
  <w:footnote w:id="11">
    <w:p>
      <w:pPr>
        <w:pStyle w:val="FootnoteText"/>
        <w:rPr>
          <w:i/>
          <w:i/>
          <w:iCs/>
          <w:lang w:val="uk-UA"/>
        </w:rPr>
      </w:pPr>
      <w:r>
        <w:rPr>
          <w:rStyle w:val="Style5"/>
        </w:rPr>
        <w:footnoteRef/>
      </w:r>
      <w:r>
        <w:rPr>
          <w:i/>
          <w:iCs/>
          <w:lang w:val="uk-UA"/>
        </w:rPr>
        <w:t xml:space="preserve"> </w:t>
      </w:r>
      <w:r>
        <w:rPr>
          <w:i/>
          <w:iCs/>
          <w:lang w:val="uk-UA"/>
        </w:rPr>
        <w:t>Варіанти "Відмовилися відповісти" та "Не знаю" були враховані в розрахунках, але не відображені на візуалізації.</w:t>
      </w:r>
    </w:p>
  </w:footnote>
  <w:footnote w:id="12">
    <w:p>
      <w:pPr>
        <w:pStyle w:val="FootnoteText"/>
        <w:rPr>
          <w:i/>
          <w:i/>
          <w:iCs/>
          <w:lang w:val="uk-UA"/>
        </w:rPr>
      </w:pPr>
      <w:r>
        <w:rPr>
          <w:rStyle w:val="Style5"/>
        </w:rPr>
        <w:footnoteRef/>
      </w:r>
      <w:r>
        <w:rPr>
          <w:i/>
          <w:iCs/>
          <w:lang w:val="uk-UA"/>
        </w:rPr>
        <w:t xml:space="preserve"> </w:t>
      </w:r>
      <w:r>
        <w:rPr>
          <w:i/>
          <w:iCs/>
          <w:lang w:val="uk-UA"/>
        </w:rPr>
        <w:t>Варіанти "Відмовилися відповісти" та "Не знаю" були враховані в розрахунках, але не відображені на візуалізації.</w:t>
      </w:r>
    </w:p>
  </w:footnote>
  <w:footnote w:id="13">
    <w:p>
      <w:pPr>
        <w:pStyle w:val="FootnoteText"/>
        <w:rPr>
          <w:i/>
          <w:i/>
          <w:iCs/>
          <w:lang w:val="uk-UA"/>
        </w:rPr>
      </w:pPr>
      <w:r>
        <w:rPr>
          <w:rStyle w:val="Style5"/>
        </w:rPr>
        <w:footnoteRef/>
      </w:r>
      <w:r>
        <w:rPr>
          <w:i/>
          <w:iCs/>
          <w:lang w:val="uk-UA"/>
        </w:rPr>
        <w:t xml:space="preserve"> </w:t>
      </w:r>
      <w:r>
        <w:rPr>
          <w:i/>
          <w:iCs/>
          <w:lang w:val="uk-UA"/>
        </w:rPr>
        <w:t>Загальні відсотки перевищують 100% через те, що респонденти мали змогу вибрати кілька варіантів відповідей, і це свідчить про те, що респонденти обирали більше одного варіанту.</w:t>
      </w:r>
    </w:p>
  </w:footnote>
  <w:footnote w:id="14">
    <w:p>
      <w:pPr>
        <w:pStyle w:val="FootnoteText"/>
        <w:rPr>
          <w:i/>
          <w:i/>
          <w:iCs/>
          <w:lang w:val="uk-UA"/>
        </w:rPr>
      </w:pPr>
      <w:r>
        <w:rPr>
          <w:rStyle w:val="Style5"/>
        </w:rPr>
        <w:footnoteRef/>
      </w:r>
      <w:r>
        <w:rPr>
          <w:i/>
          <w:iCs/>
          <w:lang w:val="uk-UA"/>
        </w:rPr>
        <w:t xml:space="preserve"> </w:t>
      </w:r>
      <w:r>
        <w:rPr>
          <w:i/>
          <w:iCs/>
          <w:lang w:val="uk-UA"/>
        </w:rPr>
        <w:t>Загальні відсотки перевищують 100% через те, що респонденти мали змогу вибрати кілька варіантів відповідей, і це свідчить про те, що респонденти обрали більше одного варіанту.</w:t>
      </w:r>
    </w:p>
  </w:footnote>
  <w:footnote w:id="15">
    <w:p>
      <w:pPr>
        <w:pStyle w:val="FootnoteText"/>
        <w:rPr>
          <w:i/>
          <w:i/>
          <w:iCs/>
          <w:lang w:val="uk-UA"/>
        </w:rPr>
      </w:pPr>
      <w:r>
        <w:rPr>
          <w:rStyle w:val="Style5"/>
        </w:rPr>
        <w:footnoteRef/>
      </w:r>
      <w:r>
        <w:rPr>
          <w:i/>
          <w:iCs/>
          <w:lang w:val="uk-UA"/>
        </w:rPr>
        <w:t xml:space="preserve"> </w:t>
      </w:r>
      <w:r>
        <w:rPr>
          <w:i/>
          <w:iCs/>
          <w:lang w:val="uk-UA"/>
        </w:rPr>
        <w:t>Загальні відсотки перевищують 100% через те, що респонденти мали змогу вибрати кілька варіантів відповідей, і це свідчить про те, що респонденти обрали більше одного варіанту.</w:t>
      </w:r>
    </w:p>
  </w:footnote>
  <w:footnote w:id="16">
    <w:p>
      <w:pPr>
        <w:pStyle w:val="FootnoteText"/>
        <w:rPr>
          <w:i/>
          <w:i/>
          <w:iCs/>
          <w:lang w:val="uk-UA"/>
        </w:rPr>
      </w:pPr>
      <w:r>
        <w:rPr>
          <w:rStyle w:val="Style5"/>
        </w:rPr>
        <w:footnoteRef/>
      </w:r>
      <w:r>
        <w:rPr>
          <w:i/>
          <w:iCs/>
          <w:lang w:val="uk-UA"/>
        </w:rPr>
        <w:t xml:space="preserve"> </w:t>
      </w:r>
      <w:r>
        <w:rPr>
          <w:i/>
          <w:iCs/>
          <w:lang w:val="uk-UA"/>
        </w:rPr>
        <w:t>Загальні відсотки перевищують 100% через те, що респонденти мали змогу вибрати кілька варіантів відповідей, і це свідчить про те, що респонденти обрали більше одного варіанту.</w:t>
      </w:r>
    </w:p>
  </w:footnote>
  <w:footnote w:id="17">
    <w:p>
      <w:pPr>
        <w:pStyle w:val="FootnoteText"/>
        <w:rPr>
          <w:i/>
          <w:i/>
          <w:iCs/>
          <w:lang w:val="uk-UA"/>
        </w:rPr>
      </w:pPr>
      <w:r>
        <w:rPr>
          <w:rStyle w:val="Style5"/>
        </w:rPr>
        <w:footnoteRef/>
      </w:r>
      <w:r>
        <w:rPr>
          <w:i/>
          <w:iCs/>
          <w:lang w:val="uk-UA"/>
        </w:rPr>
        <w:t xml:space="preserve"> </w:t>
      </w:r>
      <w:r>
        <w:rPr>
          <w:i/>
          <w:iCs/>
          <w:lang w:val="uk-UA"/>
        </w:rPr>
        <w:t>Варіанти "Відмовилися відповісти" та "Не знаю" були враховані в розрахунках, але не відображені на візуалізації.</w:t>
      </w:r>
    </w:p>
  </w:footnote>
  <w:footnote w:id="18">
    <w:p>
      <w:pPr>
        <w:pStyle w:val="FootnoteText"/>
        <w:rPr>
          <w:i/>
          <w:i/>
          <w:iCs/>
          <w:lang w:val="ru-RU"/>
        </w:rPr>
      </w:pPr>
      <w:r>
        <w:rPr>
          <w:rStyle w:val="Style5"/>
        </w:rPr>
        <w:footnoteRef/>
      </w:r>
      <w:r>
        <w:rPr>
          <w:i/>
          <w:iCs/>
          <w:lang w:val="ru-RU"/>
        </w:rPr>
        <w:t xml:space="preserve"> </w:t>
      </w:r>
      <w:r>
        <w:rPr>
          <w:i/>
          <w:iCs/>
          <w:lang w:val="uk-UA"/>
        </w:rPr>
        <w:t>У цьому аналізі "Незначний" включає відповіді, спочатку віднесені до категорій "Незначний" та "Помірний". "Значний" включає відповіді, віднесені до категорій " Значний" та "Вирішальний", а "Н/Д" поєднує відповіді "Не актуально", "Не знає" та "Відмовився відповідати".</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color w:themeColor="background1" w:val="FFFFFF"/>
      </w:rPr>
    </w:pPr>
    <w:r>
      <w:rPr>
        <w:color w:themeColor="background1" w:val="FFFFFF"/>
      </w:rPr>
    </w:r>
  </w:p>
  <w:p>
    <w:pPr>
      <w:pStyle w:val="Header"/>
      <w:rPr>
        <w:color w:themeColor="background1" w:val="FFFFFF"/>
      </w:rPr>
    </w:pPr>
    <w:r>
      <w:rPr>
        <w:color w:themeColor="background1" w:val="FFFFFF"/>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ru-RU"/>
      </w:rPr>
    </w:pPr>
    <w:r>
      <mc:AlternateContent>
        <mc:Choice Requires="wps">
          <w:drawing>
            <wp:anchor behindDoc="1" distT="3175" distB="3810" distL="635" distR="635" simplePos="0" locked="0" layoutInCell="1" allowOverlap="1" relativeHeight="9" wp14:anchorId="69301088">
              <wp:simplePos x="0" y="0"/>
              <wp:positionH relativeFrom="column">
                <wp:posOffset>0</wp:posOffset>
              </wp:positionH>
              <wp:positionV relativeFrom="paragraph">
                <wp:posOffset>635</wp:posOffset>
              </wp:positionV>
              <wp:extent cx="6191250" cy="9525"/>
              <wp:effectExtent l="635" t="3175" r="635" b="3810"/>
              <wp:wrapNone/>
              <wp:docPr id="41" name="Straight Connector 8"/>
              <a:graphic xmlns:a="http://schemas.openxmlformats.org/drawingml/2006/main">
                <a:graphicData uri="http://schemas.microsoft.com/office/word/2010/wordprocessingShape">
                  <wps:wsp>
                    <wps:cNvSpPr/>
                    <wps:spPr>
                      <a:xfrm flipV="1">
                        <a:off x="0" y="0"/>
                        <a:ext cx="6191280" cy="9360"/>
                      </a:xfrm>
                      <a:prstGeom prst="line">
                        <a:avLst/>
                      </a:prstGeom>
                      <a:ln>
                        <a:solidFill>
                          <a:srgbClr val="549e39"/>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pt,0.05pt" to="487.45pt,0.75pt" ID="Straight Connector 8" stroked="t" o:allowincell="f" style="position:absolute;flip:y" wp14:anchorId="69301088">
              <v:stroke color="#549e39" weight="6480" joinstyle="miter" endcap="flat"/>
              <v:fill o:detectmouseclick="t" on="false"/>
              <w10:wrap type="none"/>
            </v:line>
          </w:pict>
        </mc:Fallback>
      </mc:AlternateContent>
    </w:r>
    <w:r>
      <w:rPr>
        <w:lang w:val="ru-RU"/>
      </w:rPr>
      <w:t>Підсумковий звіт: Дослідження сприйняття платників податків в Україні</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color w:themeColor="background1" w:val="FFFFFF"/>
      </w:rPr>
    </w:pPr>
    <w:r>
      <w:rPr>
        <w:color w:themeColor="background1" w:val="FFFFFF"/>
      </w:rPr>
    </w:r>
  </w:p>
  <w:p>
    <w:pPr>
      <w:pStyle w:val="Header"/>
      <w:rPr>
        <w:color w:themeColor="background1" w:val="FFFFFF"/>
      </w:rPr>
    </w:pPr>
    <w:r>
      <w:rPr>
        <w:color w:themeColor="background1" w:val="FFFFFF"/>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color w:themeColor="background1" w:val="FFFFFF"/>
      </w:rPr>
    </w:pPr>
    <w:r>
      <w:rPr>
        <w:color w:themeColor="background1" w:val="FFFFFF"/>
      </w:rPr>
    </w:r>
  </w:p>
  <w:p>
    <w:pPr>
      <w:pStyle w:val="Header"/>
      <w:rPr>
        <w:color w:themeColor="background1" w:val="FFFFFF"/>
      </w:rPr>
    </w:pPr>
    <w:r>
      <w:rPr>
        <w:color w:themeColor="background1" w:val="FFFFFF"/>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14"/>
  <w:defaultTabStop w:val="720"/>
  <w:autoHyphenation w:val="true"/>
  <w:footnotePr>
    <w:numFmt w:val="decimal"/>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kern w:val="2"/>
        <w:sz w:val="22"/>
        <w:szCs w:val="22"/>
        <w:lang w:val="en-US" w:eastAsia="en-US" w:bidi="ar-SA"/>
        <w14:ligatures w14:val="standardContextual"/>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index heading" w:uiPriority="0"/>
    <w:lsdException w:name="caption" w:uiPriority="0" w:qFormat="1"/>
    <w:lsdException w:name="table of figures" w:qFormat="1"/>
    <w:lsdException w:name="footnote reference" w:uiPriority="0"/>
    <w:lsdException w:name="annotation reference" w:qFormat="1"/>
    <w:lsdException w:name="page number" w:qFormat="1"/>
    <w:lsdException w:name="endnote reference" w:uiPriority="0"/>
    <w:lsdException w:name="List" w:uiPriority="0"/>
    <w:lsdException w:name="Title" w:uiPriority="10" w:semiHidden="0" w:unhideWhenUsed="0" w:qFormat="1"/>
    <w:lsdException w:name="Default Paragraph Font" w:uiPriority="1"/>
    <w:lsdException w:name="Body Text" w:uiPriority="0"/>
    <w:lsdException w:name="Body Text Indent" w:qFormat="1"/>
    <w:lsdException w:name="Subtitle" w:uiPriority="11" w:semiHidden="0" w:unhideWhenUsed="0" w:qFormat="1"/>
    <w:lsdException w:name="Body Text 2" w:qFormat="1"/>
    <w:lsdException w:name="Body Text Indent 2" w:qFormat="1"/>
    <w:lsdException w:name="Strong" w:uiPriority="22" w:semiHidden="0" w:unhideWhenUsed="0" w:qFormat="1"/>
    <w:lsdException w:name="Emphasis" w:uiPriority="20" w:semiHidden="0" w:unhideWhenUsed="0" w:qFormat="1"/>
    <w:lsdException w:name="Normal (Web)" w:qFormat="1"/>
    <w:lsdException w:name="annotation subject" w:qFormat="1"/>
    <w:lsdException w:name="Balloon Text" w:qFormat="1"/>
    <w:lsdException w:name="Table Grid" w:uiPriority="39" w:semiHidden="0" w:unhideWhenUsed="0" w:qFormat="1"/>
    <w:lsdException w:name="Placeholder Text" w:unhideWhenUsed="0" w:qFormat="1"/>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qFormat="1"/>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12820"/>
    <w:pPr>
      <w:widowControl/>
      <w:suppressAutoHyphens w:val="true"/>
      <w:bidi w:val="0"/>
      <w:spacing w:lineRule="auto" w:line="259" w:before="0" w:after="160"/>
      <w:jc w:val="left"/>
    </w:pPr>
    <w:rPr>
      <w:rFonts w:ascii="Calibri" w:hAnsi="Calibri" w:eastAsia="Calibri" w:cs="Arial"/>
      <w:color w:val="auto"/>
      <w:kern w:val="0"/>
      <w:sz w:val="22"/>
      <w:szCs w:val="22"/>
      <w:lang w:val="en-US" w:eastAsia="en-US" w:bidi="ar-SA"/>
      <w14:ligatures w14:val="none"/>
    </w:rPr>
  </w:style>
  <w:style w:type="paragraph" w:styleId="Heading1">
    <w:name w:val="Heading 1"/>
    <w:basedOn w:val="Normal"/>
    <w:next w:val="Normal"/>
    <w:link w:val="1"/>
    <w:uiPriority w:val="9"/>
    <w:qFormat/>
    <w:rsid w:val="000d1ace"/>
    <w:pPr>
      <w:keepNext w:val="true"/>
      <w:keepLines/>
      <w:spacing w:before="240" w:after="0"/>
      <w:outlineLvl w:val="0"/>
    </w:pPr>
    <w:rPr>
      <w:rFonts w:ascii="Calibri Light" w:hAnsi="Calibri Light" w:eastAsia="" w:cs="Times New Roman" w:asciiTheme="majorHAnsi" w:cstheme="majorBidi" w:eastAsiaTheme="majorEastAsia" w:hAnsiTheme="majorHAnsi"/>
      <w:color w:themeColor="accent1" w:themeShade="bf" w:val="2F5496"/>
      <w:sz w:val="32"/>
      <w:szCs w:val="32"/>
    </w:rPr>
  </w:style>
  <w:style w:type="paragraph" w:styleId="Heading2">
    <w:name w:val="Heading 2"/>
    <w:basedOn w:val="Normal"/>
    <w:next w:val="Normal"/>
    <w:link w:val="2"/>
    <w:uiPriority w:val="9"/>
    <w:unhideWhenUsed/>
    <w:qFormat/>
    <w:rsid w:val="007a6473"/>
    <w:pPr>
      <w:keepNext w:val="true"/>
      <w:keepLines/>
      <w:spacing w:before="40" w:after="0"/>
      <w:outlineLvl w:val="1"/>
    </w:pPr>
    <w:rPr>
      <w:rFonts w:ascii="Calibri Light" w:hAnsi="Calibri Light" w:eastAsia="" w:cs="Times New Roman" w:asciiTheme="majorHAnsi" w:cstheme="majorBidi" w:eastAsiaTheme="majorEastAsia" w:hAnsiTheme="majorHAnsi"/>
      <w:color w:themeColor="accent1" w:themeShade="bf" w:val="2F5496"/>
      <w:sz w:val="26"/>
      <w:szCs w:val="26"/>
    </w:rPr>
  </w:style>
  <w:style w:type="paragraph" w:styleId="Heading3">
    <w:name w:val="Heading 3"/>
    <w:basedOn w:val="Normal"/>
    <w:next w:val="Normal"/>
    <w:link w:val="3"/>
    <w:uiPriority w:val="9"/>
    <w:unhideWhenUsed/>
    <w:qFormat/>
    <w:rsid w:val="006b1c8d"/>
    <w:pPr>
      <w:keepNext w:val="true"/>
      <w:keepLines/>
      <w:spacing w:before="40" w:after="0"/>
      <w:outlineLvl w:val="2"/>
    </w:pPr>
    <w:rPr>
      <w:rFonts w:ascii="Calibri Light" w:hAnsi="Calibri Light" w:eastAsia="" w:cs="Times New Roman" w:asciiTheme="majorHAnsi" w:cstheme="majorBidi" w:eastAsiaTheme="majorEastAsia" w:hAnsiTheme="majorHAnsi"/>
      <w:color w:themeColor="accent1" w:themeShade="80" w:val="1F3864"/>
      <w:sz w:val="24"/>
      <w:szCs w:val="24"/>
    </w:rPr>
  </w:style>
  <w:style w:type="paragraph" w:styleId="Heading4">
    <w:name w:val="Heading 4"/>
    <w:basedOn w:val="Normal"/>
    <w:next w:val="Normal"/>
    <w:link w:val="4"/>
    <w:uiPriority w:val="9"/>
    <w:unhideWhenUsed/>
    <w:qFormat/>
    <w:rsid w:val="006b1c8d"/>
    <w:pPr>
      <w:keepNext w:val="true"/>
      <w:keepLines/>
      <w:spacing w:before="40" w:after="0"/>
      <w:outlineLvl w:val="3"/>
    </w:pPr>
    <w:rPr>
      <w:rFonts w:ascii="Calibri Light" w:hAnsi="Calibri Light" w:eastAsia="" w:cs="Times New Roman" w:asciiTheme="majorHAnsi" w:cstheme="majorBidi" w:eastAsiaTheme="majorEastAsia" w:hAnsiTheme="majorHAnsi"/>
      <w:i/>
      <w:iCs/>
      <w:color w:themeColor="accent1" w:themeShade="bf" w:val="2F5496"/>
    </w:rPr>
  </w:style>
  <w:style w:type="paragraph" w:styleId="Heading5">
    <w:name w:val="Heading 5"/>
    <w:basedOn w:val="Normal"/>
    <w:next w:val="Normal"/>
    <w:link w:val="5"/>
    <w:uiPriority w:val="9"/>
    <w:unhideWhenUsed/>
    <w:qFormat/>
    <w:rsid w:val="006b1c8d"/>
    <w:pPr>
      <w:keepNext w:val="true"/>
      <w:keepLines/>
      <w:spacing w:lineRule="auto" w:line="240" w:before="200" w:after="0"/>
      <w:ind w:hanging="1008" w:left="738"/>
      <w:jc w:val="both"/>
      <w:outlineLvl w:val="4"/>
    </w:pPr>
    <w:rPr>
      <w:rFonts w:ascii="Calibri Light" w:hAnsi="Calibri Light" w:eastAsia="" w:cs="Times New Roman" w:asciiTheme="majorHAnsi" w:cstheme="majorBidi" w:eastAsiaTheme="majorEastAsia" w:hAnsiTheme="majorHAnsi"/>
      <w:color w:themeColor="text2" w:themeShade="bf" w:val="323E4F"/>
      <w:lang w:val="en-IE"/>
    </w:rPr>
  </w:style>
  <w:style w:type="paragraph" w:styleId="Heading6">
    <w:name w:val="Heading 6"/>
    <w:basedOn w:val="Normal"/>
    <w:next w:val="Normal"/>
    <w:link w:val="6"/>
    <w:uiPriority w:val="9"/>
    <w:unhideWhenUsed/>
    <w:qFormat/>
    <w:rsid w:val="006b1c8d"/>
    <w:pPr>
      <w:keepNext w:val="true"/>
      <w:keepLines/>
      <w:spacing w:lineRule="auto" w:line="240" w:before="200" w:after="0"/>
      <w:ind w:hanging="1152" w:left="882"/>
      <w:jc w:val="both"/>
      <w:outlineLvl w:val="5"/>
    </w:pPr>
    <w:rPr>
      <w:rFonts w:ascii="Calibri Light" w:hAnsi="Calibri Light" w:eastAsia="" w:cs="Times New Roman" w:asciiTheme="majorHAnsi" w:cstheme="majorBidi" w:eastAsiaTheme="majorEastAsia" w:hAnsiTheme="majorHAnsi"/>
      <w:i/>
      <w:iCs/>
      <w:color w:themeColor="text2" w:themeShade="bf" w:val="323E4F"/>
      <w:lang w:val="en-IE"/>
    </w:rPr>
  </w:style>
  <w:style w:type="paragraph" w:styleId="Heading7">
    <w:name w:val="Heading 7"/>
    <w:basedOn w:val="Normal"/>
    <w:next w:val="Normal"/>
    <w:link w:val="7"/>
    <w:uiPriority w:val="9"/>
    <w:unhideWhenUsed/>
    <w:qFormat/>
    <w:rsid w:val="006b1c8d"/>
    <w:pPr>
      <w:keepNext w:val="true"/>
      <w:keepLines/>
      <w:spacing w:lineRule="auto" w:line="240" w:before="200" w:after="0"/>
      <w:ind w:hanging="1296" w:left="1026"/>
      <w:jc w:val="both"/>
      <w:outlineLvl w:val="6"/>
    </w:pPr>
    <w:rPr>
      <w:rFonts w:ascii="Calibri Light" w:hAnsi="Calibri Light" w:eastAsia="" w:cs="Times New Roman" w:asciiTheme="majorHAnsi" w:cstheme="majorBidi" w:eastAsiaTheme="majorEastAsia" w:hAnsiTheme="majorHAnsi"/>
      <w:i/>
      <w:iCs/>
      <w:color w:themeColor="text1" w:themeTint="bf" w:val="404040"/>
      <w:lang w:val="en-IE"/>
    </w:rPr>
  </w:style>
  <w:style w:type="paragraph" w:styleId="Heading8">
    <w:name w:val="Heading 8"/>
    <w:basedOn w:val="Normal"/>
    <w:next w:val="Normal"/>
    <w:link w:val="8"/>
    <w:uiPriority w:val="9"/>
    <w:qFormat/>
    <w:rsid w:val="006b1c8d"/>
    <w:pPr>
      <w:spacing w:lineRule="auto" w:line="240" w:before="240" w:after="60"/>
      <w:outlineLvl w:val="7"/>
    </w:pPr>
    <w:rPr>
      <w:rFonts w:ascii="Times New Roman" w:hAnsi="Times New Roman" w:eastAsia="Times New Roman" w:cs="Times New Roman"/>
      <w:i/>
      <w:iCs/>
      <w:sz w:val="24"/>
      <w:szCs w:val="24"/>
    </w:rPr>
  </w:style>
  <w:style w:type="paragraph" w:styleId="Heading9">
    <w:name w:val="Heading 9"/>
    <w:basedOn w:val="Normal"/>
    <w:next w:val="Normal"/>
    <w:link w:val="9"/>
    <w:uiPriority w:val="9"/>
    <w:semiHidden/>
    <w:unhideWhenUsed/>
    <w:qFormat/>
    <w:rsid w:val="006b1c8d"/>
    <w:pPr>
      <w:keepNext w:val="true"/>
      <w:keepLines/>
      <w:spacing w:lineRule="auto" w:line="240" w:before="200" w:after="0"/>
      <w:ind w:hanging="1584" w:left="1314"/>
      <w:jc w:val="both"/>
      <w:outlineLvl w:val="8"/>
    </w:pPr>
    <w:rPr>
      <w:rFonts w:ascii="Calibri Light" w:hAnsi="Calibri Light" w:eastAsia="" w:cs="Times New Roman" w:asciiTheme="majorHAnsi" w:cstheme="majorBidi" w:eastAsiaTheme="majorEastAsia" w:hAnsiTheme="majorHAnsi"/>
      <w:i/>
      <w:iCs/>
      <w:color w:themeColor="text1" w:themeTint="bf" w:val="404040"/>
      <w:sz w:val="20"/>
      <w:szCs w:val="20"/>
      <w:lang w:val="en-IE"/>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uiPriority w:val="9"/>
    <w:qFormat/>
    <w:rsid w:val="000d1ace"/>
    <w:rPr>
      <w:rFonts w:ascii="Calibri Light" w:hAnsi="Calibri Light" w:eastAsia="" w:cs="Times New Roman" w:asciiTheme="majorHAnsi" w:cstheme="majorBidi" w:eastAsiaTheme="majorEastAsia" w:hAnsiTheme="majorHAnsi"/>
      <w:color w:themeColor="accent1" w:themeShade="bf" w:val="2F5496"/>
      <w:sz w:val="32"/>
      <w:szCs w:val="32"/>
    </w:rPr>
  </w:style>
  <w:style w:type="character" w:styleId="FootnoteCharacters" w:customStyle="1">
    <w:name w:val="Footnote Characters"/>
    <w:basedOn w:val="DefaultParagraphFont"/>
    <w:uiPriority w:val="99"/>
    <w:unhideWhenUsed/>
    <w:qFormat/>
    <w:rsid w:val="000d1ace"/>
    <w:rPr>
      <w:vertAlign w:val="superscript"/>
    </w:rPr>
  </w:style>
  <w:style w:type="character" w:styleId="Style5">
    <w:name w:val="Символи виноски"/>
    <w:qFormat/>
    <w:rsid w:val="000d1ace"/>
    <w:rPr>
      <w:vertAlign w:val="superscript"/>
    </w:rPr>
  </w:style>
  <w:style w:type="character" w:styleId="FootnoteReference">
    <w:name w:val="Footnote Reference"/>
    <w:rPr>
      <w:vertAlign w:val="superscript"/>
    </w:rPr>
  </w:style>
  <w:style w:type="character" w:styleId="Style6" w:customStyle="1">
    <w:name w:val="Текст виноски Знак"/>
    <w:basedOn w:val="DefaultParagraphFont"/>
    <w:uiPriority w:val="99"/>
    <w:qFormat/>
    <w:rsid w:val="000d1ace"/>
    <w:rPr>
      <w:sz w:val="20"/>
      <w:szCs w:val="20"/>
      <w:lang w:val="en-GB"/>
    </w:rPr>
  </w:style>
  <w:style w:type="character" w:styleId="FootnoteTextChar1" w:customStyle="1">
    <w:name w:val="Footnote Text Char1"/>
    <w:basedOn w:val="DefaultParagraphFont"/>
    <w:uiPriority w:val="99"/>
    <w:semiHidden/>
    <w:qFormat/>
    <w:rsid w:val="000d1ace"/>
    <w:rPr>
      <w:sz w:val="20"/>
      <w:szCs w:val="20"/>
    </w:rPr>
  </w:style>
  <w:style w:type="character" w:styleId="CaptionChar" w:customStyle="1">
    <w:name w:val="Caption Char"/>
    <w:basedOn w:val="DefaultParagraphFont"/>
    <w:link w:val="Caption1"/>
    <w:uiPriority w:val="35"/>
    <w:qFormat/>
    <w:locked/>
    <w:rsid w:val="00941fa4"/>
    <w:rPr>
      <w:i/>
      <w:iCs/>
      <w:color w:themeColor="text2" w:val="44546A"/>
      <w:sz w:val="18"/>
      <w:szCs w:val="18"/>
    </w:rPr>
  </w:style>
  <w:style w:type="character" w:styleId="Style7" w:customStyle="1">
    <w:name w:val="Абзац списку Знак"/>
    <w:basedOn w:val="DefaultParagraphFont"/>
    <w:link w:val="ListParagraph"/>
    <w:uiPriority w:val="34"/>
    <w:qFormat/>
    <w:locked/>
    <w:rsid w:val="00f910c4"/>
    <w:rPr/>
  </w:style>
  <w:style w:type="character" w:styleId="2" w:customStyle="1">
    <w:name w:val="Заголовок 2 Знак"/>
    <w:basedOn w:val="DefaultParagraphFont"/>
    <w:uiPriority w:val="9"/>
    <w:qFormat/>
    <w:rsid w:val="007a6473"/>
    <w:rPr>
      <w:rFonts w:ascii="Calibri Light" w:hAnsi="Calibri Light" w:eastAsia="" w:cs="Times New Roman" w:asciiTheme="majorHAnsi" w:cstheme="majorBidi" w:eastAsiaTheme="majorEastAsia" w:hAnsiTheme="majorHAnsi"/>
      <w:color w:themeColor="accent1" w:themeShade="bf" w:val="2F5496"/>
      <w:kern w:val="0"/>
      <w:sz w:val="26"/>
      <w:szCs w:val="26"/>
      <w14:ligatures w14:val="none"/>
    </w:rPr>
  </w:style>
  <w:style w:type="character" w:styleId="Annotationreference">
    <w:name w:val="annotation reference"/>
    <w:basedOn w:val="DefaultParagraphFont"/>
    <w:uiPriority w:val="99"/>
    <w:semiHidden/>
    <w:unhideWhenUsed/>
    <w:qFormat/>
    <w:rsid w:val="00fa6f7b"/>
    <w:rPr>
      <w:sz w:val="16"/>
      <w:szCs w:val="16"/>
    </w:rPr>
  </w:style>
  <w:style w:type="character" w:styleId="Style8" w:customStyle="1">
    <w:name w:val="Текст примітки Знак"/>
    <w:basedOn w:val="DefaultParagraphFont"/>
    <w:link w:val="Annotationtext"/>
    <w:uiPriority w:val="99"/>
    <w:qFormat/>
    <w:rsid w:val="00fa6f7b"/>
    <w:rPr>
      <w:sz w:val="20"/>
      <w:szCs w:val="20"/>
    </w:rPr>
  </w:style>
  <w:style w:type="character" w:styleId="CommentTextChar1" w:customStyle="1">
    <w:name w:val="Comment Text Char1"/>
    <w:basedOn w:val="DefaultParagraphFont"/>
    <w:uiPriority w:val="99"/>
    <w:semiHidden/>
    <w:qFormat/>
    <w:rsid w:val="00fa6f7b"/>
    <w:rPr>
      <w:kern w:val="0"/>
      <w:sz w:val="20"/>
      <w:szCs w:val="20"/>
      <w14:ligatures w14:val="none"/>
    </w:rPr>
  </w:style>
  <w:style w:type="character" w:styleId="3" w:customStyle="1">
    <w:name w:val="Заголовок 3 Знак"/>
    <w:basedOn w:val="DefaultParagraphFont"/>
    <w:uiPriority w:val="9"/>
    <w:qFormat/>
    <w:rsid w:val="006b1c8d"/>
    <w:rPr>
      <w:rFonts w:ascii="Calibri Light" w:hAnsi="Calibri Light" w:eastAsia="" w:cs="Times New Roman" w:asciiTheme="majorHAnsi" w:cstheme="majorBidi" w:eastAsiaTheme="majorEastAsia" w:hAnsiTheme="majorHAnsi"/>
      <w:color w:themeColor="accent1" w:themeShade="80" w:val="1F3864"/>
      <w:kern w:val="0"/>
      <w:sz w:val="24"/>
      <w:szCs w:val="24"/>
      <w14:ligatures w14:val="none"/>
    </w:rPr>
  </w:style>
  <w:style w:type="character" w:styleId="4" w:customStyle="1">
    <w:name w:val="Заголовок 4 Знак"/>
    <w:basedOn w:val="DefaultParagraphFont"/>
    <w:uiPriority w:val="9"/>
    <w:qFormat/>
    <w:rsid w:val="006b1c8d"/>
    <w:rPr>
      <w:rFonts w:ascii="Calibri Light" w:hAnsi="Calibri Light" w:eastAsia="" w:cs="Times New Roman" w:asciiTheme="majorHAnsi" w:cstheme="majorBidi" w:eastAsiaTheme="majorEastAsia" w:hAnsiTheme="majorHAnsi"/>
      <w:i/>
      <w:iCs/>
      <w:color w:themeColor="accent1" w:themeShade="bf" w:val="2F5496"/>
      <w:kern w:val="0"/>
      <w14:ligatures w14:val="none"/>
    </w:rPr>
  </w:style>
  <w:style w:type="character" w:styleId="5" w:customStyle="1">
    <w:name w:val="Заголовок 5 Знак"/>
    <w:basedOn w:val="DefaultParagraphFont"/>
    <w:uiPriority w:val="9"/>
    <w:qFormat/>
    <w:rsid w:val="006b1c8d"/>
    <w:rPr>
      <w:rFonts w:ascii="Calibri Light" w:hAnsi="Calibri Light" w:eastAsia="" w:cs="Times New Roman" w:asciiTheme="majorHAnsi" w:cstheme="majorBidi" w:eastAsiaTheme="majorEastAsia" w:hAnsiTheme="majorHAnsi"/>
      <w:color w:themeColor="text2" w:themeShade="bf" w:val="323E4F"/>
      <w:kern w:val="0"/>
      <w:lang w:val="en-IE"/>
      <w14:ligatures w14:val="none"/>
    </w:rPr>
  </w:style>
  <w:style w:type="character" w:styleId="6" w:customStyle="1">
    <w:name w:val="Заголовок 6 Знак"/>
    <w:basedOn w:val="DefaultParagraphFont"/>
    <w:uiPriority w:val="9"/>
    <w:qFormat/>
    <w:rsid w:val="006b1c8d"/>
    <w:rPr>
      <w:rFonts w:ascii="Calibri Light" w:hAnsi="Calibri Light" w:eastAsia="" w:cs="Times New Roman" w:asciiTheme="majorHAnsi" w:cstheme="majorBidi" w:eastAsiaTheme="majorEastAsia" w:hAnsiTheme="majorHAnsi"/>
      <w:i/>
      <w:iCs/>
      <w:color w:themeColor="text2" w:themeShade="bf" w:val="323E4F"/>
      <w:kern w:val="0"/>
      <w:lang w:val="en-IE"/>
      <w14:ligatures w14:val="none"/>
    </w:rPr>
  </w:style>
  <w:style w:type="character" w:styleId="7" w:customStyle="1">
    <w:name w:val="Заголовок 7 Знак"/>
    <w:basedOn w:val="DefaultParagraphFont"/>
    <w:uiPriority w:val="9"/>
    <w:qFormat/>
    <w:rsid w:val="006b1c8d"/>
    <w:rPr>
      <w:rFonts w:ascii="Calibri Light" w:hAnsi="Calibri Light" w:eastAsia="" w:cs="Times New Roman" w:asciiTheme="majorHAnsi" w:cstheme="majorBidi" w:eastAsiaTheme="majorEastAsia" w:hAnsiTheme="majorHAnsi"/>
      <w:i/>
      <w:iCs/>
      <w:color w:themeColor="text1" w:themeTint="bf" w:val="404040"/>
      <w:kern w:val="0"/>
      <w:lang w:val="en-IE"/>
      <w14:ligatures w14:val="none"/>
    </w:rPr>
  </w:style>
  <w:style w:type="character" w:styleId="8" w:customStyle="1">
    <w:name w:val="Заголовок 8 Знак"/>
    <w:basedOn w:val="DefaultParagraphFont"/>
    <w:uiPriority w:val="9"/>
    <w:qFormat/>
    <w:rsid w:val="006b1c8d"/>
    <w:rPr>
      <w:rFonts w:ascii="Times New Roman" w:hAnsi="Times New Roman" w:eastAsia="Times New Roman" w:cs="Times New Roman"/>
      <w:i/>
      <w:iCs/>
      <w:kern w:val="0"/>
      <w:sz w:val="24"/>
      <w:szCs w:val="24"/>
      <w14:ligatures w14:val="none"/>
    </w:rPr>
  </w:style>
  <w:style w:type="character" w:styleId="9" w:customStyle="1">
    <w:name w:val="Заголовок 9 Знак"/>
    <w:basedOn w:val="DefaultParagraphFont"/>
    <w:uiPriority w:val="9"/>
    <w:semiHidden/>
    <w:qFormat/>
    <w:rsid w:val="006b1c8d"/>
    <w:rPr>
      <w:rFonts w:ascii="Calibri Light" w:hAnsi="Calibri Light" w:eastAsia="" w:cs="Times New Roman" w:asciiTheme="majorHAnsi" w:cstheme="majorBidi" w:eastAsiaTheme="majorEastAsia" w:hAnsiTheme="majorHAnsi"/>
      <w:i/>
      <w:iCs/>
      <w:color w:themeColor="text1" w:themeTint="bf" w:val="404040"/>
      <w:kern w:val="0"/>
      <w:sz w:val="20"/>
      <w:szCs w:val="20"/>
      <w:lang w:val="en-IE"/>
      <w14:ligatures w14:val="none"/>
    </w:rPr>
  </w:style>
  <w:style w:type="character" w:styleId="FollowedHyperlink">
    <w:name w:val="FollowedHyperlink"/>
    <w:basedOn w:val="DefaultParagraphFont"/>
    <w:uiPriority w:val="99"/>
    <w:semiHidden/>
    <w:unhideWhenUsed/>
    <w:rsid w:val="006b1c8d"/>
    <w:rPr>
      <w:color w:val="800080"/>
      <w:u w:val="single"/>
    </w:rPr>
  </w:style>
  <w:style w:type="character" w:styleId="Hyperlink1" w:customStyle="1">
    <w:name w:val="Hyperlink1"/>
    <w:uiPriority w:val="99"/>
    <w:unhideWhenUsed/>
    <w:qFormat/>
    <w:rsid w:val="006b1c8d"/>
    <w:rPr>
      <w:color w:val="0563C1"/>
      <w:u w:val="single"/>
    </w:rPr>
  </w:style>
  <w:style w:type="character" w:styleId="Strong">
    <w:name w:val="Strong"/>
    <w:basedOn w:val="DefaultParagraphFont"/>
    <w:uiPriority w:val="22"/>
    <w:qFormat/>
    <w:rsid w:val="006b1c8d"/>
    <w:rPr>
      <w:b/>
      <w:bCs/>
    </w:rPr>
  </w:style>
  <w:style w:type="character" w:styleId="PlaceholderText">
    <w:name w:val="Placeholder Text"/>
    <w:basedOn w:val="DefaultParagraphFont"/>
    <w:uiPriority w:val="99"/>
    <w:semiHidden/>
    <w:qFormat/>
    <w:rsid w:val="006b1c8d"/>
    <w:rPr>
      <w:color w:val="808080"/>
    </w:rPr>
  </w:style>
  <w:style w:type="character" w:styleId="Style9" w:customStyle="1">
    <w:name w:val="Без інтервалів Знак"/>
    <w:link w:val="NoSpacing"/>
    <w:uiPriority w:val="1"/>
    <w:qFormat/>
    <w:rsid w:val="006b1c8d"/>
    <w:rPr>
      <w:rFonts w:ascii="Calibri" w:hAnsi="Calibri" w:eastAsia="Times New Roman" w:cs="Arial"/>
    </w:rPr>
  </w:style>
  <w:style w:type="character" w:styleId="Style10" w:customStyle="1">
    <w:name w:val="Верхній колонтитул Знак"/>
    <w:basedOn w:val="DefaultParagraphFont"/>
    <w:uiPriority w:val="99"/>
    <w:qFormat/>
    <w:rsid w:val="006b1c8d"/>
    <w:rPr/>
  </w:style>
  <w:style w:type="character" w:styleId="Style11" w:customStyle="1">
    <w:name w:val="Нижній колонтитул Знак"/>
    <w:basedOn w:val="DefaultParagraphFont"/>
    <w:uiPriority w:val="99"/>
    <w:qFormat/>
    <w:rsid w:val="006b1c8d"/>
    <w:rPr/>
  </w:style>
  <w:style w:type="character" w:styleId="UnresolvedMention1" w:customStyle="1">
    <w:name w:val="Unresolved Mention1"/>
    <w:basedOn w:val="DefaultParagraphFont"/>
    <w:uiPriority w:val="99"/>
    <w:semiHidden/>
    <w:unhideWhenUsed/>
    <w:qFormat/>
    <w:rsid w:val="006b1c8d"/>
    <w:rPr>
      <w:color w:val="605E5C"/>
      <w:shd w:fill="E1DFDD" w:val="clear"/>
    </w:rPr>
  </w:style>
  <w:style w:type="character" w:styleId="IntenseEmphasis1" w:customStyle="1">
    <w:name w:val="Intense Emphasis1"/>
    <w:uiPriority w:val="21"/>
    <w:qFormat/>
    <w:rsid w:val="006b1c8d"/>
    <w:rPr>
      <w:i/>
      <w:iCs/>
      <w:color w:val="90C226"/>
    </w:rPr>
  </w:style>
  <w:style w:type="character" w:styleId="Style12" w:customStyle="1">
    <w:name w:val="Тема примітки Знак"/>
    <w:basedOn w:val="Style8"/>
    <w:link w:val="Annotationsubject"/>
    <w:uiPriority w:val="99"/>
    <w:semiHidden/>
    <w:qFormat/>
    <w:rsid w:val="006b1c8d"/>
    <w:rPr>
      <w:b/>
      <w:bCs/>
      <w:sz w:val="20"/>
      <w:szCs w:val="20"/>
    </w:rPr>
  </w:style>
  <w:style w:type="character" w:styleId="Style13" w:customStyle="1">
    <w:name w:val="Текст у виносці Знак"/>
    <w:basedOn w:val="DefaultParagraphFont"/>
    <w:link w:val="BalloonText"/>
    <w:uiPriority w:val="99"/>
    <w:semiHidden/>
    <w:qFormat/>
    <w:rsid w:val="006b1c8d"/>
    <w:rPr>
      <w:rFonts w:ascii="Segoe UI" w:hAnsi="Segoe UI" w:cs="Segoe UI"/>
      <w:sz w:val="18"/>
      <w:szCs w:val="18"/>
    </w:rPr>
  </w:style>
  <w:style w:type="character" w:styleId="A3" w:customStyle="1">
    <w:name w:val="A3"/>
    <w:uiPriority w:val="99"/>
    <w:qFormat/>
    <w:rsid w:val="006b1c8d"/>
    <w:rPr>
      <w:rFonts w:cs="Avenir Next"/>
      <w:color w:val="000000"/>
      <w:sz w:val="20"/>
      <w:szCs w:val="20"/>
    </w:rPr>
  </w:style>
  <w:style w:type="character" w:styleId="21" w:customStyle="1">
    <w:name w:val="Основний текст 2 Знак"/>
    <w:basedOn w:val="DefaultParagraphFont"/>
    <w:link w:val="BodyText2"/>
    <w:uiPriority w:val="99"/>
    <w:qFormat/>
    <w:rsid w:val="006b1c8d"/>
    <w:rPr>
      <w:rFonts w:ascii="Arial" w:hAnsi="Arial" w:eastAsia="Times New Roman" w:cs="Times New Roman"/>
      <w:color w:val="0000FF"/>
      <w:sz w:val="24"/>
      <w:szCs w:val="20"/>
    </w:rPr>
  </w:style>
  <w:style w:type="character" w:styleId="Style14" w:customStyle="1">
    <w:name w:val="Основний текст з відступом Знак"/>
    <w:basedOn w:val="DefaultParagraphFont"/>
    <w:uiPriority w:val="99"/>
    <w:qFormat/>
    <w:rsid w:val="006b1c8d"/>
    <w:rPr/>
  </w:style>
  <w:style w:type="character" w:styleId="22" w:customStyle="1">
    <w:name w:val="Основний текст з відступом 2 Знак"/>
    <w:basedOn w:val="DefaultParagraphFont"/>
    <w:link w:val="BodyTextIndent2"/>
    <w:uiPriority w:val="99"/>
    <w:semiHidden/>
    <w:qFormat/>
    <w:rsid w:val="006b1c8d"/>
    <w:rPr/>
  </w:style>
  <w:style w:type="character" w:styleId="UnresolvedMention2" w:customStyle="1">
    <w:name w:val="Unresolved Mention2"/>
    <w:basedOn w:val="DefaultParagraphFont"/>
    <w:uiPriority w:val="99"/>
    <w:semiHidden/>
    <w:unhideWhenUsed/>
    <w:qFormat/>
    <w:rsid w:val="006b1c8d"/>
    <w:rPr>
      <w:color w:val="605E5C"/>
      <w:shd w:fill="E1DFDD" w:val="clear"/>
    </w:rPr>
  </w:style>
  <w:style w:type="character" w:styleId="15" w:customStyle="1">
    <w:name w:val="15"/>
    <w:basedOn w:val="DefaultParagraphFont"/>
    <w:qFormat/>
    <w:rsid w:val="006b1c8d"/>
    <w:rPr>
      <w:rFonts w:ascii="Calibri" w:hAnsi="Calibri" w:cs="Calibri"/>
      <w:color w:val="6B9F25"/>
      <w:u w:val="single"/>
    </w:rPr>
  </w:style>
  <w:style w:type="character" w:styleId="UnresolvedMention3" w:customStyle="1">
    <w:name w:val="Unresolved Mention3"/>
    <w:basedOn w:val="DefaultParagraphFont"/>
    <w:uiPriority w:val="99"/>
    <w:semiHidden/>
    <w:unhideWhenUsed/>
    <w:qFormat/>
    <w:rsid w:val="006b1c8d"/>
    <w:rPr>
      <w:color w:val="605E5C"/>
      <w:shd w:fill="E1DFDD" w:val="clear"/>
    </w:rPr>
  </w:style>
  <w:style w:type="character" w:styleId="Style15" w:customStyle="1">
    <w:name w:val="Основний текст Знак"/>
    <w:basedOn w:val="DefaultParagraphFont"/>
    <w:qFormat/>
    <w:rsid w:val="006b1c8d"/>
    <w:rPr>
      <w:rFonts w:ascii="Calibri" w:hAnsi="Calibri" w:eastAsia="Times New Roman" w:cs="Calibri"/>
      <w:lang w:val="en-GB" w:eastAsia="en-GB"/>
    </w:rPr>
  </w:style>
  <w:style w:type="character" w:styleId="ListParagraphChar1" w:customStyle="1">
    <w:name w:val="List Paragraph Char1"/>
    <w:basedOn w:val="DefaultParagraphFont"/>
    <w:uiPriority w:val="34"/>
    <w:qFormat/>
    <w:locked/>
    <w:rsid w:val="006b1c8d"/>
    <w:rPr>
      <w:lang w:val="en-GB"/>
    </w:rPr>
  </w:style>
  <w:style w:type="character" w:styleId="UnresolvedMention4" w:customStyle="1">
    <w:name w:val="Unresolved Mention4"/>
    <w:basedOn w:val="DefaultParagraphFont"/>
    <w:uiPriority w:val="99"/>
    <w:semiHidden/>
    <w:unhideWhenUsed/>
    <w:qFormat/>
    <w:rsid w:val="006b1c8d"/>
    <w:rPr>
      <w:color w:val="605E5C"/>
      <w:shd w:fill="E1DFDD" w:val="clear"/>
    </w:rPr>
  </w:style>
  <w:style w:type="character" w:styleId="Pagenumber">
    <w:name w:val="page number"/>
    <w:basedOn w:val="DefaultParagraphFont"/>
    <w:uiPriority w:val="99"/>
    <w:semiHidden/>
    <w:unhideWhenUsed/>
    <w:qFormat/>
    <w:rsid w:val="006b1c8d"/>
    <w:rPr/>
  </w:style>
  <w:style w:type="character" w:styleId="ColorfulList-Accent1Char" w:customStyle="1">
    <w:name w:val="Colorful List - Accent 1 Char"/>
    <w:link w:val="ColorfulList-Accent11"/>
    <w:uiPriority w:val="34"/>
    <w:qFormat/>
    <w:locked/>
    <w:rsid w:val="006b1c8d"/>
    <w:rPr>
      <w:rFonts w:ascii="Calibri" w:hAnsi="Calibri" w:eastAsia="Calibri"/>
    </w:rPr>
  </w:style>
  <w:style w:type="character" w:styleId="Style16" w:customStyle="1">
    <w:name w:val="Назва Знак"/>
    <w:basedOn w:val="DefaultParagraphFont"/>
    <w:uiPriority w:val="10"/>
    <w:qFormat/>
    <w:rsid w:val="006b1c8d"/>
    <w:rPr>
      <w:rFonts w:ascii="Calibri Light" w:hAnsi="Calibri Light" w:eastAsia="" w:cs="Times New Roman" w:asciiTheme="majorHAnsi" w:cstheme="majorBidi" w:eastAsiaTheme="majorEastAsia" w:hAnsiTheme="majorHAnsi"/>
      <w:spacing w:val="-10"/>
      <w:sz w:val="56"/>
      <w:szCs w:val="56"/>
    </w:rPr>
  </w:style>
  <w:style w:type="character" w:styleId="Style17" w:customStyle="1">
    <w:name w:val="Підзаголовок Знак"/>
    <w:basedOn w:val="DefaultParagraphFont"/>
    <w:uiPriority w:val="11"/>
    <w:qFormat/>
    <w:rsid w:val="006b1c8d"/>
    <w:rPr>
      <w:rFonts w:eastAsia="" w:cs="Times New Roman" w:cstheme="majorBidi" w:eastAsiaTheme="majorEastAsia"/>
      <w:color w:themeColor="text1" w:themeTint="a6" w:val="595959"/>
      <w:spacing w:val="15"/>
      <w:sz w:val="28"/>
      <w:szCs w:val="28"/>
    </w:rPr>
  </w:style>
  <w:style w:type="character" w:styleId="Style18" w:customStyle="1">
    <w:name w:val="Цитація Знак"/>
    <w:basedOn w:val="DefaultParagraphFont"/>
    <w:link w:val="Quote"/>
    <w:uiPriority w:val="29"/>
    <w:qFormat/>
    <w:rsid w:val="006b1c8d"/>
    <w:rPr>
      <w:i/>
      <w:iCs/>
      <w:color w:themeColor="text1" w:themeTint="bf" w:val="404040"/>
    </w:rPr>
  </w:style>
  <w:style w:type="character" w:styleId="IntenseEmphasis">
    <w:name w:val="Intense Emphasis"/>
    <w:basedOn w:val="DefaultParagraphFont"/>
    <w:uiPriority w:val="21"/>
    <w:qFormat/>
    <w:rsid w:val="006b1c8d"/>
    <w:rPr>
      <w:i/>
      <w:iCs/>
      <w:color w:themeColor="accent1" w:themeShade="bf" w:val="2F5496"/>
    </w:rPr>
  </w:style>
  <w:style w:type="character" w:styleId="Style19" w:customStyle="1">
    <w:name w:val="Насичена цитата Знак"/>
    <w:basedOn w:val="DefaultParagraphFont"/>
    <w:link w:val="IntenseQuote"/>
    <w:uiPriority w:val="30"/>
    <w:qFormat/>
    <w:rsid w:val="006b1c8d"/>
    <w:rPr>
      <w:i/>
      <w:iCs/>
      <w:color w:themeColor="accent1" w:themeShade="bf" w:val="2F5496"/>
    </w:rPr>
  </w:style>
  <w:style w:type="character" w:styleId="IntenseReference">
    <w:name w:val="Intense Reference"/>
    <w:basedOn w:val="DefaultParagraphFont"/>
    <w:uiPriority w:val="32"/>
    <w:qFormat/>
    <w:rsid w:val="006b1c8d"/>
    <w:rPr>
      <w:b/>
      <w:bCs/>
      <w:smallCaps/>
      <w:color w:themeColor="accent1" w:themeShade="bf" w:val="2F5496"/>
      <w:spacing w:val="5"/>
    </w:rPr>
  </w:style>
  <w:style w:type="character" w:styleId="Style20" w:customStyle="1">
    <w:name w:val="Посилання покажчика"/>
    <w:qFormat/>
    <w:rsid w:val="006b1c8d"/>
    <w:rPr/>
  </w:style>
  <w:style w:type="character" w:styleId="Style21">
    <w:name w:val="Символи кінцевої виноски"/>
    <w:qFormat/>
    <w:rsid w:val="006b1c8d"/>
    <w:rPr>
      <w:vertAlign w:val="superscript"/>
    </w:rPr>
  </w:style>
  <w:style w:type="character" w:styleId="EndnoteReference">
    <w:name w:val="Endnote Reference"/>
    <w:rPr>
      <w:vertAlign w:val="superscript"/>
    </w:rPr>
  </w:style>
  <w:style w:type="character" w:styleId="EndnoteCharacters" w:customStyle="1">
    <w:name w:val="Endnote Characters"/>
    <w:qFormat/>
    <w:rsid w:val="006b1c8d"/>
    <w:rPr/>
  </w:style>
  <w:style w:type="character" w:styleId="BodyTextChar1" w:customStyle="1">
    <w:name w:val="Body Text Char1"/>
    <w:basedOn w:val="DefaultParagraphFont"/>
    <w:uiPriority w:val="99"/>
    <w:semiHidden/>
    <w:qFormat/>
    <w:rsid w:val="006b1c8d"/>
    <w:rPr>
      <w:kern w:val="0"/>
      <w14:ligatures w14:val="none"/>
    </w:rPr>
  </w:style>
  <w:style w:type="character" w:styleId="BalloonTextChar1" w:customStyle="1">
    <w:name w:val="Balloon Text Char1"/>
    <w:basedOn w:val="DefaultParagraphFont"/>
    <w:uiPriority w:val="99"/>
    <w:semiHidden/>
    <w:qFormat/>
    <w:rsid w:val="006b1c8d"/>
    <w:rPr>
      <w:rFonts w:ascii="Segoe UI" w:hAnsi="Segoe UI" w:cs="Segoe UI"/>
      <w:kern w:val="0"/>
      <w:sz w:val="18"/>
      <w:szCs w:val="18"/>
      <w14:ligatures w14:val="none"/>
    </w:rPr>
  </w:style>
  <w:style w:type="character" w:styleId="BodyText2Char1" w:customStyle="1">
    <w:name w:val="Body Text 2 Char1"/>
    <w:basedOn w:val="DefaultParagraphFont"/>
    <w:uiPriority w:val="99"/>
    <w:semiHidden/>
    <w:qFormat/>
    <w:rsid w:val="006b1c8d"/>
    <w:rPr>
      <w:kern w:val="0"/>
      <w14:ligatures w14:val="none"/>
    </w:rPr>
  </w:style>
  <w:style w:type="character" w:styleId="BodyTextIndentChar1" w:customStyle="1">
    <w:name w:val="Body Text Indent Char1"/>
    <w:basedOn w:val="DefaultParagraphFont"/>
    <w:uiPriority w:val="99"/>
    <w:semiHidden/>
    <w:qFormat/>
    <w:rsid w:val="006b1c8d"/>
    <w:rPr>
      <w:kern w:val="0"/>
      <w14:ligatures w14:val="none"/>
    </w:rPr>
  </w:style>
  <w:style w:type="character" w:styleId="BodyTextIndent2Char1" w:customStyle="1">
    <w:name w:val="Body Text Indent 2 Char1"/>
    <w:basedOn w:val="DefaultParagraphFont"/>
    <w:uiPriority w:val="99"/>
    <w:semiHidden/>
    <w:qFormat/>
    <w:rsid w:val="006b1c8d"/>
    <w:rPr>
      <w:kern w:val="0"/>
      <w14:ligatures w14:val="none"/>
    </w:rPr>
  </w:style>
  <w:style w:type="character" w:styleId="CommentSubjectChar1" w:customStyle="1">
    <w:name w:val="Comment Subject Char1"/>
    <w:basedOn w:val="Style8"/>
    <w:uiPriority w:val="99"/>
    <w:semiHidden/>
    <w:qFormat/>
    <w:rsid w:val="006b1c8d"/>
    <w:rPr>
      <w:b/>
      <w:bCs/>
      <w:kern w:val="0"/>
      <w:sz w:val="20"/>
      <w:szCs w:val="20"/>
      <w14:ligatures w14:val="none"/>
    </w:rPr>
  </w:style>
  <w:style w:type="character" w:styleId="FooterChar1" w:customStyle="1">
    <w:name w:val="Footer Char1"/>
    <w:basedOn w:val="DefaultParagraphFont"/>
    <w:uiPriority w:val="99"/>
    <w:semiHidden/>
    <w:qFormat/>
    <w:rsid w:val="006b1c8d"/>
    <w:rPr>
      <w:kern w:val="0"/>
      <w14:ligatures w14:val="none"/>
    </w:rPr>
  </w:style>
  <w:style w:type="character" w:styleId="HeaderChar1" w:customStyle="1">
    <w:name w:val="Header Char1"/>
    <w:basedOn w:val="DefaultParagraphFont"/>
    <w:uiPriority w:val="99"/>
    <w:semiHidden/>
    <w:qFormat/>
    <w:rsid w:val="006b1c8d"/>
    <w:rPr>
      <w:kern w:val="0"/>
      <w14:ligatures w14:val="none"/>
    </w:rPr>
  </w:style>
  <w:style w:type="character" w:styleId="TitleChar1" w:customStyle="1">
    <w:name w:val="Title Char1"/>
    <w:basedOn w:val="DefaultParagraphFont"/>
    <w:uiPriority w:val="10"/>
    <w:qFormat/>
    <w:rsid w:val="006b1c8d"/>
    <w:rPr>
      <w:rFonts w:ascii="Calibri Light" w:hAnsi="Calibri Light" w:eastAsia="" w:cs="Times New Roman" w:asciiTheme="majorHAnsi" w:cstheme="majorBidi" w:eastAsiaTheme="majorEastAsia" w:hAnsiTheme="majorHAnsi"/>
      <w:spacing w:val="-10"/>
      <w:kern w:val="2"/>
      <w:sz w:val="56"/>
      <w:szCs w:val="56"/>
      <w14:ligatures w14:val="none"/>
    </w:rPr>
  </w:style>
  <w:style w:type="character" w:styleId="SubtitleChar1" w:customStyle="1">
    <w:name w:val="Subtitle Char1"/>
    <w:basedOn w:val="DefaultParagraphFont"/>
    <w:uiPriority w:val="11"/>
    <w:qFormat/>
    <w:rsid w:val="006b1c8d"/>
    <w:rPr>
      <w:rFonts w:eastAsia="" w:eastAsiaTheme="minorEastAsia"/>
      <w:color w:themeColor="text1" w:themeTint="a5" w:val="5A5A5A"/>
      <w:spacing w:val="15"/>
      <w:kern w:val="0"/>
      <w14:ligatures w14:val="none"/>
    </w:rPr>
  </w:style>
  <w:style w:type="character" w:styleId="QuoteChar1" w:customStyle="1">
    <w:name w:val="Quote Char1"/>
    <w:basedOn w:val="DefaultParagraphFont"/>
    <w:uiPriority w:val="29"/>
    <w:qFormat/>
    <w:rsid w:val="006b1c8d"/>
    <w:rPr>
      <w:i/>
      <w:iCs/>
      <w:color w:themeColor="text1" w:themeTint="bf" w:val="404040"/>
      <w:kern w:val="0"/>
      <w14:ligatures w14:val="none"/>
    </w:rPr>
  </w:style>
  <w:style w:type="character" w:styleId="IntenseQuoteChar1" w:customStyle="1">
    <w:name w:val="Intense Quote Char1"/>
    <w:basedOn w:val="DefaultParagraphFont"/>
    <w:uiPriority w:val="30"/>
    <w:qFormat/>
    <w:rsid w:val="006b1c8d"/>
    <w:rPr>
      <w:i/>
      <w:iCs/>
      <w:color w:themeColor="accent1" w:val="4472C4"/>
      <w:kern w:val="0"/>
      <w14:ligatures w14:val="none"/>
    </w:rPr>
  </w:style>
  <w:style w:type="character" w:styleId="Hyperlink">
    <w:name w:val="Hyperlink"/>
    <w:basedOn w:val="DefaultParagraphFont"/>
    <w:uiPriority w:val="99"/>
    <w:unhideWhenUsed/>
    <w:rsid w:val="009c71df"/>
    <w:rPr>
      <w:color w:themeColor="hyperlink" w:val="0563C1"/>
      <w:u w:val="single"/>
    </w:rPr>
  </w:style>
  <w:style w:type="character" w:styleId="11" w:customStyle="1">
    <w:name w:val="Основний текст (11)_"/>
    <w:basedOn w:val="DefaultParagraphFont"/>
    <w:link w:val="111"/>
    <w:qFormat/>
    <w:rsid w:val="001c77e3"/>
    <w:rPr>
      <w:rFonts w:ascii="Arial" w:hAnsi="Arial" w:eastAsia="Arial" w:cs="Arial"/>
      <w:color w:val="8980A0"/>
      <w:sz w:val="10"/>
      <w:szCs w:val="10"/>
    </w:rPr>
  </w:style>
  <w:style w:type="character" w:styleId="Style22" w:customStyle="1">
    <w:name w:val="Інше_"/>
    <w:basedOn w:val="DefaultParagraphFont"/>
    <w:link w:val="Style26"/>
    <w:qFormat/>
    <w:rsid w:val="001c77e3"/>
    <w:rPr>
      <w:rFonts w:ascii="Calibri" w:hAnsi="Calibri" w:eastAsia="Calibri" w:cs="Calibri"/>
      <w:color w:val="595959"/>
      <w:sz w:val="18"/>
      <w:szCs w:val="18"/>
    </w:rPr>
  </w:style>
  <w:style w:type="character" w:styleId="81" w:customStyle="1">
    <w:name w:val="Основний текст (8)_"/>
    <w:basedOn w:val="DefaultParagraphFont"/>
    <w:link w:val="82"/>
    <w:qFormat/>
    <w:rsid w:val="00e9263c"/>
    <w:rPr>
      <w:rFonts w:ascii="Arial" w:hAnsi="Arial" w:eastAsia="Arial" w:cs="Arial"/>
      <w:color w:val="7F7F7F"/>
      <w:sz w:val="14"/>
      <w:szCs w:val="14"/>
    </w:rPr>
  </w:style>
  <w:style w:type="character" w:styleId="12" w:customStyle="1">
    <w:name w:val="Основний текст (12)_"/>
    <w:basedOn w:val="DefaultParagraphFont"/>
    <w:link w:val="121"/>
    <w:qFormat/>
    <w:rsid w:val="00dc4c6a"/>
    <w:rPr>
      <w:rFonts w:ascii="Arial" w:hAnsi="Arial" w:eastAsia="Arial" w:cs="Arial"/>
      <w:color w:val="404040"/>
      <w:sz w:val="13"/>
      <w:szCs w:val="13"/>
    </w:rPr>
  </w:style>
  <w:style w:type="paragraph" w:styleId="Style23" w:customStyle="1">
    <w:name w:val="Заголовок"/>
    <w:basedOn w:val="Normal"/>
    <w:next w:val="BodyText"/>
    <w:qFormat/>
    <w:rsid w:val="006b1c8d"/>
    <w:pPr>
      <w:keepNext w:val="true"/>
      <w:spacing w:before="240" w:after="120"/>
    </w:pPr>
    <w:rPr>
      <w:rFonts w:ascii="Carlito" w:hAnsi="Carlito" w:eastAsia="DejaVu Sans" w:cs="DejaVu Sans"/>
      <w:sz w:val="28"/>
      <w:szCs w:val="28"/>
    </w:rPr>
  </w:style>
  <w:style w:type="paragraph" w:styleId="BodyText">
    <w:name w:val="Body Text"/>
    <w:basedOn w:val="Normal"/>
    <w:link w:val="Style15"/>
    <w:unhideWhenUsed/>
    <w:rsid w:val="006b1c8d"/>
    <w:pPr>
      <w:spacing w:lineRule="auto" w:line="252" w:beforeAutospacing="1" w:after="120"/>
    </w:pPr>
    <w:rPr>
      <w:rFonts w:ascii="Calibri" w:hAnsi="Calibri" w:eastAsia="Times New Roman" w:cs="Calibri"/>
      <w:kern w:val="2"/>
      <w:lang w:val="en-GB" w:eastAsia="en-GB"/>
      <w14:ligatures w14:val="standardContextual"/>
    </w:rPr>
  </w:style>
  <w:style w:type="paragraph" w:styleId="List">
    <w:name w:val="List"/>
    <w:basedOn w:val="BodyText"/>
    <w:rsid w:val="006b1c8d"/>
    <w:pPr/>
    <w:rPr/>
  </w:style>
  <w:style w:type="paragraph" w:styleId="Caption">
    <w:name w:val="Caption"/>
    <w:basedOn w:val="Normal"/>
    <w:qFormat/>
    <w:pPr>
      <w:suppressLineNumbers/>
      <w:spacing w:before="120" w:after="120"/>
    </w:pPr>
    <w:rPr>
      <w:rFonts w:cs="Lucida Sans"/>
      <w:i/>
      <w:iCs/>
      <w:sz w:val="24"/>
      <w:szCs w:val="24"/>
    </w:rPr>
  </w:style>
  <w:style w:type="paragraph" w:styleId="Style24" w:customStyle="1">
    <w:name w:val="Покажчик"/>
    <w:basedOn w:val="Normal"/>
    <w:qFormat/>
    <w:rsid w:val="006b1c8d"/>
    <w:pPr>
      <w:suppressLineNumbers/>
    </w:pPr>
    <w:rPr/>
  </w:style>
  <w:style w:type="paragraph" w:styleId="FootnoteText">
    <w:name w:val="Footnote Text"/>
    <w:basedOn w:val="Normal"/>
    <w:link w:val="Style6"/>
    <w:uiPriority w:val="99"/>
    <w:unhideWhenUsed/>
    <w:qFormat/>
    <w:rsid w:val="000d1ace"/>
    <w:pPr>
      <w:spacing w:lineRule="auto" w:line="240" w:before="0" w:after="0"/>
    </w:pPr>
    <w:rPr>
      <w:sz w:val="20"/>
      <w:szCs w:val="20"/>
      <w:lang w:val="en-GB"/>
    </w:rPr>
  </w:style>
  <w:style w:type="paragraph" w:styleId="Caption1" w:customStyle="1">
    <w:name w:val="caption1"/>
    <w:basedOn w:val="Normal"/>
    <w:next w:val="Normal"/>
    <w:link w:val="CaptionChar"/>
    <w:uiPriority w:val="35"/>
    <w:unhideWhenUsed/>
    <w:qFormat/>
    <w:rsid w:val="00941fa4"/>
    <w:pPr>
      <w:spacing w:lineRule="auto" w:line="240" w:before="0" w:after="200"/>
    </w:pPr>
    <w:rPr>
      <w:i/>
      <w:iCs/>
      <w:color w:themeColor="text2" w:val="44546A"/>
      <w:sz w:val="18"/>
      <w:szCs w:val="18"/>
    </w:rPr>
  </w:style>
  <w:style w:type="paragraph" w:styleId="ListParagraph">
    <w:name w:val="List Paragraph"/>
    <w:basedOn w:val="Normal"/>
    <w:link w:val="Style7"/>
    <w:uiPriority w:val="34"/>
    <w:qFormat/>
    <w:rsid w:val="009850b4"/>
    <w:pPr>
      <w:spacing w:before="0" w:after="160"/>
      <w:ind w:left="720"/>
      <w:contextualSpacing/>
    </w:pPr>
    <w:rPr/>
  </w:style>
  <w:style w:type="paragraph" w:styleId="Annotationtext">
    <w:name w:val="annotation text"/>
    <w:basedOn w:val="Normal"/>
    <w:link w:val="Style8"/>
    <w:uiPriority w:val="99"/>
    <w:unhideWhenUsed/>
    <w:qFormat/>
    <w:rsid w:val="00fa6f7b"/>
    <w:pPr>
      <w:spacing w:lineRule="auto" w:line="240"/>
    </w:pPr>
    <w:rPr>
      <w:kern w:val="2"/>
      <w:sz w:val="20"/>
      <w:szCs w:val="20"/>
      <w14:ligatures w14:val="standardContextual"/>
    </w:rPr>
  </w:style>
  <w:style w:type="paragraph" w:styleId="Caption2">
    <w:name w:val="caption2"/>
    <w:basedOn w:val="Normal"/>
    <w:qFormat/>
    <w:rsid w:val="006b1c8d"/>
    <w:pPr>
      <w:suppressLineNumbers/>
      <w:spacing w:before="120" w:after="120"/>
    </w:pPr>
    <w:rPr>
      <w:i/>
      <w:iCs/>
      <w:sz w:val="24"/>
      <w:szCs w:val="24"/>
    </w:rPr>
  </w:style>
  <w:style w:type="paragraph" w:styleId="BalloonText">
    <w:name w:val="Balloon Text"/>
    <w:basedOn w:val="Normal"/>
    <w:link w:val="Style13"/>
    <w:uiPriority w:val="99"/>
    <w:semiHidden/>
    <w:unhideWhenUsed/>
    <w:qFormat/>
    <w:rsid w:val="006b1c8d"/>
    <w:pPr>
      <w:spacing w:lineRule="auto" w:line="240" w:before="0" w:after="0"/>
    </w:pPr>
    <w:rPr>
      <w:rFonts w:ascii="Segoe UI" w:hAnsi="Segoe UI" w:cs="Segoe UI"/>
      <w:kern w:val="2"/>
      <w:sz w:val="18"/>
      <w:szCs w:val="18"/>
      <w14:ligatures w14:val="standardContextual"/>
    </w:rPr>
  </w:style>
  <w:style w:type="paragraph" w:styleId="BodyText2">
    <w:name w:val="Body Text 2"/>
    <w:basedOn w:val="Normal"/>
    <w:link w:val="21"/>
    <w:uiPriority w:val="99"/>
    <w:qFormat/>
    <w:rsid w:val="006b1c8d"/>
    <w:pPr>
      <w:spacing w:lineRule="auto" w:line="360" w:before="0" w:after="0"/>
      <w:jc w:val="both"/>
    </w:pPr>
    <w:rPr>
      <w:rFonts w:ascii="Arial" w:hAnsi="Arial" w:eastAsia="Times New Roman" w:cs="Times New Roman"/>
      <w:color w:val="0000FF"/>
      <w:kern w:val="2"/>
      <w:sz w:val="24"/>
      <w:szCs w:val="20"/>
      <w14:ligatures w14:val="standardContextual"/>
    </w:rPr>
  </w:style>
  <w:style w:type="paragraph" w:styleId="BodyTextIndent">
    <w:name w:val="Body Text Indent"/>
    <w:basedOn w:val="Normal"/>
    <w:link w:val="Style14"/>
    <w:uiPriority w:val="99"/>
    <w:unhideWhenUsed/>
    <w:qFormat/>
    <w:rsid w:val="006b1c8d"/>
    <w:pPr>
      <w:spacing w:before="0" w:after="120"/>
      <w:ind w:left="360"/>
    </w:pPr>
    <w:rPr>
      <w:kern w:val="2"/>
      <w14:ligatures w14:val="standardContextual"/>
    </w:rPr>
  </w:style>
  <w:style w:type="paragraph" w:styleId="BodyTextIndent2">
    <w:name w:val="Body Text Indent 2"/>
    <w:basedOn w:val="Normal"/>
    <w:link w:val="22"/>
    <w:uiPriority w:val="99"/>
    <w:semiHidden/>
    <w:unhideWhenUsed/>
    <w:qFormat/>
    <w:rsid w:val="006b1c8d"/>
    <w:pPr>
      <w:spacing w:lineRule="auto" w:line="480" w:before="0" w:after="120"/>
      <w:ind w:left="360"/>
    </w:pPr>
    <w:rPr>
      <w:kern w:val="2"/>
      <w14:ligatures w14:val="standardContextual"/>
    </w:rPr>
  </w:style>
  <w:style w:type="paragraph" w:styleId="Annotationsubject">
    <w:name w:val="annotation subject"/>
    <w:basedOn w:val="Annotationtext"/>
    <w:next w:val="Annotationtext"/>
    <w:link w:val="Style12"/>
    <w:uiPriority w:val="99"/>
    <w:semiHidden/>
    <w:unhideWhenUsed/>
    <w:qFormat/>
    <w:rsid w:val="006b1c8d"/>
    <w:pPr/>
    <w:rPr>
      <w:b/>
      <w:bCs/>
    </w:rPr>
  </w:style>
  <w:style w:type="paragraph" w:styleId="Style25" w:customStyle="1">
    <w:name w:val="Верхній і нижній колонтитули"/>
    <w:basedOn w:val="Normal"/>
    <w:qFormat/>
    <w:rsid w:val="006b1c8d"/>
    <w:pPr/>
    <w:rPr/>
  </w:style>
  <w:style w:type="paragraph" w:styleId="Footer">
    <w:name w:val="Footer"/>
    <w:basedOn w:val="Normal"/>
    <w:link w:val="Style11"/>
    <w:uiPriority w:val="99"/>
    <w:unhideWhenUsed/>
    <w:qFormat/>
    <w:rsid w:val="006b1c8d"/>
    <w:pPr>
      <w:tabs>
        <w:tab w:val="clear" w:pos="720"/>
        <w:tab w:val="center" w:pos="4680" w:leader="none"/>
        <w:tab w:val="right" w:pos="9360" w:leader="none"/>
      </w:tabs>
      <w:spacing w:lineRule="auto" w:line="240" w:before="0" w:after="0"/>
    </w:pPr>
    <w:rPr>
      <w:kern w:val="2"/>
      <w14:ligatures w14:val="standardContextual"/>
    </w:rPr>
  </w:style>
  <w:style w:type="paragraph" w:styleId="Header">
    <w:name w:val="Header"/>
    <w:basedOn w:val="Normal"/>
    <w:link w:val="Style10"/>
    <w:uiPriority w:val="99"/>
    <w:unhideWhenUsed/>
    <w:qFormat/>
    <w:rsid w:val="006b1c8d"/>
    <w:pPr>
      <w:tabs>
        <w:tab w:val="clear" w:pos="720"/>
        <w:tab w:val="center" w:pos="4680" w:leader="none"/>
        <w:tab w:val="right" w:pos="9360" w:leader="none"/>
      </w:tabs>
      <w:spacing w:lineRule="auto" w:line="240" w:before="0" w:after="0"/>
    </w:pPr>
    <w:rPr>
      <w:kern w:val="2"/>
      <w14:ligatures w14:val="standardContextual"/>
    </w:rPr>
  </w:style>
  <w:style w:type="paragraph" w:styleId="NormalWeb">
    <w:name w:val="Normal (Web)"/>
    <w:basedOn w:val="Normal"/>
    <w:uiPriority w:val="99"/>
    <w:semiHidden/>
    <w:unhideWhenUsed/>
    <w:qFormat/>
    <w:rsid w:val="006b1c8d"/>
    <w:pPr>
      <w:spacing w:lineRule="auto" w:line="240" w:beforeAutospacing="1" w:afterAutospacing="1"/>
    </w:pPr>
    <w:rPr>
      <w:rFonts w:ascii="Times New Roman" w:hAnsi="Times New Roman" w:eastAsia="Times New Roman" w:cs="Times New Roman"/>
      <w:sz w:val="24"/>
      <w:szCs w:val="24"/>
    </w:rPr>
  </w:style>
  <w:style w:type="paragraph" w:styleId="TOC1">
    <w:name w:val="TOC 1"/>
    <w:basedOn w:val="Normal"/>
    <w:next w:val="Normal"/>
    <w:uiPriority w:val="39"/>
    <w:unhideWhenUsed/>
    <w:qFormat/>
    <w:rsid w:val="006b1c8d"/>
    <w:pPr>
      <w:spacing w:before="0" w:after="100"/>
    </w:pPr>
    <w:rPr>
      <w:lang w:val="en-GB"/>
    </w:rPr>
  </w:style>
  <w:style w:type="paragraph" w:styleId="TOC2">
    <w:name w:val="TOC 2"/>
    <w:basedOn w:val="Normal"/>
    <w:next w:val="Normal"/>
    <w:uiPriority w:val="39"/>
    <w:unhideWhenUsed/>
    <w:qFormat/>
    <w:rsid w:val="006b1c8d"/>
    <w:pPr>
      <w:spacing w:before="0" w:after="100"/>
      <w:ind w:left="220"/>
    </w:pPr>
    <w:rPr>
      <w:lang w:val="en-GB"/>
    </w:rPr>
  </w:style>
  <w:style w:type="paragraph" w:styleId="TOC3">
    <w:name w:val="TOC 3"/>
    <w:basedOn w:val="Normal"/>
    <w:next w:val="Normal"/>
    <w:uiPriority w:val="39"/>
    <w:unhideWhenUsed/>
    <w:qFormat/>
    <w:rsid w:val="006b1c8d"/>
    <w:pPr>
      <w:spacing w:before="0" w:after="100"/>
      <w:ind w:left="440"/>
    </w:pPr>
    <w:rPr>
      <w:lang w:val="en-GB"/>
    </w:rPr>
  </w:style>
  <w:style w:type="paragraph" w:styleId="TOCHeading1" w:customStyle="1">
    <w:name w:val="TOC Heading1"/>
    <w:basedOn w:val="Heading1"/>
    <w:next w:val="Normal"/>
    <w:uiPriority w:val="39"/>
    <w:unhideWhenUsed/>
    <w:qFormat/>
    <w:rsid w:val="006b1c8d"/>
    <w:pPr>
      <w:outlineLvl w:val="9"/>
    </w:pPr>
    <w:rPr/>
  </w:style>
  <w:style w:type="paragraph" w:styleId="NoSpacing">
    <w:name w:val="No Spacing"/>
    <w:link w:val="Style9"/>
    <w:uiPriority w:val="1"/>
    <w:qFormat/>
    <w:rsid w:val="006b1c8d"/>
    <w:pPr>
      <w:widowControl/>
      <w:suppressAutoHyphens w:val="true"/>
      <w:bidi w:val="0"/>
      <w:spacing w:lineRule="auto" w:line="240" w:before="0" w:after="0"/>
      <w:jc w:val="left"/>
    </w:pPr>
    <w:rPr>
      <w:rFonts w:ascii="Calibri" w:hAnsi="Calibri" w:eastAsia="Times New Roman" w:cs="Arial" w:asciiTheme="minorHAnsi" w:cstheme="minorBidi" w:hAnsiTheme="minorHAnsi"/>
      <w:color w:val="auto"/>
      <w:kern w:val="2"/>
      <w:sz w:val="22"/>
      <w:szCs w:val="22"/>
      <w:lang w:val="en-US" w:eastAsia="en-US" w:bidi="ar-SA"/>
      <w14:ligatures w14:val="standardContextual"/>
    </w:rPr>
  </w:style>
  <w:style w:type="paragraph" w:styleId="Default" w:customStyle="1">
    <w:name w:val="Default"/>
    <w:qFormat/>
    <w:rsid w:val="006b1c8d"/>
    <w:pPr>
      <w:widowControl/>
      <w:suppressAutoHyphens w:val="true"/>
      <w:bidi w:val="0"/>
      <w:spacing w:lineRule="auto" w:line="240" w:before="0" w:after="0"/>
      <w:jc w:val="left"/>
    </w:pPr>
    <w:rPr>
      <w:rFonts w:ascii="Gill Sans MT" w:hAnsi="Gill Sans MT" w:eastAsia="Calibri" w:cs="Gill Sans MT"/>
      <w:color w:val="000000"/>
      <w:kern w:val="0"/>
      <w:sz w:val="24"/>
      <w:szCs w:val="24"/>
      <w:lang w:val="en-US" w:eastAsia="en-US" w:bidi="ar-SA"/>
      <w14:ligatures w14:val="none"/>
    </w:rPr>
  </w:style>
  <w:style w:type="paragraph" w:styleId="ColorfulList-Accent11" w:customStyle="1">
    <w:name w:val="Colorful List - Accent 11"/>
    <w:basedOn w:val="Normal"/>
    <w:link w:val="ColorfulList-Accent1Char"/>
    <w:uiPriority w:val="34"/>
    <w:qFormat/>
    <w:rsid w:val="006b1c8d"/>
    <w:pPr>
      <w:spacing w:lineRule="auto" w:line="276" w:before="0" w:after="200"/>
      <w:ind w:left="720"/>
      <w:contextualSpacing/>
    </w:pPr>
    <w:rPr>
      <w:rFonts w:ascii="Calibri" w:hAnsi="Calibri" w:eastAsia="Calibri"/>
      <w:kern w:val="2"/>
      <w14:ligatures w14:val="standardContextual"/>
    </w:rPr>
  </w:style>
  <w:style w:type="paragraph" w:styleId="TOC4">
    <w:name w:val="TOC 4"/>
    <w:basedOn w:val="Normal"/>
    <w:next w:val="Normal"/>
    <w:uiPriority w:val="39"/>
    <w:unhideWhenUsed/>
    <w:rsid w:val="006b1c8d"/>
    <w:pPr>
      <w:spacing w:lineRule="auto" w:line="240" w:before="0" w:after="0"/>
      <w:ind w:left="660"/>
    </w:pPr>
    <w:rPr>
      <w:rFonts w:eastAsia="" w:eastAsiaTheme="minorEastAsia"/>
      <w:sz w:val="20"/>
      <w:szCs w:val="20"/>
      <w:lang w:val="en-IE"/>
    </w:rPr>
  </w:style>
  <w:style w:type="paragraph" w:styleId="TOC5">
    <w:name w:val="TOC 5"/>
    <w:basedOn w:val="Normal"/>
    <w:next w:val="Normal"/>
    <w:uiPriority w:val="39"/>
    <w:semiHidden/>
    <w:unhideWhenUsed/>
    <w:rsid w:val="006b1c8d"/>
    <w:pPr>
      <w:spacing w:lineRule="auto" w:line="240" w:before="0" w:after="0"/>
      <w:ind w:left="880"/>
    </w:pPr>
    <w:rPr>
      <w:rFonts w:eastAsia="" w:eastAsiaTheme="minorEastAsia"/>
      <w:sz w:val="20"/>
      <w:szCs w:val="20"/>
      <w:lang w:val="en-IE"/>
    </w:rPr>
  </w:style>
  <w:style w:type="paragraph" w:styleId="TOC6">
    <w:name w:val="TOC 6"/>
    <w:basedOn w:val="Normal"/>
    <w:next w:val="Normal"/>
    <w:uiPriority w:val="39"/>
    <w:semiHidden/>
    <w:unhideWhenUsed/>
    <w:rsid w:val="006b1c8d"/>
    <w:pPr>
      <w:spacing w:lineRule="auto" w:line="240" w:before="0" w:after="0"/>
      <w:ind w:left="1100"/>
    </w:pPr>
    <w:rPr>
      <w:rFonts w:eastAsia="" w:eastAsiaTheme="minorEastAsia"/>
      <w:sz w:val="20"/>
      <w:szCs w:val="20"/>
      <w:lang w:val="en-IE"/>
    </w:rPr>
  </w:style>
  <w:style w:type="paragraph" w:styleId="TOC7">
    <w:name w:val="TOC 7"/>
    <w:basedOn w:val="Normal"/>
    <w:next w:val="Normal"/>
    <w:uiPriority w:val="39"/>
    <w:semiHidden/>
    <w:unhideWhenUsed/>
    <w:rsid w:val="006b1c8d"/>
    <w:pPr>
      <w:spacing w:lineRule="auto" w:line="240" w:before="0" w:after="0"/>
      <w:ind w:left="1320"/>
    </w:pPr>
    <w:rPr>
      <w:rFonts w:eastAsia="" w:eastAsiaTheme="minorEastAsia"/>
      <w:sz w:val="20"/>
      <w:szCs w:val="20"/>
      <w:lang w:val="en-IE"/>
    </w:rPr>
  </w:style>
  <w:style w:type="paragraph" w:styleId="TOC8">
    <w:name w:val="TOC 8"/>
    <w:basedOn w:val="Normal"/>
    <w:next w:val="Normal"/>
    <w:uiPriority w:val="39"/>
    <w:semiHidden/>
    <w:unhideWhenUsed/>
    <w:rsid w:val="006b1c8d"/>
    <w:pPr>
      <w:spacing w:lineRule="auto" w:line="240" w:before="0" w:after="0"/>
      <w:ind w:left="1540"/>
    </w:pPr>
    <w:rPr>
      <w:rFonts w:eastAsia="" w:eastAsiaTheme="minorEastAsia"/>
      <w:sz w:val="20"/>
      <w:szCs w:val="20"/>
      <w:lang w:val="en-IE"/>
    </w:rPr>
  </w:style>
  <w:style w:type="paragraph" w:styleId="TOC9">
    <w:name w:val="TOC 9"/>
    <w:basedOn w:val="Normal"/>
    <w:next w:val="Normal"/>
    <w:uiPriority w:val="39"/>
    <w:semiHidden/>
    <w:unhideWhenUsed/>
    <w:rsid w:val="006b1c8d"/>
    <w:pPr>
      <w:spacing w:lineRule="auto" w:line="240" w:before="0" w:after="0"/>
      <w:ind w:left="1760"/>
    </w:pPr>
    <w:rPr>
      <w:rFonts w:eastAsia="" w:eastAsiaTheme="minorEastAsia"/>
      <w:sz w:val="20"/>
      <w:szCs w:val="20"/>
      <w:lang w:val="en-IE"/>
    </w:rPr>
  </w:style>
  <w:style w:type="paragraph" w:styleId="ACLevel1" w:customStyle="1">
    <w:name w:val="AC Level 1"/>
    <w:basedOn w:val="Normal"/>
    <w:qFormat/>
    <w:rsid w:val="006b1c8d"/>
    <w:pPr>
      <w:tabs>
        <w:tab w:val="left" w:pos="720" w:leader="none"/>
      </w:tabs>
      <w:spacing w:lineRule="auto" w:line="240" w:before="0" w:after="0"/>
      <w:ind w:hanging="720" w:left="720"/>
    </w:pPr>
    <w:rPr>
      <w:rFonts w:ascii="Times New Roman" w:hAnsi="Times New Roman" w:eastAsia="Times New Roman" w:cs="Times New Roman"/>
      <w:sz w:val="20"/>
      <w:szCs w:val="20"/>
      <w:lang w:val="en-IE"/>
    </w:rPr>
  </w:style>
  <w:style w:type="paragraph" w:styleId="Revision">
    <w:name w:val="Revision"/>
    <w:uiPriority w:val="99"/>
    <w:semiHidden/>
    <w:qFormat/>
    <w:rsid w:val="006b1c8d"/>
    <w:pPr>
      <w:widowControl/>
      <w:suppressAutoHyphens w:val="true"/>
      <w:bidi w:val="0"/>
      <w:spacing w:lineRule="auto" w:line="240" w:before="0" w:after="0"/>
      <w:jc w:val="left"/>
    </w:pPr>
    <w:rPr>
      <w:rFonts w:ascii="Calibri" w:hAnsi="Calibri" w:eastAsia="Calibri" w:cs="Arial"/>
      <w:color w:val="auto"/>
      <w:kern w:val="0"/>
      <w:sz w:val="22"/>
      <w:szCs w:val="22"/>
      <w:lang w:val="en-US" w:eastAsia="en-US" w:bidi="ar-SA"/>
      <w14:ligatures w14:val="none"/>
    </w:rPr>
  </w:style>
  <w:style w:type="paragraph" w:styleId="Title">
    <w:name w:val="Title"/>
    <w:basedOn w:val="Normal"/>
    <w:next w:val="Normal"/>
    <w:link w:val="Style16"/>
    <w:uiPriority w:val="10"/>
    <w:qFormat/>
    <w:rsid w:val="006b1c8d"/>
    <w:pPr>
      <w:spacing w:lineRule="auto" w:line="240" w:before="0" w:after="80"/>
      <w:contextualSpacing/>
    </w:pPr>
    <w:rPr>
      <w:rFonts w:ascii="Calibri Light" w:hAnsi="Calibri Light" w:eastAsia="" w:cs="Times New Roman" w:asciiTheme="majorHAnsi" w:cstheme="majorBidi" w:eastAsiaTheme="majorEastAsia" w:hAnsiTheme="majorHAnsi"/>
      <w:spacing w:val="-10"/>
      <w:kern w:val="2"/>
      <w:sz w:val="56"/>
      <w:szCs w:val="56"/>
      <w14:ligatures w14:val="standardContextual"/>
    </w:rPr>
  </w:style>
  <w:style w:type="paragraph" w:styleId="Subtitle">
    <w:name w:val="Subtitle"/>
    <w:basedOn w:val="Normal"/>
    <w:next w:val="Normal"/>
    <w:link w:val="Style17"/>
    <w:uiPriority w:val="11"/>
    <w:qFormat/>
    <w:rsid w:val="006b1c8d"/>
    <w:pPr/>
    <w:rPr>
      <w:rFonts w:eastAsia="" w:cs="Times New Roman" w:cstheme="majorBidi" w:eastAsiaTheme="majorEastAsia"/>
      <w:color w:themeColor="text1" w:themeTint="a6" w:val="595959"/>
      <w:spacing w:val="15"/>
      <w:kern w:val="2"/>
      <w:sz w:val="28"/>
      <w:szCs w:val="28"/>
      <w14:ligatures w14:val="standardContextual"/>
    </w:rPr>
  </w:style>
  <w:style w:type="paragraph" w:styleId="Quote">
    <w:name w:val="Quote"/>
    <w:basedOn w:val="Normal"/>
    <w:next w:val="Normal"/>
    <w:link w:val="Style18"/>
    <w:uiPriority w:val="29"/>
    <w:qFormat/>
    <w:rsid w:val="006b1c8d"/>
    <w:pPr>
      <w:spacing w:before="160" w:after="160"/>
      <w:jc w:val="center"/>
    </w:pPr>
    <w:rPr>
      <w:i/>
      <w:iCs/>
      <w:color w:themeColor="text1" w:themeTint="bf" w:val="404040"/>
      <w:kern w:val="2"/>
      <w14:ligatures w14:val="standardContextual"/>
    </w:rPr>
  </w:style>
  <w:style w:type="paragraph" w:styleId="IntenseQuote">
    <w:name w:val="Intense Quote"/>
    <w:basedOn w:val="Normal"/>
    <w:next w:val="Normal"/>
    <w:link w:val="Style19"/>
    <w:uiPriority w:val="30"/>
    <w:qFormat/>
    <w:rsid w:val="006b1c8d"/>
    <w:pPr>
      <w:pBdr>
        <w:top w:val="single" w:sz="4" w:space="10" w:color="2F5496" w:themeColor="accent1" w:themeShade="bf"/>
        <w:bottom w:val="single" w:sz="4" w:space="10" w:color="2F5496" w:themeColor="accent1" w:themeShade="bf"/>
      </w:pBdr>
      <w:spacing w:before="360" w:after="360"/>
      <w:ind w:left="864" w:right="864"/>
      <w:jc w:val="center"/>
    </w:pPr>
    <w:rPr>
      <w:i/>
      <w:iCs/>
      <w:color w:themeColor="accent1" w:themeShade="bf" w:val="2F5496"/>
      <w:kern w:val="2"/>
      <w14:ligatures w14:val="standardContextual"/>
    </w:rPr>
  </w:style>
  <w:style w:type="paragraph" w:styleId="TableofFigures">
    <w:name w:val="Table of Figures"/>
    <w:basedOn w:val="Normal"/>
    <w:next w:val="Normal"/>
    <w:uiPriority w:val="99"/>
    <w:unhideWhenUsed/>
    <w:qFormat/>
    <w:rsid w:val="006b1c8d"/>
    <w:pPr>
      <w:spacing w:before="0" w:after="0"/>
    </w:pPr>
    <w:rPr/>
  </w:style>
  <w:style w:type="paragraph" w:styleId="Index1">
    <w:name w:val="index 1"/>
    <w:basedOn w:val="Normal"/>
    <w:next w:val="Normal"/>
    <w:autoRedefine/>
    <w:uiPriority w:val="99"/>
    <w:semiHidden/>
    <w:unhideWhenUsed/>
    <w:qFormat/>
    <w:rsid w:val="006b1c8d"/>
    <w:pPr>
      <w:spacing w:lineRule="auto" w:line="240" w:before="0" w:after="0"/>
      <w:ind w:hanging="220" w:left="220"/>
    </w:pPr>
    <w:rPr/>
  </w:style>
  <w:style w:type="paragraph" w:styleId="Indexheading1">
    <w:name w:val="index heading1"/>
    <w:basedOn w:val="Style23"/>
    <w:qFormat/>
    <w:rsid w:val="006b1c8d"/>
    <w:pPr/>
    <w:rPr/>
  </w:style>
  <w:style w:type="paragraph" w:styleId="IndexHeading">
    <w:name w:val="Index Heading"/>
    <w:basedOn w:val="Style23"/>
    <w:pPr/>
    <w:rPr/>
  </w:style>
  <w:style w:type="paragraph" w:styleId="TOCHeading">
    <w:name w:val="TOC Heading"/>
    <w:basedOn w:val="Heading1"/>
    <w:next w:val="Normal"/>
    <w:uiPriority w:val="39"/>
    <w:unhideWhenUsed/>
    <w:qFormat/>
    <w:rsid w:val="006b1c8d"/>
    <w:pPr>
      <w:outlineLvl w:val="9"/>
    </w:pPr>
    <w:rPr/>
  </w:style>
  <w:style w:type="paragraph" w:styleId="FrameContents" w:customStyle="1">
    <w:name w:val="Frame Contents"/>
    <w:basedOn w:val="Normal"/>
    <w:qFormat/>
    <w:rsid w:val="006b1c8d"/>
    <w:pPr/>
    <w:rPr/>
  </w:style>
  <w:style w:type="paragraph" w:styleId="111" w:customStyle="1">
    <w:name w:val="Основний текст (11)"/>
    <w:basedOn w:val="Normal"/>
    <w:link w:val="11"/>
    <w:qFormat/>
    <w:rsid w:val="001c77e3"/>
    <w:pPr>
      <w:widowControl w:val="false"/>
      <w:suppressAutoHyphens w:val="false"/>
      <w:spacing w:lineRule="auto" w:line="240" w:before="0" w:after="3120"/>
      <w:ind w:left="2660"/>
    </w:pPr>
    <w:rPr>
      <w:rFonts w:ascii="Arial" w:hAnsi="Arial" w:eastAsia="Arial" w:cs="Arial"/>
      <w:color w:val="8980A0"/>
      <w:kern w:val="2"/>
      <w:sz w:val="10"/>
      <w:szCs w:val="10"/>
      <w14:ligatures w14:val="standardContextual"/>
    </w:rPr>
  </w:style>
  <w:style w:type="paragraph" w:styleId="Style26" w:customStyle="1">
    <w:name w:val="Інше"/>
    <w:basedOn w:val="Normal"/>
    <w:link w:val="Style22"/>
    <w:qFormat/>
    <w:rsid w:val="001c77e3"/>
    <w:pPr>
      <w:widowControl w:val="false"/>
      <w:suppressAutoHyphens w:val="false"/>
      <w:spacing w:lineRule="auto" w:line="240" w:before="0" w:after="60"/>
    </w:pPr>
    <w:rPr>
      <w:rFonts w:ascii="Calibri" w:hAnsi="Calibri" w:eastAsia="Calibri" w:cs="Calibri"/>
      <w:color w:val="595959"/>
      <w:kern w:val="2"/>
      <w:sz w:val="18"/>
      <w:szCs w:val="18"/>
      <w14:ligatures w14:val="standardContextual"/>
    </w:rPr>
  </w:style>
  <w:style w:type="paragraph" w:styleId="82" w:customStyle="1">
    <w:name w:val="Основний текст (8)"/>
    <w:basedOn w:val="Normal"/>
    <w:link w:val="81"/>
    <w:qFormat/>
    <w:rsid w:val="00e9263c"/>
    <w:pPr>
      <w:widowControl w:val="false"/>
      <w:suppressAutoHyphens w:val="false"/>
      <w:spacing w:lineRule="auto" w:line="228" w:before="0" w:after="80"/>
      <w:jc w:val="right"/>
    </w:pPr>
    <w:rPr>
      <w:rFonts w:ascii="Arial" w:hAnsi="Arial" w:eastAsia="Arial" w:cs="Arial"/>
      <w:color w:val="7F7F7F"/>
      <w:kern w:val="2"/>
      <w:sz w:val="14"/>
      <w:szCs w:val="14"/>
      <w14:ligatures w14:val="standardContextual"/>
    </w:rPr>
  </w:style>
  <w:style w:type="paragraph" w:styleId="121" w:customStyle="1">
    <w:name w:val="Основний текст (12)"/>
    <w:basedOn w:val="Normal"/>
    <w:link w:val="12"/>
    <w:qFormat/>
    <w:rsid w:val="00dc4c6a"/>
    <w:pPr>
      <w:widowControl w:val="false"/>
      <w:suppressAutoHyphens w:val="false"/>
      <w:spacing w:lineRule="auto" w:line="328" w:before="0" w:after="0"/>
      <w:ind w:left="660"/>
    </w:pPr>
    <w:rPr>
      <w:rFonts w:ascii="Arial" w:hAnsi="Arial" w:eastAsia="Arial" w:cs="Arial"/>
      <w:color w:val="404040"/>
      <w:kern w:val="2"/>
      <w:sz w:val="13"/>
      <w:szCs w:val="13"/>
      <w14:ligatures w14:val="standardContextual"/>
    </w:rPr>
  </w:style>
  <w:style w:type="paragraph" w:styleId="Style27">
    <w:name w:val="Вміст рам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6">
    <w:name w:val="Table Grid"/>
    <w:basedOn w:val="a1"/>
    <w:uiPriority w:val="39"/>
    <w:qFormat/>
    <w:rsid w:val="00941fa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dTable4Accent2">
    <w:name w:val="Grid Table 4 Accent 2"/>
    <w:basedOn w:val="a1"/>
    <w:uiPriority w:val="49"/>
    <w:rsid w:val="007e3168"/>
    <w:pPr>
      <w:spacing w:after="0" w:line="240" w:lineRule="auto"/>
    </w:pPr>
    <w:rPr>
      <w:rFonts w:eastAsiaTheme="minorEastAsia"/>
      <w:sz w:val="20"/>
      <w:szCs w:val="20"/>
    </w:rPr>
    <w:tblPr>
      <w:tblStyleRowBandSize w:val="1"/>
      <w:tblStyleColBandSize w:val="1"/>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themeColor="background1"/>
      </w:rPr>
      <w:tbl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blPr/>
      <w:tcPr>
        <w:tcBorders>
          <w:top w:val="double" w:color="ED7D31" w:themeColor="accent2" w:sz="4" w:space="0"/>
        </w:tcBorders>
      </w:tcPr>
    </w:tblStylePr>
    <w:tblStylePr w:type="firstCol">
      <w:rPr>
        <w:b/>
        <w:bCs/>
      </w:rPr>
      <w:tblPr/>
    </w:tblStylePr>
    <w:tblStylePr w:type="lastCol">
      <w:rPr>
        <w:b/>
        <w:bCs/>
      </w:rPr>
      <w:tbl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
    <w:name w:val="Grid Table 4 Accent 1"/>
    <w:basedOn w:val="a1"/>
    <w:uiPriority w:val="49"/>
    <w:rsid w:val="00895831"/>
    <w:pPr>
      <w:spacing w:after="0" w:line="240" w:lineRule="auto"/>
      <w:jc w:val="both"/>
    </w:pPr>
    <w:rPr>
      <w:lang w:eastAsia="en-GB"/>
      <w:sz w:val="18"/>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val="0"/>
        <w:bCs/>
      </w:rPr>
      <w:tblPr/>
    </w:tblStylePr>
    <w:tblStylePr w:type="lastCol">
      <w:rPr>
        <w:b/>
        <w:bCs/>
      </w:rPr>
      <w:tbl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
    <w:name w:val="Grid Table 5 Dark - Accent 11"/>
    <w:basedOn w:val="a1"/>
    <w:uiPriority w:val="50"/>
    <w:rsid w:val="006b1c8d"/>
    <w:pPr>
      <w:spacing w:after="0" w:line="240" w:lineRule="auto"/>
    </w:pPr>
    <w:rPr>
      <w:sz w:val="20"/>
      <w:szCs w:val="20"/>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1">
    <w:name w:val="Grid Table 4 - Accent 11"/>
    <w:basedOn w:val="a1"/>
    <w:uiPriority w:val="49"/>
    <w:rsid w:val="006b1c8d"/>
    <w:pPr>
      <w:spacing w:after="0" w:line="240" w:lineRule="auto"/>
    </w:pPr>
    <w:rPr>
      <w:sz w:val="20"/>
      <w:szCs w:val="20"/>
    </w:rPr>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Pr/>
    </w:tblStylePr>
    <w:tblStylePr w:type="lastCol">
      <w:rPr>
        <w:b/>
        <w:bCs/>
      </w:rPr>
      <w:tbl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21">
    <w:name w:val="Grid Table 4 - Accent 21"/>
    <w:basedOn w:val="a1"/>
    <w:uiPriority w:val="49"/>
    <w:qFormat/>
    <w:rsid w:val="006b1c8d"/>
    <w:pPr>
      <w:spacing w:after="0" w:line="240" w:lineRule="auto"/>
    </w:pPr>
    <w:rPr>
      <w:sz w:val="20"/>
      <w:szCs w:val="20"/>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themeColor="background1"/>
      </w:rPr>
      <w:tbl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blPr/>
      <w:tcPr>
        <w:tcBorders>
          <w:top w:val="single" w:color="ED7D31" w:themeColor="accent2" w:sz="4" w:space="0"/>
        </w:tcBorders>
      </w:tcPr>
    </w:tblStylePr>
    <w:tblStylePr w:type="firstCol">
      <w:rPr>
        <w:b/>
        <w:bCs/>
      </w:rPr>
      <w:tblPr/>
    </w:tblStylePr>
    <w:tblStylePr w:type="lastCol">
      <w:rPr>
        <w:b/>
        <w:bCs/>
      </w:rPr>
      <w:tbl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a1"/>
    <w:uiPriority w:val="50"/>
    <w:rsid w:val="006b1c8d"/>
    <w:pPr>
      <w:spacing w:after="0" w:line="240" w:lineRule="auto"/>
    </w:pPr>
    <w:rPr>
      <w:sz w:val="20"/>
      <w:szCs w:val="20"/>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Light1">
    <w:name w:val="Table Grid Light1"/>
    <w:basedOn w:val="a1"/>
    <w:uiPriority w:val="40"/>
    <w:qFormat/>
    <w:rsid w:val="006b1c8d"/>
    <w:pPr>
      <w:spacing w:after="0" w:line="240" w:lineRule="auto"/>
    </w:pPr>
    <w:rPr>
      <w:sz w:val="20"/>
      <w:szCs w:val="20"/>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GridTable1Light-Accent11">
    <w:name w:val="Grid Table 1 Light - Accent 11"/>
    <w:basedOn w:val="a1"/>
    <w:uiPriority w:val="46"/>
    <w:qFormat/>
    <w:rsid w:val="006b1c8d"/>
    <w:pPr>
      <w:spacing w:after="0" w:line="240" w:lineRule="auto"/>
    </w:pPr>
    <w:rPr>
      <w:sz w:val="20"/>
      <w:szCs w:val="20"/>
    </w:rPr>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4472C4" w:themeColor="accent1" w:sz="12" w:space="0"/>
        </w:tcBorders>
      </w:tcPr>
    </w:tblStylePr>
    <w:tblStylePr w:type="lastRow">
      <w:rPr>
        <w:b/>
        <w:bCs/>
      </w:rPr>
      <w:tblPr/>
      <w:tcPr>
        <w:tcBorders>
          <w:top w:val="double" w:color="4472C4" w:themeColor="accent1" w:sz="2" w:space="0"/>
        </w:tcBorders>
      </w:tcPr>
    </w:tblStylePr>
    <w:tblStylePr w:type="firstCol">
      <w:rPr>
        <w:b/>
        <w:bCs/>
      </w:rPr>
      <w:tblPr/>
    </w:tblStylePr>
    <w:tblStylePr w:type="lastCol">
      <w:rPr>
        <w:b/>
        <w:bCs/>
      </w:rPr>
      <w:tblPr/>
    </w:tblStylePr>
  </w:style>
  <w:style w:type="table" w:customStyle="1" w:styleId="GridTable1Light-Accent21">
    <w:name w:val="Grid Table 1 Light - Accent 21"/>
    <w:basedOn w:val="a1"/>
    <w:uiPriority w:val="46"/>
    <w:rsid w:val="006b1c8d"/>
    <w:pPr>
      <w:spacing w:after="0" w:line="240" w:lineRule="auto"/>
    </w:pPr>
    <w:rPr>
      <w:sz w:val="20"/>
      <w:szCs w:val="20"/>
    </w:rPr>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blPr/>
      <w:tcPr>
        <w:tcBorders>
          <w:bottom w:val="single" w:color="ED7D31" w:themeColor="accent2" w:sz="12" w:space="0"/>
        </w:tcBorders>
      </w:tcPr>
    </w:tblStylePr>
    <w:tblStylePr w:type="lastRow">
      <w:rPr>
        <w:b/>
        <w:bCs/>
      </w:rPr>
      <w:tblPr/>
      <w:tcPr>
        <w:tcBorders>
          <w:top w:val="double" w:color="ED7D31" w:themeColor="accent2" w:sz="2" w:space="0"/>
        </w:tcBorders>
      </w:tcPr>
    </w:tblStylePr>
    <w:tblStylePr w:type="firstCol">
      <w:rPr>
        <w:b/>
        <w:bCs/>
      </w:rPr>
      <w:tblPr/>
    </w:tblStylePr>
    <w:tblStylePr w:type="lastCol">
      <w:rPr>
        <w:b/>
        <w:bCs/>
      </w:rPr>
      <w:tblPr/>
    </w:tblStylePr>
  </w:style>
  <w:style w:type="table" w:customStyle="1" w:styleId="GridTable4-Accent12">
    <w:name w:val="Grid Table 4 - Accent 12"/>
    <w:basedOn w:val="a1"/>
    <w:rsid w:val="006b1c8d"/>
    <w:pPr>
      <w:spacing w:after="0" w:line="240" w:lineRule="auto"/>
    </w:pPr>
    <w:rPr>
      <w:sz w:val="20"/>
      <w:szCs w:val="20"/>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rPr>
      <w:tbl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blPr/>
      <w:tcPr>
        <w:tcBorders>
          <w:top w:val="double" w:color="4472C4" w:sz="2" w:space="0"/>
        </w:tcBorders>
      </w:tcPr>
    </w:tblStylePr>
    <w:tblStylePr w:type="firstCol">
      <w:rPr>
        <w:b/>
        <w:bCs/>
      </w:rPr>
      <w:tblPr/>
    </w:tblStylePr>
    <w:tblStylePr w:type="lastCol">
      <w:rPr>
        <w:b/>
        <w:bCs/>
      </w:rPr>
      <w:tblPr/>
    </w:tblStylePr>
    <w:tblStylePr w:type="band1Vert">
      <w:tblPr/>
      <w:tcPr>
        <w:shd w:val="clear" w:color="auto" w:fill="D9E2F3"/>
      </w:tcPr>
    </w:tblStylePr>
    <w:tblStylePr w:type="band1Horz">
      <w:tblPr/>
      <w:tcPr>
        <w:shd w:val="clear" w:color="auto" w:fill="D9E2F3"/>
      </w:tcPr>
    </w:tblStylePr>
  </w:style>
  <w:style w:type="table" w:customStyle="1" w:styleId="GridTable4-Accent22">
    <w:name w:val="Grid Table 4 - Accent 22"/>
    <w:basedOn w:val="a1"/>
    <w:rsid w:val="006b1c8d"/>
    <w:pPr>
      <w:spacing w:after="0" w:line="240" w:lineRule="auto"/>
    </w:pPr>
    <w:rPr>
      <w:sz w:val="20"/>
      <w:szCs w:val="20"/>
    </w:rPr>
    <w:tblP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Pr>
    <w:tblStylePr w:type="firstRow">
      <w:rPr>
        <w:b/>
        <w:bCs/>
      </w:rPr>
      <w:tblPr/>
      <w:tcPr>
        <w:tcBorders>
          <w:top w:val="single" w:color="ED7D31" w:sz="4" w:space="0"/>
          <w:left w:val="single" w:color="ED7D31" w:sz="4" w:space="0"/>
          <w:bottom w:val="single" w:color="ED7D31" w:sz="4" w:space="0"/>
          <w:right w:val="single" w:color="ED7D31" w:sz="4" w:space="0"/>
          <w:insideH w:val="nil"/>
          <w:insideV w:val="nil"/>
        </w:tcBorders>
        <w:shd w:val="clear" w:color="auto" w:fill="ED7D31"/>
      </w:tcPr>
    </w:tblStylePr>
    <w:tblStylePr w:type="lastRow">
      <w:rPr>
        <w:b/>
        <w:bCs/>
      </w:rPr>
      <w:tblPr/>
      <w:tcPr>
        <w:tcBorders>
          <w:top w:val="double" w:color="ED7D31" w:sz="2" w:space="0"/>
        </w:tcBorders>
      </w:tcPr>
    </w:tblStylePr>
    <w:tblStylePr w:type="firstCol">
      <w:rPr>
        <w:b/>
        <w:bCs/>
      </w:rPr>
      <w:tblPr/>
    </w:tblStylePr>
    <w:tblStylePr w:type="lastCol">
      <w:rPr>
        <w:b/>
        <w:bCs/>
      </w:rPr>
      <w:tblPr/>
    </w:tblStylePr>
    <w:tblStylePr w:type="band1Vert">
      <w:tblPr/>
      <w:tcPr>
        <w:shd w:val="clear" w:color="auto" w:fill="FBE4D5"/>
      </w:tcPr>
    </w:tblStylePr>
    <w:tblStylePr w:type="band1Horz">
      <w:tblPr/>
      <w:tcPr>
        <w:shd w:val="clear" w:color="auto" w:fill="FBE4D5"/>
      </w:tcPr>
    </w:tblStylePr>
  </w:style>
  <w:style w:type="table" w:customStyle="1" w:styleId="GridTable4Accent21">
    <w:name w:val="Grid Table 4 Accent 21"/>
    <w:basedOn w:val="a1"/>
    <w:rsid w:val="006b1c8d"/>
    <w:pPr>
      <w:spacing w:after="0" w:line="240" w:lineRule="auto"/>
    </w:pPr>
    <w:rPr>
      <w:sz w:val="20"/>
      <w:szCs w:val="20"/>
    </w:rPr>
    <w:tblP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Pr>
    <w:tblStylePr w:type="firstRow">
      <w:rPr>
        <w:b/>
        <w:bCs/>
      </w:rPr>
      <w:tblPr/>
      <w:tcPr>
        <w:tcBorders>
          <w:top w:val="single" w:color="ED7D31" w:sz="4" w:space="0"/>
          <w:left w:val="single" w:color="ED7D31" w:sz="4" w:space="0"/>
          <w:bottom w:val="single" w:color="ED7D31" w:sz="4" w:space="0"/>
          <w:right w:val="single" w:color="ED7D31" w:sz="4" w:space="0"/>
          <w:insideH w:val="nil"/>
          <w:insideV w:val="nil"/>
        </w:tcBorders>
        <w:shd w:val="clear" w:color="auto" w:fill="ED7D31"/>
      </w:tcPr>
    </w:tblStylePr>
    <w:tblStylePr w:type="lastRow">
      <w:rPr>
        <w:b/>
        <w:bCs/>
      </w:rPr>
      <w:tblPr/>
      <w:tcPr>
        <w:tcBorders>
          <w:top w:val="double" w:color="ED7D31" w:sz="2" w:space="0"/>
        </w:tcBorders>
      </w:tcPr>
    </w:tblStylePr>
    <w:tblStylePr w:type="firstCol">
      <w:rPr>
        <w:b/>
        <w:bCs/>
      </w:rPr>
      <w:tblPr/>
    </w:tblStylePr>
    <w:tblStylePr w:type="lastCol">
      <w:rPr>
        <w:b/>
        <w:bCs/>
      </w:rPr>
      <w:tblPr/>
    </w:tblStylePr>
    <w:tblStylePr w:type="band1Vert">
      <w:tblPr/>
      <w:tcPr>
        <w:shd w:val="clear" w:color="auto" w:fill="FBE4D5"/>
      </w:tcPr>
    </w:tblStylePr>
    <w:tblStylePr w:type="band1Horz">
      <w:tblPr/>
      <w:tcPr>
        <w:shd w:val="clear" w:color="auto" w:fill="FBE4D5"/>
      </w:tcPr>
    </w:tblStylePr>
  </w:style>
  <w:style w:type="table" w:customStyle="1" w:styleId="GridTable4-Accent23">
    <w:name w:val="Grid Table 4 - Accent 23"/>
    <w:basedOn w:val="a1"/>
    <w:uiPriority w:val="49"/>
    <w:rsid w:val="006b1c8d"/>
    <w:pPr>
      <w:spacing w:after="0" w:line="240" w:lineRule="auto"/>
    </w:pPr>
    <w:rPr>
      <w:sz w:val="20"/>
      <w:szCs w:val="20"/>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themeColor="background1"/>
      </w:rPr>
      <w:tbl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blPr/>
      <w:tcPr>
        <w:tcBorders>
          <w:top w:val="double" w:color="ED7D31" w:themeColor="accent2" w:sz="4" w:space="0"/>
        </w:tcBorders>
      </w:tcPr>
    </w:tblStylePr>
    <w:tblStylePr w:type="firstCol">
      <w:rPr>
        <w:b/>
        <w:bCs/>
      </w:rPr>
      <w:tblPr/>
    </w:tblStylePr>
    <w:tblStylePr w:type="lastCol">
      <w:rPr>
        <w:b/>
        <w:bCs/>
      </w:rPr>
      <w:tbl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5">
    <w:name w:val="List Table 3 Accent 5"/>
    <w:basedOn w:val="a1"/>
    <w:uiPriority w:val="48"/>
    <w:rsid w:val="006b1c8d"/>
    <w:pPr>
      <w:spacing w:after="0" w:line="240" w:lineRule="auto"/>
    </w:pPr>
    <w:rPr>
      <w:sz w:val="20"/>
      <w:szCs w:val="20"/>
    </w:r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tblBorders>
    </w:tblPr>
    <w:tblStylePr w:type="firstRow">
      <w:rPr>
        <w:b/>
        <w:bCs/>
        <w:color w:themeColor="background1"/>
      </w:rPr>
      <w:tblPr/>
      <w:tcPr>
        <w:shd w:val="clear" w:color="auto" w:fill="5B9BD5" w:themeFill="accent5"/>
      </w:tcPr>
    </w:tblStylePr>
    <w:tblStylePr w:type="lastRow">
      <w:rPr>
        <w:b/>
        <w:bCs/>
      </w:rPr>
      <w:tblPr/>
      <w:tcPr>
        <w:tcBorders>
          <w:top w:val="double" w:color="5B9BD5"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B9BD5" w:themeColor="accent5" w:sz="4" w:space="0"/>
          <w:right w:val="single" w:color="5B9BD5" w:themeColor="accent5" w:sz="4" w:space="0"/>
        </w:tcBorders>
      </w:tcPr>
    </w:tblStylePr>
    <w:tblStylePr w:type="band1Horz">
      <w:tblPr/>
      <w:tcPr>
        <w:tcBorders>
          <w:top w:val="single" w:color="5B9BD5" w:themeColor="accent5" w:sz="4" w:space="0"/>
          <w:bottom w:val="single" w:color="5B9BD5"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B9BD5" w:themeColor="accent5" w:sz="4" w:space="0"/>
          <w:left w:val="nil"/>
        </w:tcBorders>
      </w:tcPr>
    </w:tblStylePr>
    <w:tblStylePr w:type="swCell">
      <w:tblPr/>
      <w:tcPr>
        <w:tcBorders>
          <w:top w:val="double" w:color="5B9BD5" w:themeColor="accent5" w:sz="4" w:space="0"/>
          <w:right w:val="nil"/>
        </w:tcBorders>
      </w:tcPr>
    </w:tblStylePr>
  </w:style>
  <w:style w:type="table" w:customStyle="1" w:styleId="Style104">
    <w:name w:val="_Style 104"/>
    <w:basedOn w:val="a1"/>
    <w:rsid w:val="006b1c8d"/>
    <w:pPr>
      <w:spacing w:after="0" w:line="240" w:lineRule="auto"/>
    </w:pPr>
    <w:rPr>
      <w:lang w:val="en-GB" w:eastAsia="en-GB"/>
      <w:sz w:val="20"/>
      <w:szCs w:val="20"/>
    </w:rPr>
    <w:tblPr>
      <w:tblCellMar>
        <w:left w:w="0" w:type="dxa"/>
        <w:right w:w="0" w:type="dxa"/>
      </w:tblCellMar>
    </w:tblPr>
  </w:style>
  <w:style w:type="table" w:customStyle="1" w:styleId="GridTable4-Accent121">
    <w:name w:val="Grid Table 4 - Accent 121"/>
    <w:basedOn w:val="a1"/>
    <w:rsid w:val="006b1c8d"/>
    <w:pPr>
      <w:spacing w:after="0" w:line="240" w:lineRule="auto"/>
    </w:pPr>
    <w:rPr>
      <w:sz w:val="20"/>
      <w:szCs w:val="20"/>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rPr>
      <w:tblPr/>
      <w:tcPr>
        <w:tcBorders>
          <w:top w:val="single" w:color="5B9BD5" w:sz="4" w:space="0"/>
          <w:left w:val="single" w:color="5B9BD5" w:sz="4" w:space="0"/>
          <w:bottom w:val="single" w:color="5B9BD5" w:sz="4" w:space="0"/>
          <w:right w:val="single" w:color="5B9BD5" w:sz="4" w:space="0"/>
          <w:insideH w:val="none" w:color="auto" w:sz="0" w:space="0"/>
          <w:insideV w:val="none" w:color="auto" w:sz="0" w:space="0"/>
        </w:tcBorders>
        <w:shd w:val="clear" w:color="auto" w:fill="5B9BD5"/>
      </w:tcPr>
    </w:tblStylePr>
    <w:tblStylePr w:type="lastRow">
      <w:rPr>
        <w:b/>
        <w:bCs/>
      </w:rPr>
      <w:tblPr/>
      <w:tcPr>
        <w:tcBorders>
          <w:top w:val="double" w:color="5B9BD5" w:sz="2" w:space="0"/>
        </w:tcBorders>
      </w:tcPr>
    </w:tblStylePr>
    <w:tblStylePr w:type="firstCol">
      <w:rPr>
        <w:b/>
        <w:bCs/>
      </w:rPr>
      <w:tblPr/>
    </w:tblStylePr>
    <w:tblStylePr w:type="lastCol">
      <w:rPr>
        <w:b/>
        <w:bCs/>
      </w:rPr>
      <w:tblPr/>
    </w:tblStylePr>
    <w:tblStylePr w:type="band1Vert">
      <w:tblPr/>
      <w:tcPr>
        <w:shd w:val="clear" w:color="auto" w:fill="DEEAF6"/>
      </w:tcPr>
    </w:tblStylePr>
    <w:tblStylePr w:type="band1Horz">
      <w:tblPr/>
      <w:tcPr>
        <w:shd w:val="clear" w:color="auto" w:fill="DEEAF6"/>
      </w:tcPr>
    </w:tblStylePr>
  </w:style>
  <w:style w:type="table" w:customStyle="1" w:styleId="Style97">
    <w:name w:val="_Style 97"/>
    <w:basedOn w:val="a1"/>
    <w:qFormat/>
    <w:rsid w:val="006b1c8d"/>
    <w:pPr>
      <w:spacing w:after="0" w:line="240" w:lineRule="auto"/>
    </w:pPr>
    <w:rPr>
      <w:sz w:val="20"/>
      <w:szCs w:val="20"/>
    </w:rPr>
    <w:tblPr>
      <w:tblCellMar>
        <w:left w:w="115" w:type="dxa"/>
        <w:right w:w="115" w:type="dxa"/>
      </w:tblCellMar>
    </w:tblPr>
  </w:style>
  <w:style w:type="table" w:customStyle="1" w:styleId="GridTable4Accent5">
    <w:name w:val="Grid Table 4 Accent 5"/>
    <w:basedOn w:val="a1"/>
    <w:uiPriority w:val="49"/>
    <w:rsid w:val="006b1c8d"/>
    <w:pPr>
      <w:spacing w:after="0" w:line="240" w:lineRule="auto"/>
    </w:pPr>
    <w:rPr>
      <w:sz w:val="20"/>
      <w:szCs w:val="20"/>
    </w:r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Pr/>
    </w:tblStylePr>
    <w:tblStylePr w:type="lastCol">
      <w:rPr>
        <w:b/>
        <w:bCs/>
      </w:rPr>
      <w:tbl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1">
    <w:name w:val="Grid Table 4 - Accent 51"/>
    <w:basedOn w:val="a1"/>
    <w:uiPriority w:val="49"/>
    <w:rsid w:val="006b1c8d"/>
    <w:pPr>
      <w:spacing w:after="0" w:line="240" w:lineRule="auto"/>
    </w:pPr>
    <w:rPr>
      <w:lang w:eastAsia="en-GB"/>
      <w:sz w:val="20"/>
      <w:szCs w:val="20"/>
    </w:r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Pr/>
    </w:tblStylePr>
    <w:tblStylePr w:type="lastCol">
      <w:rPr>
        <w:b/>
        <w:bCs/>
      </w:rPr>
      <w:tbl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Style98">
    <w:name w:val="_Style 98"/>
    <w:basedOn w:val="a1"/>
    <w:qFormat/>
    <w:rsid w:val="006b1c8d"/>
    <w:rPr>
      <w:lang w:val="en-GB" w:eastAsia="en-GB"/>
      <w:sz w:val="20"/>
      <w:szCs w:val="20"/>
    </w:rPr>
    <w:tblPr>
      <w:tblCellMar>
        <w:left w:w="115" w:type="dxa"/>
        <w:right w:w="115" w:type="dxa"/>
      </w:tblCellMar>
    </w:tblPr>
  </w:style>
  <w:style w:type="table" w:customStyle="1" w:styleId="Style100">
    <w:name w:val="_Style 100"/>
    <w:basedOn w:val="a1"/>
    <w:qFormat/>
    <w:rsid w:val="006b1c8d"/>
    <w:rPr>
      <w:lang w:val="en-GB" w:eastAsia="en-GB"/>
      <w:sz w:val="20"/>
      <w:szCs w:val="20"/>
    </w:rPr>
    <w:tblPr>
      <w:tblCellMar>
        <w:left w:w="115" w:type="dxa"/>
        <w:right w:w="115"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chart" Target="charts/chart1.xml"/><Relationship Id="rId6" Type="http://schemas.openxmlformats.org/officeDocument/2006/relationships/chart" Target="charts/chart2.xm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chart" Target="charts/chart3.xml"/><Relationship Id="rId13" Type="http://schemas.openxmlformats.org/officeDocument/2006/relationships/image" Target="media/image8.png"/><Relationship Id="rId14" Type="http://schemas.openxmlformats.org/officeDocument/2006/relationships/chart" Target="charts/chart4.xml"/><Relationship Id="rId15" Type="http://schemas.openxmlformats.org/officeDocument/2006/relationships/chart" Target="charts/chart5.xml"/><Relationship Id="rId16" Type="http://schemas.openxmlformats.org/officeDocument/2006/relationships/chart" Target="charts/chart6.xml"/><Relationship Id="rId17" Type="http://schemas.openxmlformats.org/officeDocument/2006/relationships/chart" Target="charts/chart7.xml"/><Relationship Id="rId18" Type="http://schemas.openxmlformats.org/officeDocument/2006/relationships/chart" Target="charts/chart8.xml"/><Relationship Id="rId19" Type="http://schemas.openxmlformats.org/officeDocument/2006/relationships/chart" Target="charts/chart9.xml"/><Relationship Id="rId20" Type="http://schemas.openxmlformats.org/officeDocument/2006/relationships/hyperlink" Target="https://cabinet.tax.gov.ua/" TargetMode="External"/><Relationship Id="rId21" Type="http://schemas.openxmlformats.org/officeDocument/2006/relationships/hyperlink" Target="https://zir.tax.gov.ua/" TargetMode="External"/><Relationship Id="rId22" Type="http://schemas.openxmlformats.org/officeDocument/2006/relationships/chart" Target="charts/chart10.xml"/><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chart" Target="charts/chart11.xm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image" Target="media/image12.png"/><Relationship Id="rId30" Type="http://schemas.openxmlformats.org/officeDocument/2006/relationships/header" Target="header2.xml"/><Relationship Id="rId31" Type="http://schemas.openxmlformats.org/officeDocument/2006/relationships/header" Target="header3.xml"/><Relationship Id="rId32" Type="http://schemas.openxmlformats.org/officeDocument/2006/relationships/header" Target="header4.xml"/><Relationship Id="rId33" Type="http://schemas.openxmlformats.org/officeDocument/2006/relationships/footer" Target="footer3.xml"/><Relationship Id="rId34" Type="http://schemas.openxmlformats.org/officeDocument/2006/relationships/footer" Target="footer4.xml"/><Relationship Id="rId35" Type="http://schemas.openxmlformats.org/officeDocument/2006/relationships/footer" Target="footer5.xml"/><Relationship Id="rId36" Type="http://schemas.openxmlformats.org/officeDocument/2006/relationships/image" Target="media/image5.png"/><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chart" Target="charts/chart12.xml"/><Relationship Id="rId40" Type="http://schemas.openxmlformats.org/officeDocument/2006/relationships/header" Target="header5.xml"/><Relationship Id="rId41" Type="http://schemas.openxmlformats.org/officeDocument/2006/relationships/header" Target="header6.xml"/><Relationship Id="rId42" Type="http://schemas.openxmlformats.org/officeDocument/2006/relationships/header" Target="header7.xml"/><Relationship Id="rId43" Type="http://schemas.openxmlformats.org/officeDocument/2006/relationships/footer" Target="footer6.xml"/><Relationship Id="rId44" Type="http://schemas.openxmlformats.org/officeDocument/2006/relationships/footer" Target="footer7.xml"/><Relationship Id="rId45" Type="http://schemas.openxmlformats.org/officeDocument/2006/relationships/footer" Target="footer8.xml"/><Relationship Id="rId46" Type="http://schemas.openxmlformats.org/officeDocument/2006/relationships/footnotes" Target="footnotes.xml"/><Relationship Id="rId47" Type="http://schemas.openxmlformats.org/officeDocument/2006/relationships/numbering" Target="numbering.xml"/><Relationship Id="rId48" Type="http://schemas.openxmlformats.org/officeDocument/2006/relationships/fontTable" Target="fontTable.xml"/><Relationship Id="rId49" Type="http://schemas.openxmlformats.org/officeDocument/2006/relationships/settings" Target="settings.xml"/><Relationship Id="rId50" Type="http://schemas.openxmlformats.org/officeDocument/2006/relationships/theme" Target="theme/theme1.xml"/><Relationship Id="rId51"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documents.worldbank.org/curated/en/371871468295501537/Tax-compliance-cost-surveys-using-data-to-design-targeted-reforms" TargetMode="External"/>
</Relationships>
</file>

<file path=word/charts/_rels/chart10.xml.rels><?xml version="1.0" encoding="UTF-8"?>
<Relationships xmlns="http://schemas.openxmlformats.org/package/2006/relationships"><Relationship Id="rId1" Type="http://schemas.openxmlformats.org/officeDocument/2006/relationships/package" Target="../embeddings/Microsoft_Excel_Worksheet5.xlsx"/>
</Relationships>
</file>

<file path=word/charts/_rels/chart11.xml.rels><?xml version="1.0" encoding="UTF-8"?>
<Relationships xmlns="http://schemas.openxmlformats.org/package/2006/relationships"><Relationship Id="rId1" Type="http://schemas.openxmlformats.org/officeDocument/2006/relationships/package" Target="../embeddings/Microsoft_Excel_Worksheet6.xlsx"/>
</Relationships>
</file>

<file path=word/charts/_rels/chart12.xml.rels><?xml version="1.0" encoding="UTF-8"?>
<Relationships xmlns="http://schemas.openxmlformats.org/package/2006/relationships"><Relationship Id="rId1" Type="http://schemas.openxmlformats.org/officeDocument/2006/relationships/package" Target="../embeddings/Microsoft_Excel_Worksheet7.xlsx"/>
</Relationships>
</file>

<file path=word/charts/_rels/chart5.xml.rels><?xml version="1.0" encoding="UTF-8"?>
<Relationships xmlns="http://schemas.openxmlformats.org/package/2006/relationships"><Relationship Id="rId1" Type="http://schemas.openxmlformats.org/officeDocument/2006/relationships/image" Target="../media/image9.png"/><Relationship Id="rId2" Type="http://schemas.openxmlformats.org/officeDocument/2006/relationships/package" Target="../embeddings/Microsoft_Excel_Worksheet1.xlsx"/>
</Relationships>
</file>

<file path=word/charts/_rels/chart6.xml.rels><?xml version="1.0" encoding="UTF-8"?>
<Relationships xmlns="http://schemas.openxmlformats.org/package/2006/relationships"><Relationship Id="rId1" Type="http://schemas.openxmlformats.org/officeDocument/2006/relationships/image" Target="../media/image9.png"/><Relationship Id="rId2" Type="http://schemas.openxmlformats.org/officeDocument/2006/relationships/package" Target="../embeddings/Microsoft_Excel_Worksheet2.xlsx"/>
</Relationships>
</file>

<file path=word/charts/_rels/chart8.xml.rels><?xml version="1.0" encoding="UTF-8"?>
<Relationships xmlns="http://schemas.openxmlformats.org/package/2006/relationships"><Relationship Id="rId1" Type="http://schemas.openxmlformats.org/officeDocument/2006/relationships/package" Target="../embeddings/Microsoft_Excel_Worksheet3.xlsx"/>
</Relationships>
</file>

<file path=word/charts/_rels/chart9.xml.rels><?xml version="1.0" encoding="UTF-8"?>
<Relationships xmlns="http://schemas.openxmlformats.org/package/2006/relationships"><Relationship Id="rId1" Type="http://schemas.openxmlformats.org/officeDocument/2006/relationships/package" Target="../embeddings/Microsoft_Excel_Worksheet4.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sz="1600" spc="-1" strike="noStrike">
                <a:solidFill>
                  <a:srgbClr val="808080"/>
                </a:solidFill>
                <a:latin typeface="Calibri Light"/>
              </a:defRPr>
            </a:pPr>
            <a:r>
              <a:rPr b="1" sz="1600" spc="-1" strike="noStrike">
                <a:solidFill>
                  <a:srgbClr val="808080"/>
                </a:solidFill>
                <a:latin typeface="Calibri Light"/>
              </a:rPr>
              <a:t>Менше 1 мільйона гривень</a:t>
            </a:r>
          </a:p>
        </c:rich>
      </c:tx>
      <c:overlay val="0"/>
      <c:spPr>
        <a:noFill/>
        <a:ln w="0">
          <a:noFill/>
        </a:ln>
      </c:spPr>
    </c:title>
    <c:autoTitleDeleted val="0"/>
    <c:plotArea>
      <c:pieChart>
        <c:varyColors val="1"/>
        <c:ser>
          <c:idx val="0"/>
          <c:order val="0"/>
          <c:tx>
            <c:strRef>
              <c:f>label 0</c:f>
              <c:strCache>
                <c:ptCount val="1"/>
                <c:pt idx="0">
                  <c:v>Менше 1 мільйона гривень</c:v>
                </c:pt>
              </c:strCache>
            </c:strRef>
          </c:tx>
          <c:spPr>
            <a:solidFill>
              <a:srgbClr val="4472c4"/>
            </a:solidFill>
            <a:ln w="0">
              <a:noFill/>
            </a:ln>
          </c:spPr>
          <c:explosion val="0"/>
          <c:dPt>
            <c:idx val="0"/>
            <c:spPr>
              <a:gradFill>
                <a:gsLst>
                  <a:gs pos="0">
                    <a:srgbClr val="4472c4"/>
                  </a:gs>
                  <a:gs pos="100000">
                    <a:srgbClr val="8faadc"/>
                  </a:gs>
                </a:gsLst>
                <a:lin ang="5400000"/>
              </a:gradFill>
              <a:ln w="19080">
                <a:solidFill>
                  <a:srgbClr val="ffffff"/>
                </a:solidFill>
                <a:round/>
              </a:ln>
            </c:spPr>
          </c:dPt>
          <c:dPt>
            <c:idx val="1"/>
            <c:spPr>
              <a:gradFill>
                <a:gsLst>
                  <a:gs pos="0">
                    <a:srgbClr val="ed7d31"/>
                  </a:gs>
                  <a:gs pos="100000">
                    <a:srgbClr val="f4b183"/>
                  </a:gs>
                </a:gsLst>
                <a:lin ang="5400000"/>
              </a:gradFill>
              <a:ln w="19080">
                <a:solidFill>
                  <a:srgbClr val="ffffff"/>
                </a:solidFill>
                <a:round/>
              </a:ln>
            </c:spPr>
          </c:dPt>
          <c:dPt>
            <c:idx val="2"/>
            <c:spPr>
              <a:gradFill>
                <a:gsLst>
                  <a:gs pos="0">
                    <a:srgbClr val="a5a5a5"/>
                  </a:gs>
                  <a:gs pos="100000">
                    <a:srgbClr val="c9c9c9"/>
                  </a:gs>
                </a:gsLst>
                <a:lin ang="5400000"/>
              </a:gradFill>
              <a:ln w="19080">
                <a:solidFill>
                  <a:srgbClr val="ffffff"/>
                </a:solidFill>
                <a:round/>
              </a:ln>
            </c:spPr>
          </c:dPt>
          <c:dPt>
            <c:idx val="3"/>
            <c:spPr>
              <a:gradFill>
                <a:gsLst>
                  <a:gs pos="0">
                    <a:srgbClr val="ffc000"/>
                  </a:gs>
                  <a:gs pos="100000">
                    <a:srgbClr val="ffd966"/>
                  </a:gs>
                </a:gsLst>
                <a:lin ang="5400000"/>
              </a:gradFill>
              <a:ln w="19080">
                <a:solidFill>
                  <a:srgbClr val="ffffff"/>
                </a:solidFill>
                <a:round/>
              </a:ln>
            </c:spPr>
          </c:dPt>
          <c:dPt>
            <c:idx val="4"/>
            <c:spPr>
              <a:gradFill>
                <a:gsLst>
                  <a:gs pos="0">
                    <a:srgbClr val="5b9bd5"/>
                  </a:gs>
                  <a:gs pos="100000">
                    <a:srgbClr val="9dc3e6"/>
                  </a:gs>
                </a:gsLst>
                <a:lin ang="5400000"/>
              </a:gradFill>
              <a:ln w="19080">
                <a:solidFill>
                  <a:srgbClr val="ffffff"/>
                </a:solidFill>
                <a:round/>
              </a:ln>
            </c:spPr>
          </c:dPt>
          <c:dPt>
            <c:idx val="5"/>
            <c:spPr>
              <a:gradFill>
                <a:gsLst>
                  <a:gs pos="0">
                    <a:srgbClr val="70ad47"/>
                  </a:gs>
                  <a:gs pos="100000">
                    <a:srgbClr val="a9d18e"/>
                  </a:gs>
                </a:gsLst>
                <a:lin ang="5400000"/>
              </a:gradFill>
              <a:ln w="19080">
                <a:solidFill>
                  <a:srgbClr val="ffffff"/>
                </a:solidFill>
                <a:round/>
              </a:ln>
            </c:spPr>
          </c:dPt>
          <c:dPt>
            <c:idx val="6"/>
            <c:spPr>
              <a:gradFill>
                <a:gsLst>
                  <a:gs pos="0">
                    <a:srgbClr val="264478"/>
                  </a:gs>
                  <a:gs pos="100000">
                    <a:srgbClr val="5f86cc"/>
                  </a:gs>
                </a:gsLst>
                <a:lin ang="5400000"/>
              </a:gradFill>
              <a:ln w="19080">
                <a:solidFill>
                  <a:srgbClr val="ffffff"/>
                </a:solidFill>
                <a:round/>
              </a:ln>
            </c:spPr>
          </c:dPt>
          <c:dPt>
            <c:idx val="7"/>
            <c:spPr>
              <a:gradFill>
                <a:gsLst>
                  <a:gs pos="0">
                    <a:srgbClr val="9e480e"/>
                  </a:gs>
                  <a:gs pos="100000">
                    <a:srgbClr val="ef8944"/>
                  </a:gs>
                </a:gsLst>
                <a:lin ang="5400000"/>
              </a:gradFill>
              <a:ln w="19080">
                <a:solidFill>
                  <a:srgbClr val="ffffff"/>
                </a:solidFill>
                <a:round/>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4"/>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5"/>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6"/>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7"/>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0</c:f>
              <c:numCache>
                <c:formatCode>General</c:formatCode>
                <c:ptCount val="8"/>
                <c:pt idx="0">
                  <c:v>14.4</c:v>
                </c:pt>
                <c:pt idx="1">
                  <c:v>7.7</c:v>
                </c:pt>
                <c:pt idx="2">
                  <c:v>1</c:v>
                </c:pt>
                <c:pt idx="3">
                  <c:v>0.4</c:v>
                </c:pt>
                <c:pt idx="4">
                  <c:v>5.8</c:v>
                </c:pt>
                <c:pt idx="5">
                  <c:v>5.3</c:v>
                </c:pt>
                <c:pt idx="6">
                  <c:v>0.5</c:v>
                </c:pt>
                <c:pt idx="7">
                  <c:v>0.7</c:v>
                </c:pt>
              </c:numCache>
            </c:numRef>
          </c:val>
        </c:ser>
        <c:ser>
          <c:idx val="1"/>
          <c:order val="1"/>
          <c:tx>
            <c:strRef>
              <c:f>label 1</c:f>
              <c:strCache>
                <c:ptCount val="1"/>
                <c:pt idx="0">
                  <c:v>1 млн грн - 8 млн грн</c:v>
                </c:pt>
              </c:strCache>
            </c:strRef>
          </c:tx>
          <c:spPr>
            <a:solidFill>
              <a:srgbClr val="ed7d31"/>
            </a:solidFill>
            <a:ln w="0">
              <a:noFill/>
            </a:ln>
          </c:spPr>
          <c:explosion val="0"/>
          <c:dPt>
            <c:idx val="0"/>
            <c:spPr>
              <a:gradFill>
                <a:gsLst>
                  <a:gs pos="0">
                    <a:srgbClr val="4472c4"/>
                  </a:gs>
                  <a:gs pos="100000">
                    <a:srgbClr val="8faadc"/>
                  </a:gs>
                </a:gsLst>
                <a:lin ang="5400000"/>
              </a:gradFill>
              <a:ln w="19080">
                <a:solidFill>
                  <a:srgbClr val="ffffff"/>
                </a:solidFill>
                <a:round/>
              </a:ln>
            </c:spPr>
          </c:dPt>
          <c:dPt>
            <c:idx val="1"/>
            <c:spPr>
              <a:gradFill>
                <a:gsLst>
                  <a:gs pos="0">
                    <a:srgbClr val="ed7d31"/>
                  </a:gs>
                  <a:gs pos="100000">
                    <a:srgbClr val="f4b183"/>
                  </a:gs>
                </a:gsLst>
                <a:lin ang="5400000"/>
              </a:gradFill>
              <a:ln w="19080">
                <a:solidFill>
                  <a:srgbClr val="ffffff"/>
                </a:solidFill>
                <a:round/>
              </a:ln>
            </c:spPr>
          </c:dPt>
          <c:dPt>
            <c:idx val="2"/>
            <c:spPr>
              <a:gradFill>
                <a:gsLst>
                  <a:gs pos="0">
                    <a:srgbClr val="a5a5a5"/>
                  </a:gs>
                  <a:gs pos="100000">
                    <a:srgbClr val="c9c9c9"/>
                  </a:gs>
                </a:gsLst>
                <a:lin ang="5400000"/>
              </a:gradFill>
              <a:ln w="19080">
                <a:solidFill>
                  <a:srgbClr val="ffffff"/>
                </a:solidFill>
                <a:round/>
              </a:ln>
            </c:spPr>
          </c:dPt>
          <c:dPt>
            <c:idx val="3"/>
            <c:spPr>
              <a:gradFill>
                <a:gsLst>
                  <a:gs pos="0">
                    <a:srgbClr val="ffc000"/>
                  </a:gs>
                  <a:gs pos="100000">
                    <a:srgbClr val="ffd966"/>
                  </a:gs>
                </a:gsLst>
                <a:lin ang="5400000"/>
              </a:gradFill>
              <a:ln w="19080">
                <a:solidFill>
                  <a:srgbClr val="ffffff"/>
                </a:solidFill>
                <a:round/>
              </a:ln>
            </c:spPr>
          </c:dPt>
          <c:dPt>
            <c:idx val="4"/>
            <c:spPr>
              <a:gradFill>
                <a:gsLst>
                  <a:gs pos="0">
                    <a:srgbClr val="5b9bd5"/>
                  </a:gs>
                  <a:gs pos="100000">
                    <a:srgbClr val="9dc3e6"/>
                  </a:gs>
                </a:gsLst>
                <a:lin ang="5400000"/>
              </a:gradFill>
              <a:ln w="19080">
                <a:solidFill>
                  <a:srgbClr val="ffffff"/>
                </a:solidFill>
                <a:round/>
              </a:ln>
            </c:spPr>
          </c:dPt>
          <c:dPt>
            <c:idx val="5"/>
            <c:spPr>
              <a:gradFill>
                <a:gsLst>
                  <a:gs pos="0">
                    <a:srgbClr val="70ad47"/>
                  </a:gs>
                  <a:gs pos="100000">
                    <a:srgbClr val="a9d18e"/>
                  </a:gs>
                </a:gsLst>
                <a:lin ang="5400000"/>
              </a:gradFill>
              <a:ln w="19080">
                <a:solidFill>
                  <a:srgbClr val="ffffff"/>
                </a:solidFill>
                <a:round/>
              </a:ln>
            </c:spPr>
          </c:dPt>
          <c:dPt>
            <c:idx val="6"/>
            <c:spPr>
              <a:gradFill>
                <a:gsLst>
                  <a:gs pos="0">
                    <a:srgbClr val="264478"/>
                  </a:gs>
                  <a:gs pos="100000">
                    <a:srgbClr val="5f86cc"/>
                  </a:gs>
                </a:gsLst>
                <a:lin ang="5400000"/>
              </a:gradFill>
              <a:ln w="19080">
                <a:solidFill>
                  <a:srgbClr val="ffffff"/>
                </a:solidFill>
                <a:round/>
              </a:ln>
            </c:spPr>
          </c:dPt>
          <c:dPt>
            <c:idx val="7"/>
            <c:spPr>
              <a:gradFill>
                <a:gsLst>
                  <a:gs pos="0">
                    <a:srgbClr val="9e480e"/>
                  </a:gs>
                  <a:gs pos="100000">
                    <a:srgbClr val="ef8944"/>
                  </a:gs>
                </a:gsLst>
                <a:lin ang="5400000"/>
              </a:gradFill>
              <a:ln w="19080">
                <a:solidFill>
                  <a:srgbClr val="ffffff"/>
                </a:solidFill>
                <a:round/>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4"/>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5"/>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6"/>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7"/>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1</c:f>
              <c:numCache>
                <c:formatCode>General</c:formatCode>
                <c:ptCount val="8"/>
                <c:pt idx="0">
                  <c:v>20.7</c:v>
                </c:pt>
                <c:pt idx="1">
                  <c:v>12.5</c:v>
                </c:pt>
                <c:pt idx="2">
                  <c:v>1</c:v>
                </c:pt>
                <c:pt idx="3">
                  <c:v>0.3</c:v>
                </c:pt>
                <c:pt idx="4">
                  <c:v>7.3</c:v>
                </c:pt>
                <c:pt idx="5">
                  <c:v>6.4</c:v>
                </c:pt>
                <c:pt idx="6">
                  <c:v>0.6</c:v>
                </c:pt>
                <c:pt idx="7">
                  <c:v>4.8</c:v>
                </c:pt>
              </c:numCache>
            </c:numRef>
          </c:val>
        </c:ser>
        <c:ser>
          <c:idx val="2"/>
          <c:order val="2"/>
          <c:tx>
            <c:strRef>
              <c:f>label 2</c:f>
              <c:strCache>
                <c:ptCount val="1"/>
                <c:pt idx="0">
                  <c:v>8 мільйонів гривень - 80 мільйонів гривень</c:v>
                </c:pt>
              </c:strCache>
            </c:strRef>
          </c:tx>
          <c:spPr>
            <a:solidFill>
              <a:srgbClr val="a5a5a5"/>
            </a:solidFill>
            <a:ln w="0">
              <a:noFill/>
            </a:ln>
          </c:spPr>
          <c:explosion val="0"/>
          <c:dPt>
            <c:idx val="0"/>
            <c:spPr>
              <a:gradFill>
                <a:gsLst>
                  <a:gs pos="0">
                    <a:srgbClr val="4472c4"/>
                  </a:gs>
                  <a:gs pos="100000">
                    <a:srgbClr val="8faadc"/>
                  </a:gs>
                </a:gsLst>
                <a:lin ang="5400000"/>
              </a:gradFill>
              <a:ln w="19080">
                <a:solidFill>
                  <a:srgbClr val="ffffff"/>
                </a:solidFill>
                <a:round/>
              </a:ln>
            </c:spPr>
          </c:dPt>
          <c:dPt>
            <c:idx val="1"/>
            <c:spPr>
              <a:gradFill>
                <a:gsLst>
                  <a:gs pos="0">
                    <a:srgbClr val="ed7d31"/>
                  </a:gs>
                  <a:gs pos="100000">
                    <a:srgbClr val="f4b183"/>
                  </a:gs>
                </a:gsLst>
                <a:lin ang="5400000"/>
              </a:gradFill>
              <a:ln w="19080">
                <a:solidFill>
                  <a:srgbClr val="ffffff"/>
                </a:solidFill>
                <a:round/>
              </a:ln>
            </c:spPr>
          </c:dPt>
          <c:dPt>
            <c:idx val="2"/>
            <c:spPr>
              <a:gradFill>
                <a:gsLst>
                  <a:gs pos="0">
                    <a:srgbClr val="a5a5a5"/>
                  </a:gs>
                  <a:gs pos="100000">
                    <a:srgbClr val="c9c9c9"/>
                  </a:gs>
                </a:gsLst>
                <a:lin ang="5400000"/>
              </a:gradFill>
              <a:ln w="19080">
                <a:solidFill>
                  <a:srgbClr val="ffffff"/>
                </a:solidFill>
                <a:round/>
              </a:ln>
            </c:spPr>
          </c:dPt>
          <c:dPt>
            <c:idx val="3"/>
            <c:spPr>
              <a:gradFill>
                <a:gsLst>
                  <a:gs pos="0">
                    <a:srgbClr val="ffc000"/>
                  </a:gs>
                  <a:gs pos="100000">
                    <a:srgbClr val="ffd966"/>
                  </a:gs>
                </a:gsLst>
                <a:lin ang="5400000"/>
              </a:gradFill>
              <a:ln w="19080">
                <a:solidFill>
                  <a:srgbClr val="ffffff"/>
                </a:solidFill>
                <a:round/>
              </a:ln>
            </c:spPr>
          </c:dPt>
          <c:dPt>
            <c:idx val="4"/>
            <c:spPr>
              <a:gradFill>
                <a:gsLst>
                  <a:gs pos="0">
                    <a:srgbClr val="5b9bd5"/>
                  </a:gs>
                  <a:gs pos="100000">
                    <a:srgbClr val="9dc3e6"/>
                  </a:gs>
                </a:gsLst>
                <a:lin ang="5400000"/>
              </a:gradFill>
              <a:ln w="19080">
                <a:solidFill>
                  <a:srgbClr val="ffffff"/>
                </a:solidFill>
                <a:round/>
              </a:ln>
            </c:spPr>
          </c:dPt>
          <c:dPt>
            <c:idx val="5"/>
            <c:spPr>
              <a:gradFill>
                <a:gsLst>
                  <a:gs pos="0">
                    <a:srgbClr val="70ad47"/>
                  </a:gs>
                  <a:gs pos="100000">
                    <a:srgbClr val="a9d18e"/>
                  </a:gs>
                </a:gsLst>
                <a:lin ang="5400000"/>
              </a:gradFill>
              <a:ln w="19080">
                <a:solidFill>
                  <a:srgbClr val="ffffff"/>
                </a:solidFill>
                <a:round/>
              </a:ln>
            </c:spPr>
          </c:dPt>
          <c:dPt>
            <c:idx val="6"/>
            <c:spPr>
              <a:gradFill>
                <a:gsLst>
                  <a:gs pos="0">
                    <a:srgbClr val="264478"/>
                  </a:gs>
                  <a:gs pos="100000">
                    <a:srgbClr val="5f86cc"/>
                  </a:gs>
                </a:gsLst>
                <a:lin ang="5400000"/>
              </a:gradFill>
              <a:ln w="19080">
                <a:solidFill>
                  <a:srgbClr val="ffffff"/>
                </a:solidFill>
                <a:round/>
              </a:ln>
            </c:spPr>
          </c:dPt>
          <c:dPt>
            <c:idx val="7"/>
            <c:spPr>
              <a:gradFill>
                <a:gsLst>
                  <a:gs pos="0">
                    <a:srgbClr val="9e480e"/>
                  </a:gs>
                  <a:gs pos="100000">
                    <a:srgbClr val="ef8944"/>
                  </a:gs>
                </a:gsLst>
                <a:lin ang="5400000"/>
              </a:gradFill>
              <a:ln w="19080">
                <a:solidFill>
                  <a:srgbClr val="ffffff"/>
                </a:solidFill>
                <a:round/>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4"/>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5"/>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6"/>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7"/>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2</c:f>
              <c:numCache>
                <c:formatCode>General</c:formatCode>
                <c:ptCount val="8"/>
                <c:pt idx="0">
                  <c:v>115.7</c:v>
                </c:pt>
                <c:pt idx="1">
                  <c:v>56.8</c:v>
                </c:pt>
                <c:pt idx="2">
                  <c:v>2.4</c:v>
                </c:pt>
                <c:pt idx="3">
                  <c:v>1</c:v>
                </c:pt>
                <c:pt idx="4">
                  <c:v>25.1</c:v>
                </c:pt>
                <c:pt idx="5">
                  <c:v>26.2</c:v>
                </c:pt>
                <c:pt idx="6">
                  <c:v>0.7</c:v>
                </c:pt>
                <c:pt idx="7">
                  <c:v>30.5</c:v>
                </c:pt>
              </c:numCache>
            </c:numRef>
          </c:val>
        </c:ser>
        <c:ser>
          <c:idx val="3"/>
          <c:order val="3"/>
          <c:tx>
            <c:strRef>
              <c:f>label 3</c:f>
              <c:strCache>
                <c:ptCount val="1"/>
                <c:pt idx="0">
                  <c:v>Понад 80 мільйонів гривень</c:v>
                </c:pt>
              </c:strCache>
            </c:strRef>
          </c:tx>
          <c:spPr>
            <a:solidFill>
              <a:srgbClr val="ffc000"/>
            </a:solidFill>
            <a:ln w="0">
              <a:noFill/>
            </a:ln>
          </c:spPr>
          <c:explosion val="0"/>
          <c:dPt>
            <c:idx val="0"/>
            <c:spPr>
              <a:gradFill>
                <a:gsLst>
                  <a:gs pos="0">
                    <a:srgbClr val="4472c4"/>
                  </a:gs>
                  <a:gs pos="100000">
                    <a:srgbClr val="8faadc"/>
                  </a:gs>
                </a:gsLst>
                <a:lin ang="5400000"/>
              </a:gradFill>
              <a:ln w="19080">
                <a:solidFill>
                  <a:srgbClr val="ffffff"/>
                </a:solidFill>
                <a:round/>
              </a:ln>
            </c:spPr>
          </c:dPt>
          <c:dPt>
            <c:idx val="1"/>
            <c:spPr>
              <a:gradFill>
                <a:gsLst>
                  <a:gs pos="0">
                    <a:srgbClr val="ed7d31"/>
                  </a:gs>
                  <a:gs pos="100000">
                    <a:srgbClr val="f4b183"/>
                  </a:gs>
                </a:gsLst>
                <a:lin ang="5400000"/>
              </a:gradFill>
              <a:ln w="19080">
                <a:solidFill>
                  <a:srgbClr val="ffffff"/>
                </a:solidFill>
                <a:round/>
              </a:ln>
            </c:spPr>
          </c:dPt>
          <c:dPt>
            <c:idx val="2"/>
            <c:spPr>
              <a:gradFill>
                <a:gsLst>
                  <a:gs pos="0">
                    <a:srgbClr val="a5a5a5"/>
                  </a:gs>
                  <a:gs pos="100000">
                    <a:srgbClr val="c9c9c9"/>
                  </a:gs>
                </a:gsLst>
                <a:lin ang="5400000"/>
              </a:gradFill>
              <a:ln w="19080">
                <a:solidFill>
                  <a:srgbClr val="ffffff"/>
                </a:solidFill>
                <a:round/>
              </a:ln>
            </c:spPr>
          </c:dPt>
          <c:dPt>
            <c:idx val="3"/>
            <c:spPr>
              <a:gradFill>
                <a:gsLst>
                  <a:gs pos="0">
                    <a:srgbClr val="ffc000"/>
                  </a:gs>
                  <a:gs pos="100000">
                    <a:srgbClr val="ffd966"/>
                  </a:gs>
                </a:gsLst>
                <a:lin ang="5400000"/>
              </a:gradFill>
              <a:ln w="19080">
                <a:solidFill>
                  <a:srgbClr val="ffffff"/>
                </a:solidFill>
                <a:round/>
              </a:ln>
            </c:spPr>
          </c:dPt>
          <c:dPt>
            <c:idx val="4"/>
            <c:spPr>
              <a:gradFill>
                <a:gsLst>
                  <a:gs pos="0">
                    <a:srgbClr val="5b9bd5"/>
                  </a:gs>
                  <a:gs pos="100000">
                    <a:srgbClr val="9dc3e6"/>
                  </a:gs>
                </a:gsLst>
                <a:lin ang="5400000"/>
              </a:gradFill>
              <a:ln w="19080">
                <a:solidFill>
                  <a:srgbClr val="ffffff"/>
                </a:solidFill>
                <a:round/>
              </a:ln>
            </c:spPr>
          </c:dPt>
          <c:dPt>
            <c:idx val="5"/>
            <c:spPr>
              <a:gradFill>
                <a:gsLst>
                  <a:gs pos="0">
                    <a:srgbClr val="70ad47"/>
                  </a:gs>
                  <a:gs pos="100000">
                    <a:srgbClr val="a9d18e"/>
                  </a:gs>
                </a:gsLst>
                <a:lin ang="5400000"/>
              </a:gradFill>
              <a:ln w="19080">
                <a:solidFill>
                  <a:srgbClr val="ffffff"/>
                </a:solidFill>
                <a:round/>
              </a:ln>
            </c:spPr>
          </c:dPt>
          <c:dPt>
            <c:idx val="6"/>
            <c:spPr>
              <a:gradFill>
                <a:gsLst>
                  <a:gs pos="0">
                    <a:srgbClr val="264478"/>
                  </a:gs>
                  <a:gs pos="100000">
                    <a:srgbClr val="5f86cc"/>
                  </a:gs>
                </a:gsLst>
                <a:lin ang="5400000"/>
              </a:gradFill>
              <a:ln w="19080">
                <a:solidFill>
                  <a:srgbClr val="ffffff"/>
                </a:solidFill>
                <a:round/>
              </a:ln>
            </c:spPr>
          </c:dPt>
          <c:dPt>
            <c:idx val="7"/>
            <c:spPr>
              <a:gradFill>
                <a:gsLst>
                  <a:gs pos="0">
                    <a:srgbClr val="9e480e"/>
                  </a:gs>
                  <a:gs pos="100000">
                    <a:srgbClr val="ef8944"/>
                  </a:gs>
                </a:gsLst>
                <a:lin ang="5400000"/>
              </a:gradFill>
              <a:ln w="19080">
                <a:solidFill>
                  <a:srgbClr val="ffffff"/>
                </a:solidFill>
                <a:round/>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4"/>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5"/>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6"/>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7"/>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3</c:f>
              <c:numCache>
                <c:formatCode>General</c:formatCode>
                <c:ptCount val="8"/>
                <c:pt idx="0">
                  <c:v>207.5</c:v>
                </c:pt>
                <c:pt idx="1">
                  <c:v>67.3</c:v>
                </c:pt>
                <c:pt idx="2">
                  <c:v>1.2</c:v>
                </c:pt>
                <c:pt idx="3">
                  <c:v>0.7</c:v>
                </c:pt>
                <c:pt idx="4">
                  <c:v>30.2</c:v>
                </c:pt>
                <c:pt idx="5">
                  <c:v>31.4</c:v>
                </c:pt>
                <c:pt idx="6">
                  <c:v>2.6</c:v>
                </c:pt>
                <c:pt idx="7">
                  <c:v>28.9</c:v>
                </c:pt>
              </c:numCache>
            </c:numRef>
          </c:val>
        </c:ser>
        <c:ser>
          <c:idx val="4"/>
          <c:order val="4"/>
          <c:tx>
            <c:strRef>
              <c:f>label 4</c:f>
              <c:strCache>
                <c:ptCount val="1"/>
                <c:pt idx="0">
                  <c:v>Всього</c:v>
                </c:pt>
              </c:strCache>
            </c:strRef>
          </c:tx>
          <c:spPr>
            <a:solidFill>
              <a:srgbClr val="5b9bd5"/>
            </a:solidFill>
            <a:ln w="0">
              <a:noFill/>
            </a:ln>
          </c:spPr>
          <c:explosion val="0"/>
          <c:dPt>
            <c:idx val="0"/>
            <c:spPr>
              <a:gradFill>
                <a:gsLst>
                  <a:gs pos="0">
                    <a:srgbClr val="4472c4"/>
                  </a:gs>
                  <a:gs pos="100000">
                    <a:srgbClr val="8faadc"/>
                  </a:gs>
                </a:gsLst>
                <a:lin ang="5400000"/>
              </a:gradFill>
              <a:ln w="19080">
                <a:solidFill>
                  <a:srgbClr val="ffffff"/>
                </a:solidFill>
                <a:round/>
              </a:ln>
            </c:spPr>
          </c:dPt>
          <c:dPt>
            <c:idx val="1"/>
            <c:spPr>
              <a:gradFill>
                <a:gsLst>
                  <a:gs pos="0">
                    <a:srgbClr val="ed7d31"/>
                  </a:gs>
                  <a:gs pos="100000">
                    <a:srgbClr val="f4b183"/>
                  </a:gs>
                </a:gsLst>
                <a:lin ang="5400000"/>
              </a:gradFill>
              <a:ln w="19080">
                <a:solidFill>
                  <a:srgbClr val="ffffff"/>
                </a:solidFill>
                <a:round/>
              </a:ln>
            </c:spPr>
          </c:dPt>
          <c:dPt>
            <c:idx val="2"/>
            <c:spPr>
              <a:gradFill>
                <a:gsLst>
                  <a:gs pos="0">
                    <a:srgbClr val="a5a5a5"/>
                  </a:gs>
                  <a:gs pos="100000">
                    <a:srgbClr val="c9c9c9"/>
                  </a:gs>
                </a:gsLst>
                <a:lin ang="5400000"/>
              </a:gradFill>
              <a:ln w="19080">
                <a:solidFill>
                  <a:srgbClr val="ffffff"/>
                </a:solidFill>
                <a:round/>
              </a:ln>
            </c:spPr>
          </c:dPt>
          <c:dPt>
            <c:idx val="3"/>
            <c:spPr>
              <a:gradFill>
                <a:gsLst>
                  <a:gs pos="0">
                    <a:srgbClr val="ffc000"/>
                  </a:gs>
                  <a:gs pos="100000">
                    <a:srgbClr val="ffd966"/>
                  </a:gs>
                </a:gsLst>
                <a:lin ang="5400000"/>
              </a:gradFill>
              <a:ln w="19080">
                <a:solidFill>
                  <a:srgbClr val="ffffff"/>
                </a:solidFill>
                <a:round/>
              </a:ln>
            </c:spPr>
          </c:dPt>
          <c:dPt>
            <c:idx val="4"/>
            <c:spPr>
              <a:gradFill>
                <a:gsLst>
                  <a:gs pos="0">
                    <a:srgbClr val="5b9bd5"/>
                  </a:gs>
                  <a:gs pos="100000">
                    <a:srgbClr val="9dc3e6"/>
                  </a:gs>
                </a:gsLst>
                <a:lin ang="5400000"/>
              </a:gradFill>
              <a:ln w="19080">
                <a:solidFill>
                  <a:srgbClr val="ffffff"/>
                </a:solidFill>
                <a:round/>
              </a:ln>
            </c:spPr>
          </c:dPt>
          <c:dPt>
            <c:idx val="5"/>
            <c:spPr>
              <a:gradFill>
                <a:gsLst>
                  <a:gs pos="0">
                    <a:srgbClr val="70ad47"/>
                  </a:gs>
                  <a:gs pos="100000">
                    <a:srgbClr val="a9d18e"/>
                  </a:gs>
                </a:gsLst>
                <a:lin ang="5400000"/>
              </a:gradFill>
              <a:ln w="19080">
                <a:solidFill>
                  <a:srgbClr val="ffffff"/>
                </a:solidFill>
                <a:round/>
              </a:ln>
            </c:spPr>
          </c:dPt>
          <c:dPt>
            <c:idx val="6"/>
            <c:spPr>
              <a:gradFill>
                <a:gsLst>
                  <a:gs pos="0">
                    <a:srgbClr val="264478"/>
                  </a:gs>
                  <a:gs pos="100000">
                    <a:srgbClr val="5f86cc"/>
                  </a:gs>
                </a:gsLst>
                <a:lin ang="5400000"/>
              </a:gradFill>
              <a:ln w="19080">
                <a:solidFill>
                  <a:srgbClr val="ffffff"/>
                </a:solidFill>
                <a:round/>
              </a:ln>
            </c:spPr>
          </c:dPt>
          <c:dPt>
            <c:idx val="7"/>
            <c:spPr>
              <a:gradFill>
                <a:gsLst>
                  <a:gs pos="0">
                    <a:srgbClr val="9e480e"/>
                  </a:gs>
                  <a:gs pos="100000">
                    <a:srgbClr val="ef8944"/>
                  </a:gs>
                </a:gsLst>
                <a:lin ang="5400000"/>
              </a:gradFill>
              <a:ln w="19080">
                <a:solidFill>
                  <a:srgbClr val="ffffff"/>
                </a:solidFill>
                <a:round/>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4"/>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5"/>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6"/>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7"/>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4</c:f>
              <c:numCache>
                <c:formatCode>General</c:formatCode>
                <c:ptCount val="8"/>
                <c:pt idx="0">
                  <c:v>33.1</c:v>
                </c:pt>
                <c:pt idx="1">
                  <c:v>16</c:v>
                </c:pt>
                <c:pt idx="2">
                  <c:v>1.1</c:v>
                </c:pt>
                <c:pt idx="3">
                  <c:v>0.4</c:v>
                </c:pt>
                <c:pt idx="4">
                  <c:v>9</c:v>
                </c:pt>
                <c:pt idx="5">
                  <c:v>8.5</c:v>
                </c:pt>
                <c:pt idx="6">
                  <c:v>0.7</c:v>
                </c:pt>
                <c:pt idx="7">
                  <c:v>5.9</c:v>
                </c:pt>
              </c:numCache>
            </c:numRef>
          </c:val>
        </c:ser>
        <c:firstSliceAng val="0"/>
      </c:pieChart>
      <c:spPr>
        <a:noFill/>
        <a:ln w="0">
          <a:noFill/>
        </a:ln>
      </c:spPr>
    </c:plotArea>
    <c:plotVisOnly val="1"/>
    <c:dispBlanksAs val="gap"/>
  </c:chart>
  <c:spPr>
    <a:pattFill prst="ltDnDiag">
      <a:fgClr>
        <a:srgbClr val="ffffff"/>
      </a:fgClr>
      <a:bgClr>
        <a:srgbClr val="e6e6e6"/>
      </a:bgClr>
    </a:pattFill>
    <a:ln w="9360">
      <a:solidFill>
        <a:srgbClr val="d9d9d9"/>
      </a:solidFill>
      <a:round/>
    </a:ln>
  </c:spPr>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stacked"/>
        <c:varyColors val="0"/>
        <c:ser>
          <c:idx val="0"/>
          <c:order val="0"/>
          <c:tx>
            <c:strRef>
              <c:f>label 0</c:f>
              <c:strCache>
                <c:ptCount val="1"/>
                <c:pt idx="0">
                  <c:v>Добре</c:v>
                </c:pt>
              </c:strCache>
            </c:strRef>
          </c:tx>
          <c:spPr>
            <a:solidFill>
              <a:srgbClr val="549e39"/>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Послуги, пов'язані з отриманням податкової звітності та інших документів в електронному вигляді</c:v>
                </c:pt>
                <c:pt idx="1">
                  <c:v>Послуги, що надаються через Електронний кабінет (https://cabinet.tax.gov.ua/)</c:v>
                </c:pt>
                <c:pt idx="2">
                  <c:v>Послуги, що надаються через інформаційно-довідкову службу ЗІР, Ресурс (https://zir.tax.gov.ua/)</c:v>
                </c:pt>
                <c:pt idx="3">
                  <c:v>Послуги Державної податкової служби як кваліфікованого надавача електронних довірчих послуг</c:v>
                </c:pt>
                <c:pt idx="4">
                  <c:v>Надання адміністративних послуг, пов'язаних з акцизним збором</c:v>
                </c:pt>
                <c:pt idx="5">
                  <c:v>Надання інформаційно-довідкових послуг за телефоном Контакт-центру Державної податкової служби</c:v>
                </c:pt>
                <c:pt idx="6">
                  <c:v>Надання інформаційних послуг Контакт-центром Державної податкової служби через чат-бот або електронну пошту</c:v>
                </c:pt>
              </c:strCache>
            </c:strRef>
          </c:cat>
          <c:val>
            <c:numRef>
              <c:f>0</c:f>
              <c:numCache>
                <c:formatCode>General</c:formatCode>
                <c:ptCount val="7"/>
                <c:pt idx="0">
                  <c:v>81.8</c:v>
                </c:pt>
                <c:pt idx="1">
                  <c:v>78.3</c:v>
                </c:pt>
                <c:pt idx="2">
                  <c:v>35.2</c:v>
                </c:pt>
                <c:pt idx="3">
                  <c:v>45.4</c:v>
                </c:pt>
                <c:pt idx="4">
                  <c:v>15.9</c:v>
                </c:pt>
                <c:pt idx="5">
                  <c:v>32.3</c:v>
                </c:pt>
                <c:pt idx="6">
                  <c:v>29.1</c:v>
                </c:pt>
              </c:numCache>
            </c:numRef>
          </c:val>
        </c:ser>
        <c:ser>
          <c:idx val="1"/>
          <c:order val="1"/>
          <c:tx>
            <c:strRef>
              <c:f>label 1</c:f>
              <c:strCache>
                <c:ptCount val="1"/>
                <c:pt idx="0">
                  <c:v>Погано</c:v>
                </c:pt>
              </c:strCache>
            </c:strRef>
          </c:tx>
          <c:spPr>
            <a:solidFill>
              <a:srgbClr val="8ab833"/>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Послуги, пов'язані з отриманням податкової звітності та інших документів в електронному вигляді</c:v>
                </c:pt>
                <c:pt idx="1">
                  <c:v>Послуги, що надаються через Електронний кабінет (https://cabinet.tax.gov.ua/)</c:v>
                </c:pt>
                <c:pt idx="2">
                  <c:v>Послуги, що надаються через інформаційно-довідкову службу ЗІР, Ресурс (https://zir.tax.gov.ua/)</c:v>
                </c:pt>
                <c:pt idx="3">
                  <c:v>Послуги Державної податкової служби як кваліфікованого надавача електронних довірчих послуг</c:v>
                </c:pt>
                <c:pt idx="4">
                  <c:v>Надання адміністративних послуг, пов'язаних з акцизним збором</c:v>
                </c:pt>
                <c:pt idx="5">
                  <c:v>Надання інформаційно-довідкових послуг за телефоном Контакт-центру Державної податкової служби</c:v>
                </c:pt>
                <c:pt idx="6">
                  <c:v>Надання інформаційних послуг Контакт-центром Державної податкової служби через чат-бот або електронну пошту</c:v>
                </c:pt>
              </c:strCache>
            </c:strRef>
          </c:cat>
          <c:val>
            <c:numRef>
              <c:f>1</c:f>
              <c:numCache>
                <c:formatCode>General</c:formatCode>
                <c:ptCount val="7"/>
                <c:pt idx="0">
                  <c:v>11.1</c:v>
                </c:pt>
                <c:pt idx="1">
                  <c:v>15.7</c:v>
                </c:pt>
                <c:pt idx="2">
                  <c:v>17.8</c:v>
                </c:pt>
                <c:pt idx="3">
                  <c:v>10.8</c:v>
                </c:pt>
                <c:pt idx="4">
                  <c:v>5.4</c:v>
                </c:pt>
                <c:pt idx="5">
                  <c:v>26</c:v>
                </c:pt>
                <c:pt idx="6">
                  <c:v>20.4</c:v>
                </c:pt>
              </c:numCache>
            </c:numRef>
          </c:val>
        </c:ser>
        <c:ser>
          <c:idx val="2"/>
          <c:order val="2"/>
          <c:tx>
            <c:strRef>
              <c:f>label 2</c:f>
              <c:strCache>
                <c:ptCount val="1"/>
                <c:pt idx="0">
                  <c:v>Не є користувачем</c:v>
                </c:pt>
              </c:strCache>
            </c:strRef>
          </c:tx>
          <c:spPr>
            <a:solidFill>
              <a:srgbClr val="c0cf3a"/>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Послуги, пов'язані з отриманням податкової звітності та інших документів в електронному вигляді</c:v>
                </c:pt>
                <c:pt idx="1">
                  <c:v>Послуги, що надаються через Електронний кабінет (https://cabinet.tax.gov.ua/)</c:v>
                </c:pt>
                <c:pt idx="2">
                  <c:v>Послуги, що надаються через інформаційно-довідкову службу ЗІР, Ресурс (https://zir.tax.gov.ua/)</c:v>
                </c:pt>
                <c:pt idx="3">
                  <c:v>Послуги Державної податкової служби як кваліфікованого надавача електронних довірчих послуг</c:v>
                </c:pt>
                <c:pt idx="4">
                  <c:v>Надання адміністративних послуг, пов'язаних з акцизним збором</c:v>
                </c:pt>
                <c:pt idx="5">
                  <c:v>Надання інформаційно-довідкових послуг за телефоном Контакт-центру Державної податкової служби</c:v>
                </c:pt>
                <c:pt idx="6">
                  <c:v>Надання інформаційних послуг Контакт-центром Державної податкової служби через чат-бот або електронну пошту</c:v>
                </c:pt>
              </c:strCache>
            </c:strRef>
          </c:cat>
          <c:val>
            <c:numRef>
              <c:f>2</c:f>
              <c:numCache>
                <c:formatCode>General</c:formatCode>
                <c:ptCount val="7"/>
                <c:pt idx="0">
                  <c:v>1.1</c:v>
                </c:pt>
                <c:pt idx="1">
                  <c:v>1.1</c:v>
                </c:pt>
                <c:pt idx="2">
                  <c:v>16</c:v>
                </c:pt>
                <c:pt idx="3">
                  <c:v>14.9</c:v>
                </c:pt>
                <c:pt idx="4">
                  <c:v>26.8</c:v>
                </c:pt>
                <c:pt idx="5">
                  <c:v>14.3</c:v>
                </c:pt>
                <c:pt idx="6">
                  <c:v>17.4</c:v>
                </c:pt>
              </c:numCache>
            </c:numRef>
          </c:val>
        </c:ser>
        <c:ser>
          <c:idx val="3"/>
          <c:order val="3"/>
          <c:tx>
            <c:strRef>
              <c:f>label 3</c:f>
              <c:strCache>
                <c:ptCount val="1"/>
                <c:pt idx="0">
                  <c:v>Н/Д</c:v>
                </c:pt>
              </c:strCache>
            </c:strRef>
          </c:tx>
          <c:spPr>
            <a:solidFill>
              <a:srgbClr val="029676"/>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Послуги, пов'язані з отриманням податкової звітності та інших документів в електронному вигляді</c:v>
                </c:pt>
                <c:pt idx="1">
                  <c:v>Послуги, що надаються через Електронний кабінет (https://cabinet.tax.gov.ua/)</c:v>
                </c:pt>
                <c:pt idx="2">
                  <c:v>Послуги, що надаються через інформаційно-довідкову службу ЗІР, Ресурс (https://zir.tax.gov.ua/)</c:v>
                </c:pt>
                <c:pt idx="3">
                  <c:v>Послуги Державної податкової служби як кваліфікованого надавача електронних довірчих послуг</c:v>
                </c:pt>
                <c:pt idx="4">
                  <c:v>Надання адміністративних послуг, пов'язаних з акцизним збором</c:v>
                </c:pt>
                <c:pt idx="5">
                  <c:v>Надання інформаційно-довідкових послуг за телефоном Контакт-центру Державної податкової служби</c:v>
                </c:pt>
                <c:pt idx="6">
                  <c:v>Надання інформаційних послуг Контакт-центром Державної податкової служби через чат-бот або електронну пошту</c:v>
                </c:pt>
              </c:strCache>
            </c:strRef>
          </c:cat>
          <c:val>
            <c:numRef>
              <c:f>3</c:f>
              <c:numCache>
                <c:formatCode>General</c:formatCode>
                <c:ptCount val="7"/>
                <c:pt idx="0">
                  <c:v>6</c:v>
                </c:pt>
                <c:pt idx="1">
                  <c:v>4.9</c:v>
                </c:pt>
                <c:pt idx="2">
                  <c:v>30.8</c:v>
                </c:pt>
                <c:pt idx="3">
                  <c:v>28.9</c:v>
                </c:pt>
                <c:pt idx="4">
                  <c:v>52</c:v>
                </c:pt>
                <c:pt idx="5">
                  <c:v>27.4</c:v>
                </c:pt>
                <c:pt idx="6">
                  <c:v>33.1</c:v>
                </c:pt>
              </c:numCache>
            </c:numRef>
          </c:val>
        </c:ser>
        <c:gapWidth val="150"/>
        <c:overlap val="100"/>
        <c:axId val="53019133"/>
        <c:axId val="24841768"/>
      </c:barChart>
      <c:catAx>
        <c:axId val="5301913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24841768"/>
        <c:crosses val="autoZero"/>
        <c:auto val="1"/>
        <c:lblAlgn val="ctr"/>
        <c:lblOffset val="100"/>
        <c:noMultiLvlLbl val="0"/>
      </c:catAx>
      <c:valAx>
        <c:axId val="24841768"/>
        <c:scaling>
          <c:orientation val="minMax"/>
          <c:max val="10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53019133"/>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clustered"/>
        <c:varyColors val="0"/>
        <c:ser>
          <c:idx val="0"/>
          <c:order val="0"/>
          <c:tx>
            <c:strRef>
              <c:f>label 0</c:f>
              <c:strCache>
                <c:ptCount val="1"/>
                <c:pt idx="0">
                  <c:v>Фізичні особи-підприємці</c:v>
                </c:pt>
              </c:strCache>
            </c:strRef>
          </c:tx>
          <c:spPr>
            <a:solidFill>
              <a:srgbClr val="abc7a5"/>
            </a:solidFill>
            <a:ln w="0">
              <a:noFill/>
            </a:ln>
          </c:spPr>
          <c:invertIfNegative val="0"/>
          <c:dLbls>
            <c:txPr>
              <a:bodyPr wrap="non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Для подання звітів</c:v>
                </c:pt>
                <c:pt idx="1">
                  <c:v>Для пошуку новин та змін у податковому законодавстві</c:v>
                </c:pt>
                <c:pt idx="2">
                  <c:v>Для користування сервісами для платників податків</c:v>
                </c:pt>
                <c:pt idx="3">
                  <c:v>Аби знайти відповіді на запитання, опубліковані в Публічному інформаційно-довідковому ресурсі ЗІР, або отримати відповідь на них</c:v>
                </c:pt>
                <c:pt idx="4">
                  <c:v>Щоб завантажити податкові форми</c:v>
                </c:pt>
                <c:pt idx="5">
                  <c:v>Щоб отримати додаткову інформацію про місцезнаходження центрів обслуговування платників податків і дізнатися, як записатися в чергу на послугу</c:v>
                </c:pt>
                <c:pt idx="6">
                  <c:v>Для ознайомлення з інформацією, доступною в розділі онлайн-навчання</c:v>
                </c:pt>
                <c:pt idx="7">
                  <c:v>Інше</c:v>
                </c:pt>
                <c:pt idx="8">
                  <c:v>Відмовились відповісти</c:v>
                </c:pt>
                <c:pt idx="9">
                  <c:v>Не знають</c:v>
                </c:pt>
              </c:strCache>
            </c:strRef>
          </c:cat>
          <c:val>
            <c:numRef>
              <c:f>0</c:f>
              <c:numCache>
                <c:formatCode>General</c:formatCode>
                <c:ptCount val="10"/>
                <c:pt idx="0">
                  <c:v>78.6</c:v>
                </c:pt>
                <c:pt idx="1">
                  <c:v>40.6</c:v>
                </c:pt>
                <c:pt idx="2">
                  <c:v>37.4</c:v>
                </c:pt>
                <c:pt idx="3">
                  <c:v>23.7</c:v>
                </c:pt>
                <c:pt idx="4">
                  <c:v>26.5</c:v>
                </c:pt>
                <c:pt idx="5">
                  <c:v>10</c:v>
                </c:pt>
                <c:pt idx="6">
                  <c:v>10.3</c:v>
                </c:pt>
                <c:pt idx="7">
                  <c:v>0.8</c:v>
                </c:pt>
                <c:pt idx="8">
                  <c:v>0.7</c:v>
                </c:pt>
                <c:pt idx="9">
                  <c:v>0.6</c:v>
                </c:pt>
              </c:numCache>
            </c:numRef>
          </c:val>
        </c:ser>
        <c:ser>
          <c:idx val="1"/>
          <c:order val="1"/>
          <c:tx>
            <c:strRef>
              <c:f>label 1</c:f>
              <c:strCache>
                <c:ptCount val="1"/>
                <c:pt idx="0">
                  <c:v>Юридичні особи</c:v>
                </c:pt>
              </c:strCache>
            </c:strRef>
          </c:tx>
          <c:spPr>
            <a:solidFill>
              <a:srgbClr val="549e39"/>
            </a:solidFill>
            <a:ln w="0">
              <a:noFill/>
            </a:ln>
          </c:spPr>
          <c:invertIfNegative val="0"/>
          <c:dLbls>
            <c:txPr>
              <a:bodyPr wrap="non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Для подання звітів</c:v>
                </c:pt>
                <c:pt idx="1">
                  <c:v>Для пошуку новин та змін у податковому законодавстві</c:v>
                </c:pt>
                <c:pt idx="2">
                  <c:v>Для користування сервісами для платників податків</c:v>
                </c:pt>
                <c:pt idx="3">
                  <c:v>Аби знайти відповіді на запитання, опубліковані в Публічному інформаційно-довідковому ресурсі ЗІР, або отримати відповідь на них</c:v>
                </c:pt>
                <c:pt idx="4">
                  <c:v>Щоб завантажити податкові форми</c:v>
                </c:pt>
                <c:pt idx="5">
                  <c:v>Щоб отримати додаткову інформацію про місцезнаходження центрів обслуговування платників податків і дізнатися, як записатися в чергу на послугу</c:v>
                </c:pt>
                <c:pt idx="6">
                  <c:v>Для ознайомлення з інформацією, доступною в розділі онлайн-навчання</c:v>
                </c:pt>
                <c:pt idx="7">
                  <c:v>Інше</c:v>
                </c:pt>
                <c:pt idx="8">
                  <c:v>Відмовились відповісти</c:v>
                </c:pt>
                <c:pt idx="9">
                  <c:v>Не знають</c:v>
                </c:pt>
              </c:strCache>
            </c:strRef>
          </c:cat>
          <c:val>
            <c:numRef>
              <c:f>1</c:f>
              <c:numCache>
                <c:formatCode>General</c:formatCode>
                <c:ptCount val="10"/>
                <c:pt idx="0">
                  <c:v>57.6</c:v>
                </c:pt>
                <c:pt idx="1">
                  <c:v>60.5</c:v>
                </c:pt>
                <c:pt idx="2">
                  <c:v>23.2</c:v>
                </c:pt>
                <c:pt idx="3">
                  <c:v>43</c:v>
                </c:pt>
                <c:pt idx="4">
                  <c:v>20.9</c:v>
                </c:pt>
                <c:pt idx="5">
                  <c:v>10.5</c:v>
                </c:pt>
                <c:pt idx="6">
                  <c:v>6.3</c:v>
                </c:pt>
                <c:pt idx="7">
                  <c:v>0.3</c:v>
                </c:pt>
                <c:pt idx="8">
                  <c:v>0.2</c:v>
                </c:pt>
                <c:pt idx="9">
                  <c:v>0.3</c:v>
                </c:pt>
              </c:numCache>
            </c:numRef>
          </c:val>
        </c:ser>
        <c:ser>
          <c:idx val="2"/>
          <c:order val="2"/>
          <c:tx>
            <c:strRef>
              <c:f>label 2</c:f>
              <c:strCache>
                <c:ptCount val="1"/>
                <c:pt idx="0">
                  <c:v>Загалом</c:v>
                </c:pt>
              </c:strCache>
            </c:strRef>
          </c:tx>
          <c:spPr>
            <a:solidFill>
              <a:srgbClr val="45832f"/>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Для подання звітів</c:v>
                </c:pt>
                <c:pt idx="1">
                  <c:v>Для пошуку новин та змін у податковому законодавстві</c:v>
                </c:pt>
                <c:pt idx="2">
                  <c:v>Для користування сервісами для платників податків</c:v>
                </c:pt>
                <c:pt idx="3">
                  <c:v>Аби знайти відповіді на запитання, опубліковані в Публічному інформаційно-довідковому ресурсі ЗІР, або отримати відповідь на них</c:v>
                </c:pt>
                <c:pt idx="4">
                  <c:v>Щоб завантажити податкові форми</c:v>
                </c:pt>
                <c:pt idx="5">
                  <c:v>Щоб отримати додаткову інформацію про місцезнаходження центрів обслуговування платників податків і дізнатися, як записатися в чергу на послугу</c:v>
                </c:pt>
                <c:pt idx="6">
                  <c:v>Для ознайомлення з інформацією, доступною в розділі онлайн-навчання</c:v>
                </c:pt>
                <c:pt idx="7">
                  <c:v>Інше</c:v>
                </c:pt>
                <c:pt idx="8">
                  <c:v>Відмовились відповісти</c:v>
                </c:pt>
                <c:pt idx="9">
                  <c:v>Не знають</c:v>
                </c:pt>
              </c:strCache>
            </c:strRef>
          </c:cat>
          <c:val>
            <c:numRef>
              <c:f>2</c:f>
              <c:numCache>
                <c:formatCode>General</c:formatCode>
                <c:ptCount val="10"/>
                <c:pt idx="0">
                  <c:v>73</c:v>
                </c:pt>
                <c:pt idx="1">
                  <c:v>45.9</c:v>
                </c:pt>
                <c:pt idx="2">
                  <c:v>33.7</c:v>
                </c:pt>
                <c:pt idx="3">
                  <c:v>28.8</c:v>
                </c:pt>
                <c:pt idx="4">
                  <c:v>25</c:v>
                </c:pt>
                <c:pt idx="5">
                  <c:v>10.2</c:v>
                </c:pt>
                <c:pt idx="6">
                  <c:v>9.2</c:v>
                </c:pt>
                <c:pt idx="7">
                  <c:v>0.7</c:v>
                </c:pt>
                <c:pt idx="8">
                  <c:v>0.6</c:v>
                </c:pt>
                <c:pt idx="9">
                  <c:v>0.5</c:v>
                </c:pt>
              </c:numCache>
            </c:numRef>
          </c:val>
        </c:ser>
        <c:gapWidth val="182"/>
        <c:overlap val="0"/>
        <c:axId val="79356583"/>
        <c:axId val="66777894"/>
      </c:barChart>
      <c:catAx>
        <c:axId val="7935658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66777894"/>
        <c:crosses val="autoZero"/>
        <c:auto val="1"/>
        <c:lblAlgn val="ctr"/>
        <c:lblOffset val="100"/>
        <c:noMultiLvlLbl val="0"/>
      </c:catAx>
      <c:valAx>
        <c:axId val="66777894"/>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79356583"/>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stacked"/>
        <c:varyColors val="0"/>
        <c:ser>
          <c:idx val="0"/>
          <c:order val="0"/>
          <c:tx>
            <c:strRef>
              <c:f>label 0</c:f>
              <c:strCache>
                <c:ptCount val="1"/>
                <c:pt idx="0">
                  <c:v>Не мали</c:v>
                </c:pt>
              </c:strCache>
            </c:strRef>
          </c:tx>
          <c:spPr>
            <a:solidFill>
              <a:srgbClr val="549e39"/>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Приватні платежі/ подарунки або інші вигоди для парламентарів з метою вплинути на їхнє голосування</c:v>
                </c:pt>
                <c:pt idx="1">
                  <c:v>Приватні платежі/ подарунки або інші вигоди посадовим особам з метою впливу на зміст урядових постанов</c:v>
                </c:pt>
                <c:pt idx="2">
                  <c:v>Приватні виплати/ подарунки або інші вигоди місцевим чи регіональним посадовцям з метою вплинути на їхнє голосування або зміст рішень</c:v>
                </c:pt>
              </c:strCache>
            </c:strRef>
          </c:cat>
          <c:val>
            <c:numRef>
              <c:f>0</c:f>
              <c:numCache>
                <c:formatCode>General</c:formatCode>
                <c:ptCount val="3"/>
                <c:pt idx="0">
                  <c:v>6.8</c:v>
                </c:pt>
                <c:pt idx="1">
                  <c:v>6.6</c:v>
                </c:pt>
                <c:pt idx="2">
                  <c:v>6.6</c:v>
                </c:pt>
              </c:numCache>
            </c:numRef>
          </c:val>
        </c:ser>
        <c:ser>
          <c:idx val="1"/>
          <c:order val="1"/>
          <c:tx>
            <c:strRef>
              <c:f>label 1</c:f>
              <c:strCache>
                <c:ptCount val="1"/>
                <c:pt idx="0">
                  <c:v>Мали незначний</c:v>
                </c:pt>
              </c:strCache>
            </c:strRef>
          </c:tx>
          <c:spPr>
            <a:solidFill>
              <a:srgbClr val="8ab833"/>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Приватні платежі/ подарунки або інші вигоди для парламентарів з метою вплинути на їхнє голосування</c:v>
                </c:pt>
                <c:pt idx="1">
                  <c:v>Приватні платежі/ подарунки або інші вигоди посадовим особам з метою впливу на зміст урядових постанов</c:v>
                </c:pt>
                <c:pt idx="2">
                  <c:v>Приватні виплати/ подарунки або інші вигоди місцевим чи регіональним посадовцям з метою вплинути на їхнє голосування або зміст рішень</c:v>
                </c:pt>
              </c:strCache>
            </c:strRef>
          </c:cat>
          <c:val>
            <c:numRef>
              <c:f>1</c:f>
              <c:numCache>
                <c:formatCode>General</c:formatCode>
                <c:ptCount val="3"/>
                <c:pt idx="0">
                  <c:v>4.7</c:v>
                </c:pt>
                <c:pt idx="1">
                  <c:v>4.6</c:v>
                </c:pt>
                <c:pt idx="2">
                  <c:v>6.2</c:v>
                </c:pt>
              </c:numCache>
            </c:numRef>
          </c:val>
        </c:ser>
        <c:ser>
          <c:idx val="2"/>
          <c:order val="2"/>
          <c:tx>
            <c:strRef>
              <c:f>label 2</c:f>
              <c:strCache>
                <c:ptCount val="1"/>
                <c:pt idx="0">
                  <c:v>Мали значний</c:v>
                </c:pt>
              </c:strCache>
            </c:strRef>
          </c:tx>
          <c:spPr>
            <a:solidFill>
              <a:srgbClr val="c0cf3a"/>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Приватні платежі/ подарунки або інші вигоди для парламентарів з метою вплинути на їхнє голосування</c:v>
                </c:pt>
                <c:pt idx="1">
                  <c:v>Приватні платежі/ подарунки або інші вигоди посадовим особам з метою впливу на зміст урядових постанов</c:v>
                </c:pt>
                <c:pt idx="2">
                  <c:v>Приватні виплати/ подарунки або інші вигоди місцевим чи регіональним посадовцям з метою вплинути на їхнє голосування або зміст рішень</c:v>
                </c:pt>
              </c:strCache>
            </c:strRef>
          </c:cat>
          <c:val>
            <c:numRef>
              <c:f>2</c:f>
              <c:numCache>
                <c:formatCode>General</c:formatCode>
                <c:ptCount val="3"/>
                <c:pt idx="0">
                  <c:v>17.3</c:v>
                </c:pt>
                <c:pt idx="1">
                  <c:v>17.4</c:v>
                </c:pt>
                <c:pt idx="2">
                  <c:v>17.9</c:v>
                </c:pt>
              </c:numCache>
            </c:numRef>
          </c:val>
        </c:ser>
        <c:ser>
          <c:idx val="3"/>
          <c:order val="3"/>
          <c:tx>
            <c:strRef>
              <c:f>label 3</c:f>
              <c:strCache>
                <c:ptCount val="1"/>
                <c:pt idx="0">
                  <c:v>Н/Д</c:v>
                </c:pt>
              </c:strCache>
            </c:strRef>
          </c:tx>
          <c:spPr>
            <a:solidFill>
              <a:srgbClr val="029676"/>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Приватні платежі/ подарунки або інші вигоди для парламентарів з метою вплинути на їхнє голосування</c:v>
                </c:pt>
                <c:pt idx="1">
                  <c:v>Приватні платежі/ подарунки або інші вигоди посадовим особам з метою впливу на зміст урядових постанов</c:v>
                </c:pt>
                <c:pt idx="2">
                  <c:v>Приватні виплати/ подарунки або інші вигоди місцевим чи регіональним посадовцям з метою вплинути на їхнє голосування або зміст рішень</c:v>
                </c:pt>
              </c:strCache>
            </c:strRef>
          </c:cat>
          <c:val>
            <c:numRef>
              <c:f>3</c:f>
              <c:numCache>
                <c:formatCode>General</c:formatCode>
                <c:ptCount val="3"/>
                <c:pt idx="0">
                  <c:v>71.2</c:v>
                </c:pt>
                <c:pt idx="1">
                  <c:v>71.3</c:v>
                </c:pt>
                <c:pt idx="2">
                  <c:v>69.2</c:v>
                </c:pt>
              </c:numCache>
            </c:numRef>
          </c:val>
        </c:ser>
        <c:gapWidth val="150"/>
        <c:overlap val="100"/>
        <c:axId val="86298282"/>
        <c:axId val="39989976"/>
      </c:barChart>
      <c:catAx>
        <c:axId val="8629828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39989976"/>
        <c:crosses val="autoZero"/>
        <c:auto val="1"/>
        <c:lblAlgn val="ctr"/>
        <c:lblOffset val="100"/>
        <c:noMultiLvlLbl val="0"/>
      </c:catAx>
      <c:valAx>
        <c:axId val="3998997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86298282"/>
        <c:crosses val="autoZero"/>
        <c:crossBetween val="between"/>
      </c:valAx>
      <c:spPr>
        <a:noFill/>
        <a:ln w="0">
          <a:noFill/>
        </a:ln>
      </c:spPr>
    </c:plotArea>
    <c:legend>
      <c:legendPos val="b"/>
      <c:layout>
        <c:manualLayout>
          <c:xMode val="edge"/>
          <c:yMode val="edge"/>
          <c:x val="0.348625"/>
          <c:y val="0.886666666666667"/>
          <c:w val="0.629664354022126"/>
          <c:h val="0.0685631736859651"/>
        </c:manualLayout>
      </c:layout>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uk-UA" sz="1600" spc="-1" strike="noStrike">
                <a:solidFill>
                  <a:srgbClr val="808080"/>
                </a:solidFill>
                <a:latin typeface="Calibri Light"/>
              </a:defRPr>
            </a:pPr>
            <a:r>
              <a:rPr b="1" lang="uk-UA" sz="1600" spc="-1" strike="noStrike">
                <a:solidFill>
                  <a:srgbClr val="808080"/>
                </a:solidFill>
                <a:latin typeface="Calibri Light"/>
              </a:rPr>
              <a:t>Понад 80 млн гривень</a:t>
            </a:r>
          </a:p>
        </c:rich>
      </c:tx>
      <c:layout>
        <c:manualLayout>
          <c:xMode val="edge"/>
          <c:yMode val="edge"/>
          <c:x val="0.000109878035380727"/>
          <c:y val="0.0577492596248766"/>
        </c:manualLayout>
      </c:layout>
      <c:overlay val="0"/>
      <c:spPr>
        <a:noFill/>
        <a:ln w="0">
          <a:noFill/>
        </a:ln>
      </c:spPr>
    </c:title>
    <c:autoTitleDeleted val="0"/>
    <c:plotArea>
      <c:pieChart>
        <c:varyColors val="1"/>
        <c:ser>
          <c:idx val="0"/>
          <c:order val="0"/>
          <c:tx>
            <c:strRef>
              <c:f>label 0</c:f>
              <c:strCache>
                <c:ptCount val="1"/>
                <c:pt idx="0">
                  <c:v>Понад 80 мільйонів гривень</c:v>
                </c:pt>
              </c:strCache>
            </c:strRef>
          </c:tx>
          <c:spPr>
            <a:solidFill>
              <a:srgbClr val="4472c4"/>
            </a:solidFill>
            <a:ln w="0">
              <a:noFill/>
            </a:ln>
          </c:spPr>
          <c:explosion val="0"/>
          <c:dPt>
            <c:idx val="0"/>
            <c:spPr>
              <a:gradFill>
                <a:gsLst>
                  <a:gs pos="0">
                    <a:srgbClr val="4472c4"/>
                  </a:gs>
                  <a:gs pos="100000">
                    <a:srgbClr val="8faadc"/>
                  </a:gs>
                </a:gsLst>
                <a:lin ang="5400000"/>
              </a:gradFill>
              <a:ln w="19080">
                <a:solidFill>
                  <a:srgbClr val="ffffff"/>
                </a:solidFill>
                <a:round/>
              </a:ln>
            </c:spPr>
          </c:dPt>
          <c:dPt>
            <c:idx val="1"/>
            <c:spPr>
              <a:gradFill>
                <a:gsLst>
                  <a:gs pos="0">
                    <a:srgbClr val="ed7d31"/>
                  </a:gs>
                  <a:gs pos="100000">
                    <a:srgbClr val="f4b183"/>
                  </a:gs>
                </a:gsLst>
                <a:lin ang="5400000"/>
              </a:gradFill>
              <a:ln w="19080">
                <a:solidFill>
                  <a:srgbClr val="ffffff"/>
                </a:solidFill>
                <a:round/>
              </a:ln>
            </c:spPr>
          </c:dPt>
          <c:dPt>
            <c:idx val="2"/>
            <c:spPr>
              <a:gradFill>
                <a:gsLst>
                  <a:gs pos="0">
                    <a:srgbClr val="a5a5a5"/>
                  </a:gs>
                  <a:gs pos="100000">
                    <a:srgbClr val="c9c9c9"/>
                  </a:gs>
                </a:gsLst>
                <a:lin ang="5400000"/>
              </a:gradFill>
              <a:ln w="19080">
                <a:solidFill>
                  <a:srgbClr val="ffffff"/>
                </a:solidFill>
                <a:round/>
              </a:ln>
            </c:spPr>
          </c:dPt>
          <c:dPt>
            <c:idx val="3"/>
            <c:spPr>
              <a:gradFill>
                <a:gsLst>
                  <a:gs pos="0">
                    <a:srgbClr val="ffc000"/>
                  </a:gs>
                  <a:gs pos="100000">
                    <a:srgbClr val="ffd966"/>
                  </a:gs>
                </a:gsLst>
                <a:lin ang="5400000"/>
              </a:gradFill>
              <a:ln w="19080">
                <a:solidFill>
                  <a:srgbClr val="ffffff"/>
                </a:solidFill>
                <a:round/>
              </a:ln>
            </c:spPr>
          </c:dPt>
          <c:dPt>
            <c:idx val="4"/>
            <c:spPr>
              <a:gradFill>
                <a:gsLst>
                  <a:gs pos="0">
                    <a:srgbClr val="5b9bd5"/>
                  </a:gs>
                  <a:gs pos="100000">
                    <a:srgbClr val="9dc3e6"/>
                  </a:gs>
                </a:gsLst>
                <a:lin ang="5400000"/>
              </a:gradFill>
              <a:ln w="19080">
                <a:solidFill>
                  <a:srgbClr val="ffffff"/>
                </a:solidFill>
                <a:round/>
              </a:ln>
            </c:spPr>
          </c:dPt>
          <c:dPt>
            <c:idx val="5"/>
            <c:spPr>
              <a:gradFill>
                <a:gsLst>
                  <a:gs pos="0">
                    <a:srgbClr val="70ad47"/>
                  </a:gs>
                  <a:gs pos="100000">
                    <a:srgbClr val="a9d18e"/>
                  </a:gs>
                </a:gsLst>
                <a:lin ang="5400000"/>
              </a:gradFill>
              <a:ln w="19080">
                <a:solidFill>
                  <a:srgbClr val="ffffff"/>
                </a:solidFill>
                <a:round/>
              </a:ln>
            </c:spPr>
          </c:dPt>
          <c:dPt>
            <c:idx val="6"/>
            <c:spPr>
              <a:gradFill>
                <a:gsLst>
                  <a:gs pos="0">
                    <a:srgbClr val="264478"/>
                  </a:gs>
                  <a:gs pos="100000">
                    <a:srgbClr val="5f86cc"/>
                  </a:gs>
                </a:gsLst>
                <a:lin ang="5400000"/>
              </a:gradFill>
              <a:ln w="19080">
                <a:solidFill>
                  <a:srgbClr val="ffffff"/>
                </a:solidFill>
                <a:round/>
              </a:ln>
            </c:spPr>
          </c:dPt>
          <c:dPt>
            <c:idx val="7"/>
            <c:spPr>
              <a:gradFill>
                <a:gsLst>
                  <a:gs pos="0">
                    <a:srgbClr val="9e480e"/>
                  </a:gs>
                  <a:gs pos="100000">
                    <a:srgbClr val="ef8944"/>
                  </a:gs>
                </a:gsLst>
                <a:lin ang="5400000"/>
              </a:gradFill>
              <a:ln w="19080">
                <a:solidFill>
                  <a:srgbClr val="ffffff"/>
                </a:solidFill>
                <a:round/>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4"/>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5"/>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6"/>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7"/>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0</c:f>
              <c:numCache>
                <c:formatCode>General</c:formatCode>
                <c:ptCount val="8"/>
                <c:pt idx="0">
                  <c:v>207.5</c:v>
                </c:pt>
                <c:pt idx="1">
                  <c:v>67.3</c:v>
                </c:pt>
                <c:pt idx="2">
                  <c:v>1.2</c:v>
                </c:pt>
                <c:pt idx="3">
                  <c:v>0.7</c:v>
                </c:pt>
                <c:pt idx="4">
                  <c:v>30.2</c:v>
                </c:pt>
                <c:pt idx="5">
                  <c:v>31.4</c:v>
                </c:pt>
                <c:pt idx="6">
                  <c:v>2.6</c:v>
                </c:pt>
                <c:pt idx="7">
                  <c:v>28.9</c:v>
                </c:pt>
              </c:numCache>
            </c:numRef>
          </c:val>
        </c:ser>
        <c:firstSliceAng val="0"/>
      </c:pieChart>
      <c:spPr>
        <a:noFill/>
        <a:ln w="0">
          <a:noFill/>
        </a:ln>
      </c:spPr>
    </c:plotArea>
    <c:legend>
      <c:legendPos val="r"/>
      <c:layout>
        <c:manualLayout>
          <c:xMode val="edge"/>
          <c:yMode val="edge"/>
          <c:x val="0.59775"/>
          <c:y val="0.0273333333333333"/>
          <c:w val="0.360272517032315"/>
          <c:h val="0.972663629292144"/>
        </c:manualLayout>
      </c:layout>
      <c:overlay val="0"/>
      <c:spPr>
        <a:solidFill>
          <a:srgbClr val="ffffff">
            <a:alpha val="50000"/>
          </a:srgbClr>
        </a:solidFill>
        <a:ln w="0">
          <a:noFill/>
        </a:ln>
      </c:spPr>
      <c:txPr>
        <a:bodyPr/>
        <a:lstStyle/>
        <a:p>
          <a:pPr>
            <a:defRPr b="0" sz="900" spc="-1" strike="noStrike">
              <a:solidFill>
                <a:srgbClr val="595959"/>
              </a:solidFill>
              <a:latin typeface="Calibri"/>
            </a:defRPr>
          </a:pPr>
        </a:p>
      </c:txPr>
    </c:legend>
    <c:plotVisOnly val="1"/>
    <c:dispBlanksAs val="gap"/>
  </c:chart>
  <c:spPr>
    <a:pattFill prst="ltDnDiag">
      <a:fgClr>
        <a:srgbClr val="ffffff"/>
      </a:fgClr>
      <a:bgClr>
        <a:srgbClr val="e6e6e6"/>
      </a:bgClr>
    </a:patt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Загальний середній показник</c:v>
                </c:pt>
              </c:strCache>
            </c:strRef>
          </c:tx>
          <c:spPr>
            <a:solidFill>
              <a:srgbClr val="549e39"/>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Total number of employees responsible for book-keeping and/or tax accounting</c:v>
                </c:pt>
                <c:pt idx="1">
                  <c:v>Number of female responsible for book-keeping and/or tax accounting</c:v>
                </c:pt>
                <c:pt idx="2">
                  <c:v>Total number of employees were responsible for book-keeping </c:v>
                </c:pt>
                <c:pt idx="3">
                  <c:v>Number of female responsible for book-keeping</c:v>
                </c:pt>
                <c:pt idx="4">
                  <c:v>Total number of employees were responsible for tax accounting</c:v>
                </c:pt>
                <c:pt idx="5">
                  <c:v>Number of female responsible for tax accounting</c:v>
                </c:pt>
              </c:strCache>
            </c:strRef>
          </c:cat>
          <c:val>
            <c:numRef>
              <c:f>0</c:f>
              <c:numCache>
                <c:formatCode>General</c:formatCode>
                <c:ptCount val="6"/>
                <c:pt idx="0">
                  <c:v>1.9</c:v>
                </c:pt>
                <c:pt idx="1">
                  <c:v>1.5</c:v>
                </c:pt>
                <c:pt idx="2">
                  <c:v>0.8</c:v>
                </c:pt>
                <c:pt idx="3">
                  <c:v>0.7</c:v>
                </c:pt>
                <c:pt idx="4">
                  <c:v>0.3</c:v>
                </c:pt>
                <c:pt idx="5">
                  <c:v>0.3</c:v>
                </c:pt>
              </c:numCache>
            </c:numRef>
          </c:val>
        </c:ser>
        <c:gapWidth val="219"/>
        <c:overlap val="-27"/>
        <c:axId val="8841847"/>
        <c:axId val="56562430"/>
      </c:barChart>
      <c:catAx>
        <c:axId val="884184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56562430"/>
        <c:crosses val="autoZero"/>
        <c:auto val="1"/>
        <c:lblAlgn val="ctr"/>
        <c:lblOffset val="100"/>
        <c:noMultiLvlLbl val="0"/>
      </c:catAx>
      <c:valAx>
        <c:axId val="5656243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8841847"/>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Фізичні особи-підприємці</c:v>
                </c:pt>
              </c:strCache>
            </c:strRef>
          </c:tx>
          <c:spPr>
            <a:solidFill>
              <a:srgbClr val="549e39"/>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No or insufficient knowledge on tax accounti</c:v>
                </c:pt>
                <c:pt idx="1">
                  <c:v>Averting or eliminating formal/red tape/unre</c:v>
                </c:pt>
                <c:pt idx="2">
                  <c:v>Obtaining some advantage over other taxpayer</c:v>
                </c:pt>
                <c:pt idx="3">
                  <c:v>Solving issues in a situation of the tax eva</c:v>
                </c:pt>
                <c:pt idx="4">
                  <c:v>Refused to answer</c:v>
                </c:pt>
                <c:pt idx="5">
                  <c:v>Does not know</c:v>
                </c:pt>
              </c:strCache>
            </c:strRef>
          </c:cat>
          <c:val>
            <c:numRef>
              <c:f>0</c:f>
              <c:numCache>
                <c:formatCode>General</c:formatCode>
                <c:ptCount val="6"/>
                <c:pt idx="0">
                  <c:v>77</c:v>
                </c:pt>
                <c:pt idx="1">
                  <c:v>38.2</c:v>
                </c:pt>
                <c:pt idx="2">
                  <c:v>3.5</c:v>
                </c:pt>
                <c:pt idx="3">
                  <c:v>4.4</c:v>
                </c:pt>
                <c:pt idx="4">
                  <c:v>1.2</c:v>
                </c:pt>
                <c:pt idx="5">
                  <c:v>0.6</c:v>
                </c:pt>
              </c:numCache>
            </c:numRef>
          </c:val>
        </c:ser>
        <c:ser>
          <c:idx val="1"/>
          <c:order val="1"/>
          <c:tx>
            <c:strRef>
              <c:f>label 1</c:f>
              <c:strCache>
                <c:ptCount val="1"/>
                <c:pt idx="0">
                  <c:v>Юридичні особи</c:v>
                </c:pt>
              </c:strCache>
            </c:strRef>
          </c:tx>
          <c:spPr>
            <a:solidFill>
              <a:srgbClr val="8ab833"/>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No or insufficient knowledge on tax accounti</c:v>
                </c:pt>
                <c:pt idx="1">
                  <c:v>Averting or eliminating formal/red tape/unre</c:v>
                </c:pt>
                <c:pt idx="2">
                  <c:v>Obtaining some advantage over other taxpayer</c:v>
                </c:pt>
                <c:pt idx="3">
                  <c:v>Solving issues in a situation of the tax eva</c:v>
                </c:pt>
                <c:pt idx="4">
                  <c:v>Refused to answer</c:v>
                </c:pt>
                <c:pt idx="5">
                  <c:v>Does not know</c:v>
                </c:pt>
              </c:strCache>
            </c:strRef>
          </c:cat>
          <c:val>
            <c:numRef>
              <c:f>1</c:f>
              <c:numCache>
                <c:formatCode>General</c:formatCode>
                <c:ptCount val="6"/>
                <c:pt idx="0">
                  <c:v>36.3</c:v>
                </c:pt>
                <c:pt idx="1">
                  <c:v>53.1</c:v>
                </c:pt>
                <c:pt idx="2">
                  <c:v>3.9</c:v>
                </c:pt>
                <c:pt idx="3">
                  <c:v>1.5</c:v>
                </c:pt>
                <c:pt idx="4">
                  <c:v>13.4</c:v>
                </c:pt>
                <c:pt idx="5">
                  <c:v>0</c:v>
                </c:pt>
              </c:numCache>
            </c:numRef>
          </c:val>
        </c:ser>
        <c:ser>
          <c:idx val="2"/>
          <c:order val="2"/>
          <c:tx>
            <c:strRef>
              <c:f>label 2</c:f>
              <c:strCache>
                <c:ptCount val="1"/>
                <c:pt idx="0">
                  <c:v>Загалом</c:v>
                </c:pt>
              </c:strCache>
            </c:strRef>
          </c:tx>
          <c:spPr>
            <a:solidFill>
              <a:srgbClr val="a6a6a6"/>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No or insufficient knowledge on tax accounti</c:v>
                </c:pt>
                <c:pt idx="1">
                  <c:v>Averting or eliminating formal/red tape/unre</c:v>
                </c:pt>
                <c:pt idx="2">
                  <c:v>Obtaining some advantage over other taxpayer</c:v>
                </c:pt>
                <c:pt idx="3">
                  <c:v>Solving issues in a situation of the tax eva</c:v>
                </c:pt>
                <c:pt idx="4">
                  <c:v>Refused to answer</c:v>
                </c:pt>
                <c:pt idx="5">
                  <c:v>Does not know</c:v>
                </c:pt>
              </c:strCache>
            </c:strRef>
          </c:cat>
          <c:val>
            <c:numRef>
              <c:f>2</c:f>
              <c:numCache>
                <c:formatCode>General</c:formatCode>
                <c:ptCount val="6"/>
                <c:pt idx="0">
                  <c:v>68.7</c:v>
                </c:pt>
                <c:pt idx="1">
                  <c:v>41.2</c:v>
                </c:pt>
                <c:pt idx="2">
                  <c:v>3.6</c:v>
                </c:pt>
                <c:pt idx="3">
                  <c:v>3.8</c:v>
                </c:pt>
                <c:pt idx="4">
                  <c:v>3.7</c:v>
                </c:pt>
                <c:pt idx="5">
                  <c:v>0.5</c:v>
                </c:pt>
              </c:numCache>
            </c:numRef>
          </c:val>
        </c:ser>
        <c:gapWidth val="219"/>
        <c:overlap val="-27"/>
        <c:axId val="78347383"/>
        <c:axId val="48297230"/>
      </c:barChart>
      <c:catAx>
        <c:axId val="7834738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48297230"/>
        <c:crosses val="autoZero"/>
        <c:auto val="1"/>
        <c:lblAlgn val="ctr"/>
        <c:lblOffset val="100"/>
        <c:noMultiLvlLbl val="0"/>
      </c:catAx>
      <c:valAx>
        <c:axId val="4829723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78347383"/>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stacked"/>
        <c:varyColors val="0"/>
        <c:ser>
          <c:idx val="0"/>
          <c:order val="0"/>
          <c:tx>
            <c:strRef>
              <c:f>label 0</c:f>
              <c:strCache>
                <c:ptCount val="1"/>
                <c:pt idx="0">
                  <c:v>Так</c:v>
                </c:pt>
              </c:strCache>
            </c:strRef>
          </c:tx>
          <c:spPr>
            <a:solidFill>
              <a:srgbClr val="549e39"/>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Без найманих працівників</c:v>
                </c:pt>
                <c:pt idx="1">
                  <c:v>До 50 працівників</c:v>
                </c:pt>
                <c:pt idx="2">
                  <c:v>Понад 50 працівників</c:v>
                </c:pt>
                <c:pt idx="3">
                  <c:v>Всього</c:v>
                </c:pt>
              </c:strCache>
            </c:strRef>
          </c:cat>
          <c:val>
            <c:numRef>
              <c:f>0</c:f>
              <c:numCache>
                <c:formatCode>General</c:formatCode>
                <c:ptCount val="4"/>
                <c:pt idx="0">
                  <c:v>17</c:v>
                </c:pt>
                <c:pt idx="1">
                  <c:v>45.1</c:v>
                </c:pt>
                <c:pt idx="2">
                  <c:v>72.2</c:v>
                </c:pt>
                <c:pt idx="3">
                  <c:v>28.9</c:v>
                </c:pt>
              </c:numCache>
            </c:numRef>
          </c:val>
        </c:ser>
        <c:ser>
          <c:idx val="1"/>
          <c:order val="1"/>
          <c:tx>
            <c:strRef>
              <c:f>label 1</c:f>
              <c:strCache>
                <c:ptCount val="1"/>
                <c:pt idx="0">
                  <c:v>Ні</c:v>
                </c:pt>
              </c:strCache>
            </c:strRef>
          </c:tx>
          <c:spPr>
            <a:blipFill rotWithShape="0">
              <a:blip r:embed="rId1"/>
              <a:stretch>
                <a:fillRect/>
              </a:stretch>
            </a:blip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Без найманих працівників</c:v>
                </c:pt>
                <c:pt idx="1">
                  <c:v>До 50 працівників</c:v>
                </c:pt>
                <c:pt idx="2">
                  <c:v>Понад 50 працівників</c:v>
                </c:pt>
                <c:pt idx="3">
                  <c:v>Всього</c:v>
                </c:pt>
              </c:strCache>
            </c:strRef>
          </c:cat>
          <c:val>
            <c:numRef>
              <c:f>1</c:f>
              <c:numCache>
                <c:formatCode>General</c:formatCode>
                <c:ptCount val="4"/>
                <c:pt idx="0">
                  <c:v>79.1</c:v>
                </c:pt>
                <c:pt idx="1">
                  <c:v>52.3</c:v>
                </c:pt>
                <c:pt idx="2">
                  <c:v>27.8</c:v>
                </c:pt>
                <c:pt idx="3">
                  <c:v>67.8</c:v>
                </c:pt>
              </c:numCache>
            </c:numRef>
          </c:val>
        </c:ser>
        <c:ser>
          <c:idx val="2"/>
          <c:order val="2"/>
          <c:tx>
            <c:strRef>
              <c:f>label 2</c:f>
              <c:strCache>
                <c:ptCount val="1"/>
                <c:pt idx="0">
                  <c:v>Не знають</c:v>
                </c:pt>
              </c:strCache>
            </c:strRef>
          </c:tx>
          <c:spPr>
            <a:solidFill>
              <a:srgbClr val="c0cf3a"/>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Без найманих працівників</c:v>
                </c:pt>
                <c:pt idx="1">
                  <c:v>До 50 працівників</c:v>
                </c:pt>
                <c:pt idx="2">
                  <c:v>Понад 50 працівників</c:v>
                </c:pt>
                <c:pt idx="3">
                  <c:v>Всього</c:v>
                </c:pt>
              </c:strCache>
            </c:strRef>
          </c:cat>
          <c:val>
            <c:numRef>
              <c:f>2</c:f>
              <c:numCache>
                <c:formatCode>General</c:formatCode>
                <c:ptCount val="4"/>
                <c:pt idx="0">
                  <c:v>2.5</c:v>
                </c:pt>
                <c:pt idx="1">
                  <c:v>1.5</c:v>
                </c:pt>
                <c:pt idx="2">
                  <c:v>0</c:v>
                </c:pt>
                <c:pt idx="3">
                  <c:v>2</c:v>
                </c:pt>
              </c:numCache>
            </c:numRef>
          </c:val>
        </c:ser>
        <c:ser>
          <c:idx val="3"/>
          <c:order val="3"/>
          <c:tx>
            <c:strRef>
              <c:f>label 3</c:f>
              <c:strCache>
                <c:ptCount val="1"/>
                <c:pt idx="0">
                  <c:v>Відмовились відповісти </c:v>
                </c:pt>
              </c:strCache>
            </c:strRef>
          </c:tx>
          <c:spPr>
            <a:solidFill>
              <a:srgbClr val="029676"/>
            </a:solidFill>
            <a:ln w="0">
              <a:noFill/>
            </a:ln>
          </c:spPr>
          <c:invertIfNegative val="0"/>
          <c:dLbls>
            <c:txPr>
              <a:bodyPr wrap="none"/>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Без найманих працівників</c:v>
                </c:pt>
                <c:pt idx="1">
                  <c:v>До 50 працівників</c:v>
                </c:pt>
                <c:pt idx="2">
                  <c:v>Понад 50 працівників</c:v>
                </c:pt>
                <c:pt idx="3">
                  <c:v>Всього</c:v>
                </c:pt>
              </c:strCache>
            </c:strRef>
          </c:cat>
          <c:val>
            <c:numRef>
              <c:f>3</c:f>
              <c:numCache>
                <c:formatCode>General</c:formatCode>
                <c:ptCount val="4"/>
                <c:pt idx="0">
                  <c:v>1.4</c:v>
                </c:pt>
                <c:pt idx="1">
                  <c:v>1.1</c:v>
                </c:pt>
                <c:pt idx="2">
                  <c:v>0</c:v>
                </c:pt>
                <c:pt idx="3">
                  <c:v>1.3</c:v>
                </c:pt>
              </c:numCache>
            </c:numRef>
          </c:val>
        </c:ser>
        <c:gapWidth val="150"/>
        <c:overlap val="100"/>
        <c:axId val="28552221"/>
        <c:axId val="38334145"/>
      </c:barChart>
      <c:catAx>
        <c:axId val="28552221"/>
        <c:scaling>
          <c:orientation val="minMax"/>
        </c:scaling>
        <c:delete val="0"/>
        <c:axPos val="b"/>
        <c:numFmt formatCode="General" sourceLinked="0"/>
        <c:majorTickMark val="out"/>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38334145"/>
        <c:crosses val="autoZero"/>
        <c:auto val="1"/>
        <c:lblAlgn val="ctr"/>
        <c:lblOffset val="100"/>
        <c:noMultiLvlLbl val="0"/>
      </c:catAx>
      <c:valAx>
        <c:axId val="38334145"/>
        <c:scaling>
          <c:orientation val="minMax"/>
          <c:max val="100"/>
        </c:scaling>
        <c:delete val="0"/>
        <c:axPos val="l"/>
        <c:majorGridlines>
          <c:spPr>
            <a:ln w="9360">
              <a:solidFill>
                <a:srgbClr val="d9d9d9"/>
              </a:solidFill>
              <a:round/>
            </a:ln>
          </c:spPr>
        </c:majorGridlines>
        <c:numFmt formatCode="General" sourceLinked="0"/>
        <c:majorTickMark val="out"/>
        <c:minorTickMark val="none"/>
        <c:tickLblPos val="nextTo"/>
        <c:spPr>
          <a:ln w="6480">
            <a:noFill/>
          </a:ln>
        </c:spPr>
        <c:txPr>
          <a:bodyPr/>
          <a:lstStyle/>
          <a:p>
            <a:pPr>
              <a:defRPr b="0" sz="900" spc="-1" strike="noStrike">
                <a:solidFill>
                  <a:srgbClr val="595959"/>
                </a:solidFill>
                <a:latin typeface="Calibri"/>
              </a:defRPr>
            </a:pPr>
          </a:p>
        </c:txPr>
        <c:crossAx val="28552221"/>
        <c:crosses val="autoZero"/>
        <c:crossBetween val="between"/>
      </c:valAx>
      <c:spPr>
        <a:noFill/>
        <a:ln w="0">
          <a:noFill/>
        </a:ln>
      </c:spPr>
    </c:plotArea>
    <c:legend>
      <c:legendPos val="t"/>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1994375"/>
          <c:y val="0.0517777777777778"/>
          <c:w val="0.77175"/>
          <c:h val="0.755111111111111"/>
        </c:manualLayout>
      </c:layout>
      <c:barChart>
        <c:barDir val="bar"/>
        <c:grouping val="stacked"/>
        <c:varyColors val="0"/>
        <c:ser>
          <c:idx val="0"/>
          <c:order val="0"/>
          <c:tx>
            <c:strRef>
              <c:f>label 0</c:f>
              <c:strCache>
                <c:ptCount val="1"/>
                <c:pt idx="0">
                  <c:v>Так, через Державну податкову службу</c:v>
                </c:pt>
              </c:strCache>
            </c:strRef>
          </c:tx>
          <c:spPr>
            <a:solidFill>
              <a:srgbClr val="549e39"/>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Без найманих працівників</c:v>
                </c:pt>
                <c:pt idx="1">
                  <c:v>До 50 працівників</c:v>
                </c:pt>
                <c:pt idx="2">
                  <c:v>Понад 50 працівників</c:v>
                </c:pt>
                <c:pt idx="3">
                  <c:v>Всього</c:v>
                </c:pt>
              </c:strCache>
            </c:strRef>
          </c:cat>
          <c:val>
            <c:numRef>
              <c:f>0</c:f>
              <c:numCache>
                <c:formatCode>General</c:formatCode>
                <c:ptCount val="4"/>
                <c:pt idx="0">
                  <c:v>36.4</c:v>
                </c:pt>
                <c:pt idx="1">
                  <c:v>33.5</c:v>
                </c:pt>
                <c:pt idx="2">
                  <c:v>28</c:v>
                </c:pt>
                <c:pt idx="3">
                  <c:v>33.8</c:v>
                </c:pt>
              </c:numCache>
            </c:numRef>
          </c:val>
        </c:ser>
        <c:ser>
          <c:idx val="1"/>
          <c:order val="1"/>
          <c:tx>
            <c:strRef>
              <c:f>label 1</c:f>
              <c:strCache>
                <c:ptCount val="1"/>
                <c:pt idx="0">
                  <c:v>Так, через суд</c:v>
                </c:pt>
              </c:strCache>
            </c:strRef>
          </c:tx>
          <c:spPr>
            <a:blipFill rotWithShape="0">
              <a:blip r:embed="rId1"/>
              <a:stretch>
                <a:fillRect/>
              </a:stretch>
            </a:blip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Без найманих працівників</c:v>
                </c:pt>
                <c:pt idx="1">
                  <c:v>До 50 працівників</c:v>
                </c:pt>
                <c:pt idx="2">
                  <c:v>Понад 50 працівників</c:v>
                </c:pt>
                <c:pt idx="3">
                  <c:v>Всього</c:v>
                </c:pt>
              </c:strCache>
            </c:strRef>
          </c:cat>
          <c:val>
            <c:numRef>
              <c:f>1</c:f>
              <c:numCache>
                <c:formatCode>General</c:formatCode>
                <c:ptCount val="4"/>
                <c:pt idx="0">
                  <c:v>8.4</c:v>
                </c:pt>
                <c:pt idx="1">
                  <c:v>26.9</c:v>
                </c:pt>
                <c:pt idx="2">
                  <c:v>66.1</c:v>
                </c:pt>
                <c:pt idx="3">
                  <c:v>20</c:v>
                </c:pt>
              </c:numCache>
            </c:numRef>
          </c:val>
        </c:ser>
        <c:ser>
          <c:idx val="2"/>
          <c:order val="2"/>
          <c:tx>
            <c:strRef>
              <c:f>label 2</c:f>
              <c:strCache>
                <c:ptCount val="1"/>
                <c:pt idx="0">
                  <c:v>Ні</c:v>
                </c:pt>
              </c:strCache>
            </c:strRef>
          </c:tx>
          <c:spPr>
            <a:solidFill>
              <a:srgbClr val="c0cf3a"/>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Без найманих працівників</c:v>
                </c:pt>
                <c:pt idx="1">
                  <c:v>До 50 працівників</c:v>
                </c:pt>
                <c:pt idx="2">
                  <c:v>Понад 50 працівників</c:v>
                </c:pt>
                <c:pt idx="3">
                  <c:v>Всього</c:v>
                </c:pt>
              </c:strCache>
            </c:strRef>
          </c:cat>
          <c:val>
            <c:numRef>
              <c:f>2</c:f>
              <c:numCache>
                <c:formatCode>General</c:formatCode>
                <c:ptCount val="4"/>
                <c:pt idx="0">
                  <c:v>48.5</c:v>
                </c:pt>
                <c:pt idx="1">
                  <c:v>39.5</c:v>
                </c:pt>
                <c:pt idx="2">
                  <c:v>5.9</c:v>
                </c:pt>
                <c:pt idx="3">
                  <c:v>43.3</c:v>
                </c:pt>
              </c:numCache>
            </c:numRef>
          </c:val>
        </c:ser>
        <c:ser>
          <c:idx val="3"/>
          <c:order val="3"/>
          <c:tx>
            <c:strRef>
              <c:f>label 3</c:f>
              <c:strCache>
                <c:ptCount val="1"/>
                <c:pt idx="0">
                  <c:v>Не знають</c:v>
                </c:pt>
              </c:strCache>
            </c:strRef>
          </c:tx>
          <c:spPr>
            <a:solidFill>
              <a:srgbClr val="029676"/>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Без найманих працівників</c:v>
                </c:pt>
                <c:pt idx="1">
                  <c:v>До 50 працівників</c:v>
                </c:pt>
                <c:pt idx="2">
                  <c:v>Понад 50 працівників</c:v>
                </c:pt>
                <c:pt idx="3">
                  <c:v>Всього</c:v>
                </c:pt>
              </c:strCache>
            </c:strRef>
          </c:cat>
          <c:val>
            <c:numRef>
              <c:f>3</c:f>
              <c:numCache>
                <c:formatCode>General</c:formatCode>
                <c:ptCount val="4"/>
                <c:pt idx="0">
                  <c:v>2</c:v>
                </c:pt>
                <c:pt idx="1">
                  <c:v>0</c:v>
                </c:pt>
                <c:pt idx="2">
                  <c:v>0</c:v>
                </c:pt>
                <c:pt idx="3">
                  <c:v>0.8</c:v>
                </c:pt>
              </c:numCache>
            </c:numRef>
          </c:val>
        </c:ser>
        <c:ser>
          <c:idx val="4"/>
          <c:order val="4"/>
          <c:tx>
            <c:strRef>
              <c:f>label 4</c:f>
              <c:strCache>
                <c:ptCount val="1"/>
                <c:pt idx="0">
                  <c:v>Відмовились відповісти </c:v>
                </c:pt>
              </c:strCache>
            </c:strRef>
          </c:tx>
          <c:spPr>
            <a:solidFill>
              <a:srgbClr val="4ab5c4"/>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Без найманих працівників</c:v>
                </c:pt>
                <c:pt idx="1">
                  <c:v>До 50 працівників</c:v>
                </c:pt>
                <c:pt idx="2">
                  <c:v>Понад 50 працівників</c:v>
                </c:pt>
                <c:pt idx="3">
                  <c:v>Всього</c:v>
                </c:pt>
              </c:strCache>
            </c:strRef>
          </c:cat>
          <c:val>
            <c:numRef>
              <c:f>4</c:f>
              <c:numCache>
                <c:formatCode>General</c:formatCode>
                <c:ptCount val="4"/>
                <c:pt idx="0">
                  <c:v>4.8</c:v>
                </c:pt>
                <c:pt idx="1">
                  <c:v>0</c:v>
                </c:pt>
                <c:pt idx="2">
                  <c:v>0</c:v>
                </c:pt>
                <c:pt idx="3">
                  <c:v>2</c:v>
                </c:pt>
              </c:numCache>
            </c:numRef>
          </c:val>
        </c:ser>
        <c:gapWidth val="150"/>
        <c:overlap val="100"/>
        <c:axId val="41822871"/>
        <c:axId val="18937709"/>
      </c:barChart>
      <c:catAx>
        <c:axId val="4182287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18937709"/>
        <c:crosses val="autoZero"/>
        <c:auto val="1"/>
        <c:lblAlgn val="ctr"/>
        <c:lblOffset val="100"/>
        <c:noMultiLvlLbl val="0"/>
      </c:catAx>
      <c:valAx>
        <c:axId val="18937709"/>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41822871"/>
        <c:crosses val="autoZero"/>
        <c:crossBetween val="between"/>
      </c:valAx>
      <c:spPr>
        <a:noFill/>
        <a:ln w="0">
          <a:noFill/>
        </a:ln>
      </c:spPr>
    </c:plotArea>
    <c:legend>
      <c:legendPos val="b"/>
      <c:layout>
        <c:manualLayout>
          <c:xMode val="edge"/>
          <c:yMode val="edge"/>
          <c:x val="0.0499375"/>
          <c:y val="0.866222222222222"/>
          <c:w val="0.899993749609351"/>
          <c:h val="0.0781197910878987"/>
        </c:manualLayout>
      </c:layout>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Серія 1</c:v>
                </c:pt>
              </c:strCache>
            </c:strRef>
          </c:tx>
          <c:spPr>
            <a:solidFill>
              <a:srgbClr val="549e39"/>
            </a:solidFill>
            <a:ln w="0">
              <a:noFill/>
            </a:ln>
          </c:spPr>
          <c:explosion val="0"/>
          <c:dPt>
            <c:idx val="0"/>
            <c:spPr>
              <a:solidFill>
                <a:srgbClr val="549e39"/>
              </a:solidFill>
              <a:ln w="19080">
                <a:solidFill>
                  <a:srgbClr val="ffffff"/>
                </a:solidFill>
                <a:round/>
              </a:ln>
            </c:spPr>
          </c:dPt>
          <c:dPt>
            <c:idx val="1"/>
            <c:spPr>
              <a:solidFill>
                <a:srgbClr val="8ab833"/>
              </a:solidFill>
              <a:ln w="19080">
                <a:solidFill>
                  <a:srgbClr val="ffffff"/>
                </a:solidFill>
                <a:round/>
              </a:ln>
            </c:spPr>
          </c:dPt>
          <c:dPt>
            <c:idx val="2"/>
            <c:spPr>
              <a:solidFill>
                <a:srgbClr val="c0cf3a"/>
              </a:solidFill>
              <a:ln w="19080">
                <a:solidFill>
                  <a:srgbClr val="ffffff"/>
                </a:solidFill>
                <a:round/>
              </a:ln>
            </c:spPr>
          </c:dPt>
          <c:dPt>
            <c:idx val="3"/>
            <c:spPr>
              <a:solidFill>
                <a:srgbClr val="029676"/>
              </a:solidFill>
              <a:ln w="19080">
                <a:solidFill>
                  <a:srgbClr val="ffffff"/>
                </a:solidFill>
                <a:round/>
              </a:ln>
            </c:spPr>
          </c:dPt>
          <c:dPt>
            <c:idx val="4"/>
            <c:spPr>
              <a:solidFill>
                <a:srgbClr val="4ab5c4"/>
              </a:solidFill>
              <a:ln w="19080">
                <a:solidFill>
                  <a:srgbClr val="ffffff"/>
                </a:solidFill>
                <a:round/>
              </a:ln>
            </c:spPr>
          </c:dPt>
          <c:dLbls>
            <c:dLbl>
              <c:idx val="0"/>
              <c:spPr>
                <a:solidFill>
                  <a:srgbClr val="FFFFFF"/>
                </a:solidFill>
              </c:spPr>
              <c:txPr>
                <a:bodyPr wrap="square"/>
                <a:lstStyle/>
                <a:p>
                  <a:pPr>
                    <a:defRPr b="0" sz="800" spc="-1" strike="noStrike">
                      <a:solidFill>
                        <a:srgbClr val="000000"/>
                      </a:solidFill>
                      <a:latin typeface="Calibri"/>
                    </a:defRPr>
                  </a:pPr>
                </a:p>
              </c:txPr>
              <c:tx>
                <c:rich>
                  <a:bodyPr/>
                  <a:p>
                    <a:r>
                      <a:rPr b="0" sz="800" spc="-1" strike="noStrike">
                        <a:solidFill>
                          <a:srgbClr val="000000"/>
                        </a:solidFill>
                        <a:latin typeface="Calibri"/>
                      </a:rPr>
                      <a:t>Сума була незначною</a:t>
                    </a:r>
                    <a:r>
                      <a:rPr b="0" sz="800" spc="-1" strike="noStrike">
                        <a:solidFill>
                          <a:srgbClr val="000000"/>
                        </a:solidFill>
                        <a:latin typeface="Calibri"/>
                      </a:rPr>
                      <a:t>
</a:t>
                    </a:r>
                    <a:r>
                      <a:rPr b="0" sz="800" spc="-1" strike="noStrike">
                        <a:solidFill>
                          <a:srgbClr val="000000"/>
                        </a:solidFill>
                        <a:latin typeface="Calibri"/>
                      </a:rPr>
                      <a:t>12%</a:t>
                    </a:r>
                  </a:p>
                </c:rich>
              </c:tx>
              <c:dLblPos val="outEnd"/>
              <c:showLegendKey val="0"/>
              <c:showVal val="0"/>
              <c:showCatName val="0"/>
              <c:showSerName val="0"/>
              <c:showPercent val="0"/>
              <c:separator>
</c:separator>
            </c:dLbl>
            <c:dLbl>
              <c:idx val="1"/>
              <c:spPr>
                <a:solidFill>
                  <a:srgbClr val="FFFFFF"/>
                </a:solidFill>
              </c:spPr>
              <c:txPr>
                <a:bodyPr wrap="square"/>
                <a:lstStyle/>
                <a:p>
                  <a:pPr>
                    <a:defRPr b="0" sz="800" spc="-1" strike="noStrike">
                      <a:solidFill>
                        <a:srgbClr val="000000"/>
                      </a:solidFill>
                      <a:latin typeface="Calibri"/>
                    </a:defRPr>
                  </a:pPr>
                </a:p>
              </c:txPr>
              <c:tx>
                <c:rich>
                  <a:bodyPr/>
                  <a:p>
                    <a:r>
                      <a:rPr b="0" sz="800" spc="-1" strike="noStrike">
                        <a:solidFill>
                          <a:srgbClr val="000000"/>
                        </a:solidFill>
                        <a:latin typeface="Calibri"/>
                      </a:rPr>
                      <a:t>Аби уникнути проблем з Податковою у майбутньому</a:t>
                    </a:r>
                    <a:r>
                      <a:rPr b="0" sz="800" spc="-1" strike="noStrike">
                        <a:solidFill>
                          <a:srgbClr val="000000"/>
                        </a:solidFill>
                        <a:latin typeface="Calibri"/>
                      </a:rPr>
                      <a:t>
</a:t>
                    </a:r>
                    <a:r>
                      <a:rPr b="0" sz="800" spc="-1" strike="noStrike">
                        <a:solidFill>
                          <a:srgbClr val="000000"/>
                        </a:solidFill>
                        <a:latin typeface="Calibri"/>
                      </a:rPr>
                      <a:t>27%</a:t>
                    </a:r>
                  </a:p>
                </c:rich>
              </c:tx>
              <c:dLblPos val="outEnd"/>
              <c:showLegendKey val="0"/>
              <c:showVal val="0"/>
              <c:showCatName val="0"/>
              <c:showSerName val="0"/>
              <c:showPercent val="0"/>
              <c:separator>
</c:separator>
            </c:dLbl>
            <c:dLbl>
              <c:idx val="2"/>
              <c:spPr>
                <a:solidFill>
                  <a:srgbClr val="FFFFFF"/>
                </a:solidFill>
              </c:spPr>
              <c:txPr>
                <a:bodyPr wrap="square"/>
                <a:lstStyle/>
                <a:p>
                  <a:pPr>
                    <a:defRPr b="0" sz="800" spc="-1" strike="noStrike">
                      <a:solidFill>
                        <a:srgbClr val="000000"/>
                      </a:solidFill>
                      <a:latin typeface="Calibri"/>
                    </a:defRPr>
                  </a:pPr>
                </a:p>
              </c:txPr>
              <c:tx>
                <c:rich>
                  <a:bodyPr/>
                  <a:p>
                    <a:r>
                      <a:rPr b="0" sz="800" spc="-1" strike="noStrike">
                        <a:solidFill>
                          <a:srgbClr val="000000"/>
                        </a:solidFill>
                        <a:latin typeface="Calibri"/>
                      </a:rPr>
                      <a:t> Я не очікував якогось іншого</a:t>
                    </a:r>
                    <a:r>
                      <a:rPr b="0" sz="800" spc="-1" strike="noStrike">
                        <a:solidFill>
                          <a:srgbClr val="000000"/>
                        </a:solidFill>
                        <a:latin typeface="Calibri"/>
                      </a:rPr>
                      <a:t> результату 
</a:t>
                    </a:r>
                    <a:r>
                      <a:rPr b="0" sz="800" spc="-1" strike="noStrike">
                        <a:solidFill>
                          <a:srgbClr val="000000"/>
                        </a:solidFill>
                        <a:latin typeface="Calibri"/>
                      </a:rPr>
                      <a:t>44%</a:t>
                    </a:r>
                  </a:p>
                </c:rich>
              </c:tx>
              <c:dLblPos val="outEnd"/>
              <c:showLegendKey val="0"/>
              <c:showVal val="0"/>
              <c:showCatName val="0"/>
              <c:showSerName val="0"/>
              <c:showPercent val="0"/>
              <c:separator>
</c:separator>
            </c:dLbl>
            <c:dLbl>
              <c:idx val="3"/>
              <c:spPr>
                <a:solidFill>
                  <a:srgbClr val="FFFFFF"/>
                </a:solidFill>
              </c:spPr>
              <c:txPr>
                <a:bodyPr wrap="square"/>
                <a:lstStyle/>
                <a:p>
                  <a:pPr>
                    <a:defRPr b="0" sz="800" spc="-1" strike="noStrike">
                      <a:solidFill>
                        <a:srgbClr val="000000"/>
                      </a:solidFill>
                      <a:latin typeface="Calibri"/>
                    </a:defRPr>
                  </a:pPr>
                </a:p>
              </c:txPr>
              <c:tx>
                <c:rich>
                  <a:bodyPr/>
                  <a:p>
                    <a:r>
                      <a:rPr b="0" sz="800" spc="-1" strike="noStrike">
                        <a:solidFill>
                          <a:srgbClr val="000000"/>
                        </a:solidFill>
                        <a:latin typeface="Calibri"/>
                      </a:rPr>
                      <a:t>На нашому підприємстві</a:t>
                    </a:r>
                    <a:r>
                      <a:rPr b="0" sz="800" spc="-1" strike="noStrike">
                        <a:solidFill>
                          <a:srgbClr val="000000"/>
                        </a:solidFill>
                        <a:latin typeface="Calibri"/>
                      </a:rPr>
                      <a:t> бракує кваліфікованих кадрів, які можуть займатись цим
</a:t>
                    </a:r>
                    <a:r>
                      <a:rPr b="0" sz="800" spc="-1" strike="noStrike">
                        <a:solidFill>
                          <a:srgbClr val="000000"/>
                        </a:solidFill>
                        <a:latin typeface="Calibri"/>
                      </a:rPr>
                      <a:t>15%</a:t>
                    </a:r>
                  </a:p>
                </c:rich>
              </c:tx>
              <c:dLblPos val="outEnd"/>
              <c:showLegendKey val="0"/>
              <c:showVal val="0"/>
              <c:showCatName val="0"/>
              <c:showSerName val="0"/>
              <c:showPercent val="0"/>
              <c:separator>
</c:separator>
            </c:dLbl>
            <c:dLbl>
              <c:idx val="4"/>
              <c:spPr>
                <a:solidFill>
                  <a:srgbClr val="FFFFFF"/>
                </a:solidFill>
              </c:spPr>
              <c:txPr>
                <a:bodyPr wrap="square"/>
                <a:lstStyle/>
                <a:p>
                  <a:pPr>
                    <a:defRPr b="0" sz="800" spc="-1" strike="noStrike">
                      <a:solidFill>
                        <a:srgbClr val="000000"/>
                      </a:solidFill>
                      <a:latin typeface="Calibri"/>
                    </a:defRPr>
                  </a:pPr>
                </a:p>
              </c:txPr>
              <c:tx>
                <c:rich>
                  <a:bodyPr/>
                  <a:p>
                    <a:r>
                      <a:rPr b="0" sz="800" spc="-1" strike="noStrike">
                        <a:solidFill>
                          <a:srgbClr val="000000"/>
                        </a:solidFill>
                        <a:latin typeface="Calibri"/>
                      </a:rPr>
                      <a:t>Важко відповісти 
</a:t>
                    </a:r>
                    <a:r>
                      <a:rPr b="0" sz="800" spc="-1" strike="noStrike">
                        <a:solidFill>
                          <a:srgbClr val="000000"/>
                        </a:solidFill>
                        <a:latin typeface="Calibri"/>
                      </a:rPr>
                      <a:t>1%</a:t>
                    </a:r>
                  </a:p>
                </c:rich>
              </c:tx>
              <c:dLblPos val="outEnd"/>
              <c:showLegendKey val="0"/>
              <c:showVal val="0"/>
              <c:showCatName val="0"/>
              <c:showSerName val="0"/>
              <c:showPercent val="0"/>
              <c:separator>
</c:separator>
            </c:dLbl>
            <c:spPr>
              <a:solidFill>
                <a:srgbClr val="FFFFFF"/>
              </a:solidFill>
            </c:spPr>
            <c:txPr>
              <a:bodyPr wrap="square"/>
              <a:lstStyle/>
              <a:p>
                <a:pPr>
                  <a:defRPr b="0" sz="800" spc="-1" strike="noStrike">
                    <a:solidFill>
                      <a:srgbClr val="000000"/>
                    </a:solidFill>
                    <a:latin typeface="Calibri"/>
                  </a:defRPr>
                </a:pPr>
              </a:p>
            </c:txPr>
            <c:dLblPos val="outEnd"/>
            <c:showLegendKey val="0"/>
            <c:showVal val="0"/>
            <c:showCatName val="1"/>
            <c:showSerName val="0"/>
            <c:showPercent val="1"/>
            <c:separator>
</c:separator>
            <c:showLeaderLines val="0"/>
          </c:dLbls>
          <c:cat>
            <c:strRef>
              <c:f>categories</c:f>
              <c:strCache>
                <c:ptCount val="5"/>
                <c:pt idx="0">
                  <c:v>The amount was not significant</c:v>
                </c:pt>
                <c:pt idx="1">
                  <c:v>To avoid problems with the tax authorities in the future</c:v>
                </c:pt>
                <c:pt idx="2">
                  <c:v>I did not expect any other result</c:v>
                </c:pt>
                <c:pt idx="3">
                  <c:v>Our business does not have enough competent employees to cope with this</c:v>
                </c:pt>
                <c:pt idx="4">
                  <c:v>It is difficult to answer</c:v>
                </c:pt>
              </c:strCache>
            </c:strRef>
          </c:cat>
          <c:val>
            <c:numRef>
              <c:f>0</c:f>
              <c:numCache>
                <c:formatCode>General</c:formatCode>
                <c:ptCount val="5"/>
                <c:pt idx="0">
                  <c:v>12.4</c:v>
                </c:pt>
                <c:pt idx="1">
                  <c:v>27</c:v>
                </c:pt>
                <c:pt idx="2">
                  <c:v>44.3</c:v>
                </c:pt>
                <c:pt idx="3">
                  <c:v>15.1</c:v>
                </c:pt>
                <c:pt idx="4">
                  <c:v>1.3</c:v>
                </c:pt>
              </c:numCache>
            </c:numRef>
          </c:val>
        </c:ser>
        <c:firstSliceAng val="0"/>
      </c:pieChart>
      <c:spPr>
        <a:noFill/>
        <a:ln w="0">
          <a:noFill/>
        </a:ln>
      </c:spPr>
    </c:plotArea>
    <c:plotVisOnly val="1"/>
    <c:dispBlanksAs val="gap"/>
  </c:chart>
  <c:spPr>
    <a:solidFill>
      <a:srgbClr val="ffffff"/>
    </a:solidFill>
    <a:ln w="9360">
      <a:solidFill>
        <a:srgbClr val="d9d9d9"/>
      </a:solidFill>
      <a:round/>
    </a:ln>
  </c:spPr>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stacked"/>
        <c:varyColors val="0"/>
        <c:ser>
          <c:idx val="0"/>
          <c:order val="0"/>
          <c:tx>
            <c:strRef>
              <c:f>label 0</c:f>
              <c:strCache>
                <c:ptCount val="1"/>
                <c:pt idx="0">
                  <c:v>Добре</c:v>
                </c:pt>
              </c:strCache>
            </c:strRef>
          </c:tx>
          <c:spPr>
            <a:solidFill>
              <a:srgbClr val="3f762b"/>
            </a:solidFill>
            <a:ln w="0">
              <a:noFill/>
            </a:ln>
          </c:spPr>
          <c:invertIfNegative val="0"/>
          <c:dLbls>
            <c:numFmt formatCode="General" sourceLinked="0"/>
            <c:txPr>
              <a:bodyPr wrap="square"/>
              <a:lstStyle/>
              <a:p>
                <a:pPr>
                  <a:defRPr b="0" sz="8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Кваліфікація та професіоналізм персоналу Державної податкової служби</c:v>
                </c:pt>
                <c:pt idx="1">
                  <c:v>Готовність допомогти</c:v>
                </c:pt>
                <c:pt idx="2">
                  <c:v>Ввічливість персоналу</c:v>
                </c:pt>
                <c:pt idx="3">
                  <c:v>Чесність і неупередженість</c:v>
                </c:pt>
                <c:pt idx="4">
                  <c:v>Дистанційна взаємодія з податковими органами</c:v>
                </c:pt>
                <c:pt idx="5">
                  <c:v>Загальна ефективність роботи податкових інспекторів</c:v>
                </c:pt>
              </c:strCache>
            </c:strRef>
          </c:cat>
          <c:val>
            <c:numRef>
              <c:f>0</c:f>
              <c:numCache>
                <c:formatCode>General</c:formatCode>
                <c:ptCount val="6"/>
                <c:pt idx="0">
                  <c:v>48.5</c:v>
                </c:pt>
                <c:pt idx="1">
                  <c:v>46.5</c:v>
                </c:pt>
                <c:pt idx="2">
                  <c:v>63.1</c:v>
                </c:pt>
                <c:pt idx="3">
                  <c:v>43.3</c:v>
                </c:pt>
                <c:pt idx="4">
                  <c:v>58.8</c:v>
                </c:pt>
                <c:pt idx="5">
                  <c:v>41.8</c:v>
                </c:pt>
              </c:numCache>
            </c:numRef>
          </c:val>
        </c:ser>
        <c:ser>
          <c:idx val="1"/>
          <c:order val="1"/>
          <c:tx>
            <c:strRef>
              <c:f>label 1</c:f>
              <c:strCache>
                <c:ptCount val="1"/>
                <c:pt idx="0">
                  <c:v>Погано</c:v>
                </c:pt>
              </c:strCache>
            </c:strRef>
          </c:tx>
          <c:spPr>
            <a:solidFill>
              <a:srgbClr val="93d07d"/>
            </a:solidFill>
            <a:ln w="0">
              <a:noFill/>
            </a:ln>
          </c:spPr>
          <c:invertIfNegative val="0"/>
          <c:dLbls>
            <c:numFmt formatCode="General" sourceLinked="0"/>
            <c:txPr>
              <a:bodyPr wrap="square"/>
              <a:lstStyle/>
              <a:p>
                <a:pPr>
                  <a:defRPr b="0" sz="8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Кваліфікація та професіоналізм персоналу Державної податкової служби</c:v>
                </c:pt>
                <c:pt idx="1">
                  <c:v>Готовність допомогти</c:v>
                </c:pt>
                <c:pt idx="2">
                  <c:v>Ввічливість персоналу</c:v>
                </c:pt>
                <c:pt idx="3">
                  <c:v>Чесність і неупередженість</c:v>
                </c:pt>
                <c:pt idx="4">
                  <c:v>Дистанційна взаємодія з податковими органами</c:v>
                </c:pt>
                <c:pt idx="5">
                  <c:v>Загальна ефективність роботи податкових інспекторів</c:v>
                </c:pt>
              </c:strCache>
            </c:strRef>
          </c:cat>
          <c:val>
            <c:numRef>
              <c:f>1</c:f>
              <c:numCache>
                <c:formatCode>General</c:formatCode>
                <c:ptCount val="6"/>
                <c:pt idx="0">
                  <c:v>29.5</c:v>
                </c:pt>
                <c:pt idx="1">
                  <c:v>35.7</c:v>
                </c:pt>
                <c:pt idx="2">
                  <c:v>20.7</c:v>
                </c:pt>
                <c:pt idx="3">
                  <c:v>28.3</c:v>
                </c:pt>
                <c:pt idx="4">
                  <c:v>26.8</c:v>
                </c:pt>
                <c:pt idx="5">
                  <c:v>31.4</c:v>
                </c:pt>
              </c:numCache>
            </c:numRef>
          </c:val>
        </c:ser>
        <c:ser>
          <c:idx val="2"/>
          <c:order val="2"/>
          <c:tx>
            <c:strRef>
              <c:f>label 2</c:f>
              <c:strCache>
                <c:ptCount val="1"/>
                <c:pt idx="0">
                  <c:v>Н/Д</c:v>
                </c:pt>
              </c:strCache>
            </c:strRef>
          </c:tx>
          <c:spPr>
            <a:solidFill>
              <a:srgbClr val="bfbfbf"/>
            </a:solidFill>
            <a:ln w="0">
              <a:noFill/>
            </a:ln>
          </c:spPr>
          <c:invertIfNegative val="0"/>
          <c:dLbls>
            <c:numFmt formatCode="General" sourceLinked="0"/>
            <c:txPr>
              <a:bodyPr wrap="square"/>
              <a:lstStyle/>
              <a:p>
                <a:pPr>
                  <a:defRPr b="0" sz="8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Кваліфікація та професіоналізм персоналу Державної податкової служби</c:v>
                </c:pt>
                <c:pt idx="1">
                  <c:v>Готовність допомогти</c:v>
                </c:pt>
                <c:pt idx="2">
                  <c:v>Ввічливість персоналу</c:v>
                </c:pt>
                <c:pt idx="3">
                  <c:v>Чесність і неупередженість</c:v>
                </c:pt>
                <c:pt idx="4">
                  <c:v>Дистанційна взаємодія з податковими органами</c:v>
                </c:pt>
                <c:pt idx="5">
                  <c:v>Загальна ефективність роботи податкових інспекторів</c:v>
                </c:pt>
              </c:strCache>
            </c:strRef>
          </c:cat>
          <c:val>
            <c:numRef>
              <c:f>2</c:f>
              <c:numCache>
                <c:formatCode>General</c:formatCode>
                <c:ptCount val="6"/>
                <c:pt idx="0">
                  <c:v>21.9</c:v>
                </c:pt>
                <c:pt idx="1">
                  <c:v>17.7</c:v>
                </c:pt>
                <c:pt idx="2">
                  <c:v>16.3</c:v>
                </c:pt>
                <c:pt idx="3">
                  <c:v>28.4</c:v>
                </c:pt>
                <c:pt idx="4">
                  <c:v>14.4</c:v>
                </c:pt>
                <c:pt idx="5">
                  <c:v>26.8</c:v>
                </c:pt>
              </c:numCache>
            </c:numRef>
          </c:val>
        </c:ser>
        <c:gapWidth val="150"/>
        <c:overlap val="100"/>
        <c:axId val="55373696"/>
        <c:axId val="91732862"/>
      </c:barChart>
      <c:catAx>
        <c:axId val="5537369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800" spc="-1" strike="noStrike">
                <a:solidFill>
                  <a:srgbClr val="000000"/>
                </a:solidFill>
                <a:latin typeface="Calibri"/>
              </a:defRPr>
            </a:pPr>
          </a:p>
        </c:txPr>
        <c:crossAx val="91732862"/>
        <c:crosses val="autoZero"/>
        <c:auto val="1"/>
        <c:lblAlgn val="ctr"/>
        <c:lblOffset val="100"/>
        <c:noMultiLvlLbl val="0"/>
      </c:catAx>
      <c:valAx>
        <c:axId val="91732862"/>
        <c:scaling>
          <c:orientation val="minMax"/>
          <c:max val="10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800" spc="-1" strike="noStrike">
                <a:solidFill>
                  <a:srgbClr val="000000"/>
                </a:solidFill>
                <a:latin typeface="Calibri"/>
              </a:defRPr>
            </a:pPr>
          </a:p>
        </c:txPr>
        <c:crossAx val="55373696"/>
        <c:crosses val="autoZero"/>
        <c:crossBetween val="between"/>
      </c:valAx>
      <c:spPr>
        <a:noFill/>
        <a:ln w="0">
          <a:noFill/>
        </a:ln>
      </c:spPr>
    </c:plotArea>
    <c:legend>
      <c:legendPos val="b"/>
      <c:overlay val="0"/>
      <c:spPr>
        <a:noFill/>
        <a:ln w="0">
          <a:noFill/>
        </a:ln>
      </c:spPr>
      <c:txPr>
        <a:bodyPr/>
        <a:lstStyle/>
        <a:p>
          <a:pPr>
            <a:defRPr b="0" sz="8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stacked"/>
        <c:varyColors val="0"/>
        <c:ser>
          <c:idx val="0"/>
          <c:order val="0"/>
          <c:tx>
            <c:strRef>
              <c:f>label 0</c:f>
              <c:strCache>
                <c:ptCount val="1"/>
                <c:pt idx="0">
                  <c:v>Взагалі не проблема</c:v>
                </c:pt>
              </c:strCache>
            </c:strRef>
          </c:tx>
          <c:spPr>
            <a:solidFill>
              <a:srgbClr val="549e39"/>
            </a:solidFill>
            <a:ln w="0">
              <a:noFill/>
            </a:ln>
          </c:spPr>
          <c:invertIfNegative val="0"/>
          <c:dLbls>
            <c:numFmt formatCode="General" sourceLinked="0"/>
            <c:txPr>
              <a:bodyPr wrap="square"/>
              <a:lstStyle/>
              <a:p>
                <a:pPr>
                  <a:defRPr b="0" sz="7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Кількість податків</c:v>
                </c:pt>
                <c:pt idx="1">
                  <c:v>Кількість податкових перевірок</c:v>
                </c:pt>
                <c:pt idx="2">
                  <c:v>Вимоги та процедури дотримання податкового законодавства</c:v>
                </c:pt>
                <c:pt idx="3">
                  <c:v>Заповнення податкових форм</c:v>
                </c:pt>
                <c:pt idx="4">
                  <c:v>Періодичність подання податкової звітності</c:v>
                </c:pt>
                <c:pt idx="5">
                  <c:v>Наявність актуальної податкової інформації</c:v>
                </c:pt>
                <c:pt idx="6">
                  <c:v>Кількість нормативних документів з питань оподаткування</c:v>
                </c:pt>
                <c:pt idx="7">
                  <c:v>Суперечності між різними нормативними документами з питань оподаткування</c:v>
                </c:pt>
                <c:pt idx="8">
                  <c:v>Труднощі в розумінні податкового законодавства та нормативних актів</c:v>
                </c:pt>
                <c:pt idx="9">
                  <c:v>Наявність якісних консультацій/ відповідей на запитання від працівників ДПС</c:v>
                </c:pt>
                <c:pt idx="10">
                  <c:v>Частота змін у податковому законодавстві та нормативних актах</c:v>
                </c:pt>
                <c:pt idx="11">
                  <c:v>Інше</c:v>
                </c:pt>
              </c:strCache>
            </c:strRef>
          </c:cat>
          <c:val>
            <c:numRef>
              <c:f>0</c:f>
              <c:numCache>
                <c:formatCode>General</c:formatCode>
                <c:ptCount val="12"/>
                <c:pt idx="0">
                  <c:v>43.9</c:v>
                </c:pt>
                <c:pt idx="1">
                  <c:v>47.4</c:v>
                </c:pt>
                <c:pt idx="2">
                  <c:v>28.9</c:v>
                </c:pt>
                <c:pt idx="3">
                  <c:v>36.5</c:v>
                </c:pt>
                <c:pt idx="4">
                  <c:v>61.7</c:v>
                </c:pt>
                <c:pt idx="5">
                  <c:v>27.7</c:v>
                </c:pt>
                <c:pt idx="6">
                  <c:v>18.8</c:v>
                </c:pt>
                <c:pt idx="7">
                  <c:v>16.4</c:v>
                </c:pt>
                <c:pt idx="8">
                  <c:v>15.3</c:v>
                </c:pt>
                <c:pt idx="9">
                  <c:v>17.6</c:v>
                </c:pt>
                <c:pt idx="10">
                  <c:v>13.5</c:v>
                </c:pt>
                <c:pt idx="11">
                  <c:v>7.2</c:v>
                </c:pt>
              </c:numCache>
            </c:numRef>
          </c:val>
        </c:ser>
        <c:ser>
          <c:idx val="1"/>
          <c:order val="1"/>
          <c:tx>
            <c:strRef>
              <c:f>label 1</c:f>
              <c:strCache>
                <c:ptCount val="1"/>
                <c:pt idx="0">
                  <c:v>Дещо проблематично</c:v>
                </c:pt>
              </c:strCache>
            </c:strRef>
          </c:tx>
          <c:spPr>
            <a:solidFill>
              <a:srgbClr val="8ab833"/>
            </a:solidFill>
            <a:ln w="0">
              <a:noFill/>
            </a:ln>
          </c:spPr>
          <c:invertIfNegative val="0"/>
          <c:dLbls>
            <c:numFmt formatCode="General" sourceLinked="0"/>
            <c:txPr>
              <a:bodyPr wrap="square"/>
              <a:lstStyle/>
              <a:p>
                <a:pPr>
                  <a:defRPr b="0" sz="7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Кількість податків</c:v>
                </c:pt>
                <c:pt idx="1">
                  <c:v>Кількість податкових перевірок</c:v>
                </c:pt>
                <c:pt idx="2">
                  <c:v>Вимоги та процедури дотримання податкового законодавства</c:v>
                </c:pt>
                <c:pt idx="3">
                  <c:v>Заповнення податкових форм</c:v>
                </c:pt>
                <c:pt idx="4">
                  <c:v>Періодичність подання податкової звітності</c:v>
                </c:pt>
                <c:pt idx="5">
                  <c:v>Наявність актуальної податкової інформації</c:v>
                </c:pt>
                <c:pt idx="6">
                  <c:v>Кількість нормативних документів з питань оподаткування</c:v>
                </c:pt>
                <c:pt idx="7">
                  <c:v>Суперечності між різними нормативними документами з питань оподаткування</c:v>
                </c:pt>
                <c:pt idx="8">
                  <c:v>Труднощі в розумінні податкового законодавства та нормативних актів</c:v>
                </c:pt>
                <c:pt idx="9">
                  <c:v>Наявність якісних консультацій/ відповідей на запитання від працівників ДПС</c:v>
                </c:pt>
                <c:pt idx="10">
                  <c:v>Частота змін у податковому законодавстві та нормативних актах</c:v>
                </c:pt>
                <c:pt idx="11">
                  <c:v>Інше</c:v>
                </c:pt>
              </c:strCache>
            </c:strRef>
          </c:cat>
          <c:val>
            <c:numRef>
              <c:f>1</c:f>
              <c:numCache>
                <c:formatCode>General</c:formatCode>
                <c:ptCount val="12"/>
                <c:pt idx="0">
                  <c:v>33</c:v>
                </c:pt>
                <c:pt idx="1">
                  <c:v>14.9</c:v>
                </c:pt>
                <c:pt idx="2">
                  <c:v>32.8</c:v>
                </c:pt>
                <c:pt idx="3">
                  <c:v>37.4</c:v>
                </c:pt>
                <c:pt idx="4">
                  <c:v>24</c:v>
                </c:pt>
                <c:pt idx="5">
                  <c:v>32</c:v>
                </c:pt>
                <c:pt idx="6">
                  <c:v>23.1</c:v>
                </c:pt>
                <c:pt idx="7">
                  <c:v>21.7</c:v>
                </c:pt>
                <c:pt idx="8">
                  <c:v>29</c:v>
                </c:pt>
                <c:pt idx="9">
                  <c:v>24.2</c:v>
                </c:pt>
                <c:pt idx="10">
                  <c:v>22.2</c:v>
                </c:pt>
                <c:pt idx="11">
                  <c:v>2</c:v>
                </c:pt>
              </c:numCache>
            </c:numRef>
          </c:val>
        </c:ser>
        <c:ser>
          <c:idx val="2"/>
          <c:order val="2"/>
          <c:tx>
            <c:strRef>
              <c:f>label 2</c:f>
              <c:strCache>
                <c:ptCount val="1"/>
                <c:pt idx="0">
                  <c:v>Проблема</c:v>
                </c:pt>
              </c:strCache>
            </c:strRef>
          </c:tx>
          <c:spPr>
            <a:solidFill>
              <a:srgbClr val="c0cf3a"/>
            </a:solidFill>
            <a:ln w="0">
              <a:noFill/>
            </a:ln>
          </c:spPr>
          <c:invertIfNegative val="0"/>
          <c:dLbls>
            <c:numFmt formatCode="General" sourceLinked="0"/>
            <c:txPr>
              <a:bodyPr wrap="square"/>
              <a:lstStyle/>
              <a:p>
                <a:pPr>
                  <a:defRPr b="0" sz="7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Кількість податків</c:v>
                </c:pt>
                <c:pt idx="1">
                  <c:v>Кількість податкових перевірок</c:v>
                </c:pt>
                <c:pt idx="2">
                  <c:v>Вимоги та процедури дотримання податкового законодавства</c:v>
                </c:pt>
                <c:pt idx="3">
                  <c:v>Заповнення податкових форм</c:v>
                </c:pt>
                <c:pt idx="4">
                  <c:v>Періодичність подання податкової звітності</c:v>
                </c:pt>
                <c:pt idx="5">
                  <c:v>Наявність актуальної податкової інформації</c:v>
                </c:pt>
                <c:pt idx="6">
                  <c:v>Кількість нормативних документів з питань оподаткування</c:v>
                </c:pt>
                <c:pt idx="7">
                  <c:v>Суперечності між різними нормативними документами з питань оподаткування</c:v>
                </c:pt>
                <c:pt idx="8">
                  <c:v>Труднощі в розумінні податкового законодавства та нормативних актів</c:v>
                </c:pt>
                <c:pt idx="9">
                  <c:v>Наявність якісних консультацій/ відповідей на запитання від працівників ДПС</c:v>
                </c:pt>
                <c:pt idx="10">
                  <c:v>Частота змін у податковому законодавстві та нормативних актах</c:v>
                </c:pt>
                <c:pt idx="11">
                  <c:v>Інше</c:v>
                </c:pt>
              </c:strCache>
            </c:strRef>
          </c:cat>
          <c:val>
            <c:numRef>
              <c:f>2</c:f>
              <c:numCache>
                <c:formatCode>General</c:formatCode>
                <c:ptCount val="12"/>
                <c:pt idx="0">
                  <c:v>12.1</c:v>
                </c:pt>
                <c:pt idx="1">
                  <c:v>9.6</c:v>
                </c:pt>
                <c:pt idx="2">
                  <c:v>16.9</c:v>
                </c:pt>
                <c:pt idx="3">
                  <c:v>13.9</c:v>
                </c:pt>
                <c:pt idx="4">
                  <c:v>6.6</c:v>
                </c:pt>
                <c:pt idx="5">
                  <c:v>20.7</c:v>
                </c:pt>
                <c:pt idx="6">
                  <c:v>21.3</c:v>
                </c:pt>
                <c:pt idx="7">
                  <c:v>21.2</c:v>
                </c:pt>
                <c:pt idx="8">
                  <c:v>22.4</c:v>
                </c:pt>
                <c:pt idx="9">
                  <c:v>21.5</c:v>
                </c:pt>
                <c:pt idx="10">
                  <c:v>20.2</c:v>
                </c:pt>
                <c:pt idx="11">
                  <c:v>2.2</c:v>
                </c:pt>
              </c:numCache>
            </c:numRef>
          </c:val>
        </c:ser>
        <c:ser>
          <c:idx val="3"/>
          <c:order val="3"/>
          <c:tx>
            <c:strRef>
              <c:f>label 3</c:f>
              <c:strCache>
                <c:ptCount val="1"/>
                <c:pt idx="0">
                  <c:v>Велика проблема</c:v>
                </c:pt>
              </c:strCache>
            </c:strRef>
          </c:tx>
          <c:spPr>
            <a:solidFill>
              <a:srgbClr val="029676"/>
            </a:solidFill>
            <a:ln w="0">
              <a:noFill/>
            </a:ln>
          </c:spPr>
          <c:invertIfNegative val="0"/>
          <c:dLbls>
            <c:numFmt formatCode="General" sourceLinked="0"/>
            <c:txPr>
              <a:bodyPr wrap="square"/>
              <a:lstStyle/>
              <a:p>
                <a:pPr>
                  <a:defRPr b="0" sz="7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Кількість податків</c:v>
                </c:pt>
                <c:pt idx="1">
                  <c:v>Кількість податкових перевірок</c:v>
                </c:pt>
                <c:pt idx="2">
                  <c:v>Вимоги та процедури дотримання податкового законодавства</c:v>
                </c:pt>
                <c:pt idx="3">
                  <c:v>Заповнення податкових форм</c:v>
                </c:pt>
                <c:pt idx="4">
                  <c:v>Періодичність подання податкової звітності</c:v>
                </c:pt>
                <c:pt idx="5">
                  <c:v>Наявність актуальної податкової інформації</c:v>
                </c:pt>
                <c:pt idx="6">
                  <c:v>Кількість нормативних документів з питань оподаткування</c:v>
                </c:pt>
                <c:pt idx="7">
                  <c:v>Суперечності між різними нормативними документами з питань оподаткування</c:v>
                </c:pt>
                <c:pt idx="8">
                  <c:v>Труднощі в розумінні податкового законодавства та нормативних актів</c:v>
                </c:pt>
                <c:pt idx="9">
                  <c:v>Наявність якісних консультацій/ відповідей на запитання від працівників ДПС</c:v>
                </c:pt>
                <c:pt idx="10">
                  <c:v>Частота змін у податковому законодавстві та нормативних актах</c:v>
                </c:pt>
                <c:pt idx="11">
                  <c:v>Інше</c:v>
                </c:pt>
              </c:strCache>
            </c:strRef>
          </c:cat>
          <c:val>
            <c:numRef>
              <c:f>3</c:f>
              <c:numCache>
                <c:formatCode>General</c:formatCode>
                <c:ptCount val="12"/>
                <c:pt idx="0">
                  <c:v>6</c:v>
                </c:pt>
                <c:pt idx="1">
                  <c:v>3.6</c:v>
                </c:pt>
                <c:pt idx="2">
                  <c:v>13.4</c:v>
                </c:pt>
                <c:pt idx="3">
                  <c:v>8.1</c:v>
                </c:pt>
                <c:pt idx="4">
                  <c:v>3.3</c:v>
                </c:pt>
                <c:pt idx="5">
                  <c:v>14.2</c:v>
                </c:pt>
                <c:pt idx="6">
                  <c:v>23.1</c:v>
                </c:pt>
                <c:pt idx="7">
                  <c:v>23.5</c:v>
                </c:pt>
                <c:pt idx="8">
                  <c:v>25.3</c:v>
                </c:pt>
                <c:pt idx="9">
                  <c:v>24.6</c:v>
                </c:pt>
                <c:pt idx="10">
                  <c:v>31.7</c:v>
                </c:pt>
                <c:pt idx="11">
                  <c:v>4.6</c:v>
                </c:pt>
              </c:numCache>
            </c:numRef>
          </c:val>
        </c:ser>
        <c:ser>
          <c:idx val="4"/>
          <c:order val="4"/>
          <c:tx>
            <c:strRef>
              <c:f>label 4</c:f>
              <c:strCache>
                <c:ptCount val="1"/>
                <c:pt idx="0">
                  <c:v>Н/Д</c:v>
                </c:pt>
              </c:strCache>
            </c:strRef>
          </c:tx>
          <c:spPr>
            <a:solidFill>
              <a:srgbClr val="a6a6a6"/>
            </a:solidFill>
            <a:ln w="0">
              <a:noFill/>
            </a:ln>
          </c:spPr>
          <c:invertIfNegative val="0"/>
          <c:dLbls>
            <c:numFmt formatCode="General" sourceLinked="0"/>
            <c:txPr>
              <a:bodyPr wrap="square"/>
              <a:lstStyle/>
              <a:p>
                <a:pPr>
                  <a:defRPr b="0" sz="7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Кількість податків</c:v>
                </c:pt>
                <c:pt idx="1">
                  <c:v>Кількість податкових перевірок</c:v>
                </c:pt>
                <c:pt idx="2">
                  <c:v>Вимоги та процедури дотримання податкового законодавства</c:v>
                </c:pt>
                <c:pt idx="3">
                  <c:v>Заповнення податкових форм</c:v>
                </c:pt>
                <c:pt idx="4">
                  <c:v>Періодичність подання податкової звітності</c:v>
                </c:pt>
                <c:pt idx="5">
                  <c:v>Наявність актуальної податкової інформації</c:v>
                </c:pt>
                <c:pt idx="6">
                  <c:v>Кількість нормативних документів з питань оподаткування</c:v>
                </c:pt>
                <c:pt idx="7">
                  <c:v>Суперечності між різними нормативними документами з питань оподаткування</c:v>
                </c:pt>
                <c:pt idx="8">
                  <c:v>Труднощі в розумінні податкового законодавства та нормативних актів</c:v>
                </c:pt>
                <c:pt idx="9">
                  <c:v>Наявність якісних консультацій/ відповідей на запитання від працівників ДПС</c:v>
                </c:pt>
                <c:pt idx="10">
                  <c:v>Частота змін у податковому законодавстві та нормативних актах</c:v>
                </c:pt>
                <c:pt idx="11">
                  <c:v>Інше</c:v>
                </c:pt>
              </c:strCache>
            </c:strRef>
          </c:cat>
          <c:val>
            <c:numRef>
              <c:f>4</c:f>
              <c:numCache>
                <c:formatCode>General</c:formatCode>
                <c:ptCount val="12"/>
                <c:pt idx="0">
                  <c:v>5</c:v>
                </c:pt>
                <c:pt idx="1">
                  <c:v>24.7</c:v>
                </c:pt>
                <c:pt idx="2">
                  <c:v>8</c:v>
                </c:pt>
                <c:pt idx="3">
                  <c:v>4</c:v>
                </c:pt>
                <c:pt idx="4">
                  <c:v>4.4</c:v>
                </c:pt>
                <c:pt idx="5">
                  <c:v>5.6</c:v>
                </c:pt>
                <c:pt idx="6">
                  <c:v>13.7</c:v>
                </c:pt>
                <c:pt idx="7">
                  <c:v>17.3</c:v>
                </c:pt>
                <c:pt idx="8">
                  <c:v>8</c:v>
                </c:pt>
                <c:pt idx="9">
                  <c:v>12.2</c:v>
                </c:pt>
                <c:pt idx="10">
                  <c:v>12.5</c:v>
                </c:pt>
                <c:pt idx="11">
                  <c:v>84</c:v>
                </c:pt>
              </c:numCache>
            </c:numRef>
          </c:val>
        </c:ser>
        <c:gapWidth val="150"/>
        <c:overlap val="100"/>
        <c:axId val="67084374"/>
        <c:axId val="2006855"/>
      </c:barChart>
      <c:catAx>
        <c:axId val="6708437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700" spc="-1" strike="noStrike">
                <a:solidFill>
                  <a:srgbClr val="000000"/>
                </a:solidFill>
                <a:latin typeface="Calibri"/>
              </a:defRPr>
            </a:pPr>
          </a:p>
        </c:txPr>
        <c:crossAx val="2006855"/>
        <c:crosses val="autoZero"/>
        <c:auto val="1"/>
        <c:lblAlgn val="ctr"/>
        <c:lblOffset val="100"/>
        <c:noMultiLvlLbl val="0"/>
      </c:catAx>
      <c:valAx>
        <c:axId val="2006855"/>
        <c:scaling>
          <c:orientation val="minMax"/>
          <c:max val="10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700" spc="-1" strike="noStrike">
                <a:solidFill>
                  <a:srgbClr val="000000"/>
                </a:solidFill>
                <a:latin typeface="Calibri"/>
              </a:defRPr>
            </a:pPr>
          </a:p>
        </c:txPr>
        <c:crossAx val="67084374"/>
        <c:crosses val="autoZero"/>
        <c:crossBetween val="between"/>
      </c:valAx>
      <c:spPr>
        <a:noFill/>
        <a:ln w="0">
          <a:noFill/>
        </a:ln>
      </c:spPr>
    </c:plotArea>
    <c:legend>
      <c:legendPos val="b"/>
      <c:overlay val="0"/>
      <c:spPr>
        <a:noFill/>
        <a:ln w="0">
          <a:noFill/>
        </a:ln>
      </c:spPr>
      <c:txPr>
        <a:bodyPr/>
        <a:lstStyle/>
        <a:p>
          <a:pPr>
            <a:defRPr b="0" sz="7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8C48E-676D-429C-880C-6E67FB5F7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LibreOffice/7.6.0.3$Windows_X86_64 LibreOffice_project/69edd8b8ebc41d00b4de3915dc82f8f0fc3b6265</Application>
  <AppVersion>15.0000</AppVersion>
  <Pages>32</Pages>
  <Words>11819</Words>
  <Characters>74530</Characters>
  <CharactersWithSpaces>84377</CharactersWithSpaces>
  <Paragraphs>2028</Paragraphs>
  <Company>WBG</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2024-12-31T11:15:00Z</dcterms:created>
  <dc:creator>Oleksii Balabushko</dc:creator>
  <dc:description/>
  <cp:keywords> docId B3C41496E9808F84EB974D1B59BD2657</cp:keywords>
  <dc:language>uk-UA</dc:language>
  <cp:lastModifiedBy>КОРОЛЬ СЕРГІЙ ПЕТРОВИЧ</cp:lastModifiedBy>
  <dcterms:modified xsi:type="dcterms:W3CDTF">2024-12-31T11:19:00Z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