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B8" w:rsidRPr="00176763" w:rsidRDefault="00DE46B8" w:rsidP="00DE46B8">
      <w:pPr>
        <w:spacing w:after="0" w:line="240" w:lineRule="auto"/>
        <w:ind w:left="11340" w:right="283"/>
        <w:jc w:val="both"/>
        <w:rPr>
          <w:rFonts w:ascii="Times New Roman" w:hAnsi="Times New Roman" w:cs="Times New Roman"/>
          <w:sz w:val="28"/>
          <w:szCs w:val="28"/>
        </w:rPr>
      </w:pPr>
      <w:r w:rsidRPr="00176763">
        <w:rPr>
          <w:rFonts w:ascii="Times New Roman" w:hAnsi="Times New Roman" w:cs="Times New Roman"/>
          <w:sz w:val="28"/>
          <w:szCs w:val="28"/>
        </w:rPr>
        <w:t>ЗАТВЕРДЖЕНО</w:t>
      </w:r>
    </w:p>
    <w:p w:rsidR="00DE46B8" w:rsidRPr="00176763" w:rsidRDefault="00DE46B8" w:rsidP="00DE46B8">
      <w:pPr>
        <w:spacing w:after="0" w:line="240" w:lineRule="auto"/>
        <w:ind w:left="11340" w:right="283"/>
        <w:jc w:val="both"/>
        <w:rPr>
          <w:rFonts w:ascii="Times New Roman" w:hAnsi="Times New Roman" w:cs="Times New Roman"/>
          <w:sz w:val="28"/>
          <w:szCs w:val="28"/>
        </w:rPr>
      </w:pPr>
      <w:r w:rsidRPr="00176763">
        <w:rPr>
          <w:rFonts w:ascii="Times New Roman" w:hAnsi="Times New Roman" w:cs="Times New Roman"/>
          <w:sz w:val="28"/>
          <w:szCs w:val="28"/>
        </w:rPr>
        <w:t>Наказ Державної податкової</w:t>
      </w:r>
    </w:p>
    <w:p w:rsidR="00DE46B8" w:rsidRPr="00176763" w:rsidRDefault="00DE46B8" w:rsidP="00DE46B8">
      <w:pPr>
        <w:spacing w:after="0" w:line="240" w:lineRule="auto"/>
        <w:ind w:left="11340" w:right="283"/>
        <w:jc w:val="both"/>
        <w:rPr>
          <w:rFonts w:ascii="Times New Roman" w:hAnsi="Times New Roman" w:cs="Times New Roman"/>
          <w:sz w:val="28"/>
          <w:szCs w:val="28"/>
        </w:rPr>
      </w:pPr>
      <w:r w:rsidRPr="00176763">
        <w:rPr>
          <w:rFonts w:ascii="Times New Roman" w:hAnsi="Times New Roman" w:cs="Times New Roman"/>
          <w:sz w:val="28"/>
          <w:szCs w:val="28"/>
        </w:rPr>
        <w:t xml:space="preserve">служби України </w:t>
      </w:r>
    </w:p>
    <w:p w:rsidR="00C02604" w:rsidRPr="00176763" w:rsidRDefault="00614975" w:rsidP="00923E44">
      <w:pPr>
        <w:spacing w:after="0" w:line="240" w:lineRule="auto"/>
        <w:ind w:left="11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30.01.2025 </w:t>
      </w:r>
      <w:r w:rsidR="00DE46B8" w:rsidRPr="0017676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78</w:t>
      </w:r>
    </w:p>
    <w:p w:rsidR="00D136AC" w:rsidRDefault="00D136AC" w:rsidP="00DE46B8">
      <w:pPr>
        <w:spacing w:after="0" w:line="240" w:lineRule="auto"/>
        <w:ind w:left="11340"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67B5" w:rsidRPr="00176763" w:rsidRDefault="003A67B5" w:rsidP="00DE46B8">
      <w:pPr>
        <w:spacing w:after="0" w:line="240" w:lineRule="auto"/>
        <w:ind w:left="11340"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018B" w:rsidRPr="00176763" w:rsidRDefault="00754643" w:rsidP="00863F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176763">
        <w:rPr>
          <w:rFonts w:ascii="Times New Roman" w:hAnsi="Times New Roman" w:cs="Times New Roman"/>
          <w:sz w:val="28"/>
          <w:szCs w:val="28"/>
        </w:rPr>
        <w:t xml:space="preserve">План діяльності </w:t>
      </w: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систем</w:t>
      </w:r>
      <w:r w:rsidR="004B5CC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и</w:t>
      </w: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енергетичного менеджменту ДПС</w:t>
      </w:r>
      <w:r w:rsidR="00AA2F93"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та її територіальних органів</w:t>
      </w:r>
      <w:r w:rsidR="004A2F40"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:rsidR="00754643" w:rsidRDefault="004A2F40" w:rsidP="00863F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(ПД СЕМ ДПС)</w:t>
      </w:r>
      <w:r w:rsidR="00A972A2"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на період 202</w:t>
      </w:r>
      <w:r w:rsidR="006C7F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</w:t>
      </w:r>
      <w:r w:rsidR="009245A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– </w:t>
      </w:r>
      <w:r w:rsidR="00A972A2"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202</w:t>
      </w:r>
      <w:r w:rsidR="006C7F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7</w:t>
      </w:r>
      <w:r w:rsidR="00A972A2"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9245A3"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рок</w:t>
      </w:r>
      <w:r w:rsidR="009245A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ів</w:t>
      </w:r>
    </w:p>
    <w:p w:rsidR="009245A3" w:rsidRPr="005A4BFF" w:rsidRDefault="009245A3" w:rsidP="00863F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val="ru-RU" w:eastAsia="uk-UA"/>
        </w:rPr>
      </w:pPr>
    </w:p>
    <w:tbl>
      <w:tblPr>
        <w:tblStyle w:val="a3"/>
        <w:tblW w:w="1630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1985"/>
        <w:gridCol w:w="3544"/>
        <w:gridCol w:w="1417"/>
        <w:gridCol w:w="2977"/>
        <w:gridCol w:w="1701"/>
        <w:gridCol w:w="2693"/>
      </w:tblGrid>
      <w:tr w:rsidR="00937431" w:rsidRPr="00176763" w:rsidTr="00D43778">
        <w:tc>
          <w:tcPr>
            <w:tcW w:w="425" w:type="dxa"/>
            <w:vMerge w:val="restart"/>
            <w:vAlign w:val="center"/>
          </w:tcPr>
          <w:p w:rsidR="007B3EC4" w:rsidRPr="00937431" w:rsidRDefault="007B3EC4" w:rsidP="0093743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  <w:r w:rsidRPr="0093743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  <w:vMerge w:val="restart"/>
            <w:vAlign w:val="center"/>
          </w:tcPr>
          <w:p w:rsidR="007B3EC4" w:rsidRPr="00937431" w:rsidRDefault="00DD38C2" w:rsidP="00D4377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7431">
              <w:rPr>
                <w:rFonts w:ascii="Times New Roman" w:hAnsi="Times New Roman" w:cs="Times New Roman"/>
              </w:rPr>
              <w:t>Завдання</w:t>
            </w:r>
            <w:r w:rsidR="007B3EC4" w:rsidRPr="00937431">
              <w:rPr>
                <w:rFonts w:ascii="Times New Roman" w:hAnsi="Times New Roman" w:cs="Times New Roman"/>
              </w:rPr>
              <w:t xml:space="preserve"> системи </w:t>
            </w:r>
            <w:proofErr w:type="spellStart"/>
            <w:r w:rsidR="007B3EC4" w:rsidRPr="00937431">
              <w:rPr>
                <w:rFonts w:ascii="Times New Roman" w:hAnsi="Times New Roman" w:cs="Times New Roman"/>
              </w:rPr>
              <w:t>енергетич</w:t>
            </w:r>
            <w:proofErr w:type="spellEnd"/>
            <w:r w:rsidR="00653DB7">
              <w:rPr>
                <w:rFonts w:ascii="Times New Roman" w:hAnsi="Times New Roman" w:cs="Times New Roman"/>
              </w:rPr>
              <w:t>-</w:t>
            </w:r>
            <w:r w:rsidR="00D43778">
              <w:rPr>
                <w:rFonts w:ascii="Times New Roman" w:hAnsi="Times New Roman" w:cs="Times New Roman"/>
              </w:rPr>
              <w:br/>
            </w:r>
            <w:r w:rsidR="007B3EC4" w:rsidRPr="00937431">
              <w:rPr>
                <w:rFonts w:ascii="Times New Roman" w:hAnsi="Times New Roman" w:cs="Times New Roman"/>
              </w:rPr>
              <w:t>ного менеджменту</w:t>
            </w:r>
          </w:p>
        </w:tc>
        <w:tc>
          <w:tcPr>
            <w:tcW w:w="1985" w:type="dxa"/>
            <w:vMerge w:val="restart"/>
            <w:vAlign w:val="center"/>
          </w:tcPr>
          <w:p w:rsidR="007B3EC4" w:rsidRPr="00937431" w:rsidRDefault="007B3EC4" w:rsidP="008C6C5D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7431">
              <w:rPr>
                <w:rFonts w:ascii="Times New Roman" w:hAnsi="Times New Roman" w:cs="Times New Roman"/>
              </w:rPr>
              <w:t>Операційні цілі</w:t>
            </w:r>
          </w:p>
        </w:tc>
        <w:tc>
          <w:tcPr>
            <w:tcW w:w="3544" w:type="dxa"/>
            <w:vMerge w:val="restart"/>
            <w:vAlign w:val="center"/>
          </w:tcPr>
          <w:p w:rsidR="007B3EC4" w:rsidRPr="00937431" w:rsidRDefault="007B3EC4" w:rsidP="00357BE6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7431">
              <w:rPr>
                <w:rFonts w:ascii="Times New Roman" w:hAnsi="Times New Roman" w:cs="Times New Roman"/>
              </w:rPr>
              <w:t xml:space="preserve">Проміжні цілі </w:t>
            </w:r>
          </w:p>
        </w:tc>
        <w:tc>
          <w:tcPr>
            <w:tcW w:w="1417" w:type="dxa"/>
            <w:vMerge w:val="restart"/>
            <w:vAlign w:val="center"/>
          </w:tcPr>
          <w:p w:rsidR="007B3EC4" w:rsidRPr="00937431" w:rsidRDefault="007B3EC4" w:rsidP="00B212CF">
            <w:pPr>
              <w:jc w:val="center"/>
              <w:rPr>
                <w:rFonts w:ascii="Times New Roman" w:hAnsi="Times New Roman" w:cs="Times New Roman"/>
              </w:rPr>
            </w:pPr>
            <w:r w:rsidRPr="00937431">
              <w:rPr>
                <w:rFonts w:ascii="Times New Roman" w:hAnsi="Times New Roman" w:cs="Times New Roman"/>
              </w:rPr>
              <w:t>Термін</w:t>
            </w:r>
          </w:p>
          <w:p w:rsidR="007B3EC4" w:rsidRPr="00937431" w:rsidRDefault="007B3EC4" w:rsidP="00B212CF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7431">
              <w:rPr>
                <w:rFonts w:ascii="Times New Roman" w:hAnsi="Times New Roman" w:cs="Times New Roman"/>
              </w:rPr>
              <w:t>виконання</w:t>
            </w:r>
          </w:p>
        </w:tc>
        <w:tc>
          <w:tcPr>
            <w:tcW w:w="2977" w:type="dxa"/>
            <w:vMerge w:val="restart"/>
            <w:vAlign w:val="center"/>
          </w:tcPr>
          <w:p w:rsidR="007B3EC4" w:rsidRPr="00937431" w:rsidRDefault="008C40D9" w:rsidP="007B3EC4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7431">
              <w:rPr>
                <w:rFonts w:ascii="Times New Roman" w:eastAsia="Times New Roman" w:hAnsi="Times New Roman" w:cs="Times New Roman"/>
                <w:lang w:eastAsia="uk-UA"/>
              </w:rPr>
              <w:t>Щорічні і</w:t>
            </w:r>
            <w:r w:rsidR="007B3EC4" w:rsidRPr="00937431">
              <w:rPr>
                <w:rFonts w:ascii="Times New Roman" w:eastAsia="Times New Roman" w:hAnsi="Times New Roman" w:cs="Times New Roman"/>
                <w:lang w:eastAsia="uk-UA"/>
              </w:rPr>
              <w:t xml:space="preserve">ндикативні </w:t>
            </w:r>
            <w:r w:rsidR="00F0739C" w:rsidRPr="00937431">
              <w:rPr>
                <w:rFonts w:ascii="Times New Roman" w:eastAsia="Times New Roman" w:hAnsi="Times New Roman" w:cs="Times New Roman"/>
                <w:lang w:eastAsia="uk-UA"/>
              </w:rPr>
              <w:t>показники досягнення проміжних цілей</w:t>
            </w:r>
          </w:p>
          <w:p w:rsidR="007B3EC4" w:rsidRPr="00937431" w:rsidRDefault="007B3EC4" w:rsidP="007B3EC4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7B3EC4" w:rsidRPr="00937431" w:rsidRDefault="007B3EC4" w:rsidP="007B3EC4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7431">
              <w:rPr>
                <w:rFonts w:ascii="Times New Roman" w:hAnsi="Times New Roman" w:cs="Times New Roman"/>
              </w:rPr>
              <w:t>Відповідальні за виконання</w:t>
            </w:r>
          </w:p>
        </w:tc>
      </w:tr>
      <w:tr w:rsidR="00937431" w:rsidRPr="00176763" w:rsidTr="00D43778">
        <w:tc>
          <w:tcPr>
            <w:tcW w:w="425" w:type="dxa"/>
            <w:vMerge/>
            <w:vAlign w:val="center"/>
          </w:tcPr>
          <w:p w:rsidR="007B3EC4" w:rsidRPr="00937431" w:rsidRDefault="007B3EC4" w:rsidP="008C6C5D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</w:tc>
        <w:tc>
          <w:tcPr>
            <w:tcW w:w="1559" w:type="dxa"/>
            <w:vMerge/>
            <w:vAlign w:val="center"/>
          </w:tcPr>
          <w:p w:rsidR="007B3EC4" w:rsidRPr="00937431" w:rsidRDefault="007B3EC4" w:rsidP="008C6C5D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985" w:type="dxa"/>
            <w:vMerge/>
            <w:vAlign w:val="center"/>
          </w:tcPr>
          <w:p w:rsidR="007B3EC4" w:rsidRPr="00937431" w:rsidRDefault="007B3EC4" w:rsidP="008C6C5D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44" w:type="dxa"/>
            <w:vMerge/>
            <w:vAlign w:val="center"/>
          </w:tcPr>
          <w:p w:rsidR="007B3EC4" w:rsidRPr="00937431" w:rsidRDefault="007B3EC4" w:rsidP="008C6C5D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vMerge/>
            <w:vAlign w:val="center"/>
          </w:tcPr>
          <w:p w:rsidR="007B3EC4" w:rsidRPr="00937431" w:rsidRDefault="007B3EC4" w:rsidP="00B212CF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7B3EC4" w:rsidRPr="00937431" w:rsidRDefault="007B3EC4" w:rsidP="007B3EC4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01" w:type="dxa"/>
            <w:vAlign w:val="center"/>
          </w:tcPr>
          <w:p w:rsidR="007B3EC4" w:rsidRPr="00937431" w:rsidRDefault="007B3EC4" w:rsidP="007B3EC4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7431">
              <w:rPr>
                <w:rFonts w:ascii="Times New Roman" w:hAnsi="Times New Roman" w:cs="Times New Roman"/>
              </w:rPr>
              <w:t>апарат</w:t>
            </w:r>
          </w:p>
        </w:tc>
        <w:tc>
          <w:tcPr>
            <w:tcW w:w="2693" w:type="dxa"/>
            <w:vAlign w:val="center"/>
          </w:tcPr>
          <w:p w:rsidR="007B3EC4" w:rsidRPr="00937431" w:rsidRDefault="007B3EC4" w:rsidP="008C6C5D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7431">
              <w:rPr>
                <w:rFonts w:ascii="Times New Roman" w:hAnsi="Times New Roman" w:cs="Times New Roman"/>
              </w:rPr>
              <w:t>територіальні органи</w:t>
            </w:r>
          </w:p>
        </w:tc>
      </w:tr>
      <w:tr w:rsidR="00937431" w:rsidRPr="00176763" w:rsidTr="00D43778">
        <w:tc>
          <w:tcPr>
            <w:tcW w:w="425" w:type="dxa"/>
          </w:tcPr>
          <w:p w:rsidR="002D6EEA" w:rsidRPr="005765AD" w:rsidRDefault="002D6EEA" w:rsidP="00576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65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D6EEA" w:rsidRPr="005765AD" w:rsidRDefault="002D6EEA" w:rsidP="00576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65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2D6EEA" w:rsidRPr="005765AD" w:rsidRDefault="002D6EEA" w:rsidP="00576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65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2D6EEA" w:rsidRPr="005765AD" w:rsidRDefault="002D6EEA" w:rsidP="00576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65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2D6EEA" w:rsidRPr="005765AD" w:rsidRDefault="002D6EEA" w:rsidP="00B212CF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65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2D6EEA" w:rsidRPr="005765AD" w:rsidRDefault="007B3EC4" w:rsidP="002D6EEA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2D6EEA" w:rsidRPr="005765AD" w:rsidRDefault="007B3EC4" w:rsidP="00576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2D6EEA" w:rsidRPr="005765AD" w:rsidRDefault="007B3EC4" w:rsidP="00576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937431" w:rsidRPr="00176763" w:rsidTr="00D43778">
        <w:tc>
          <w:tcPr>
            <w:tcW w:w="425" w:type="dxa"/>
          </w:tcPr>
          <w:p w:rsidR="002D6EEA" w:rsidRPr="00176763" w:rsidRDefault="002D6EEA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D6EEA" w:rsidRPr="008C40D9" w:rsidRDefault="002D6EEA" w:rsidP="00F652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Забезпечення обміну інформацією</w:t>
            </w:r>
          </w:p>
        </w:tc>
        <w:tc>
          <w:tcPr>
            <w:tcW w:w="1985" w:type="dxa"/>
          </w:tcPr>
          <w:p w:rsidR="002D6EEA" w:rsidRPr="00176763" w:rsidRDefault="00F0739C" w:rsidP="00653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изначення відповідального за надання та обмін інформацією</w:t>
            </w:r>
          </w:p>
        </w:tc>
        <w:tc>
          <w:tcPr>
            <w:tcW w:w="3544" w:type="dxa"/>
          </w:tcPr>
          <w:p w:rsidR="002D6EEA" w:rsidRPr="00863FFC" w:rsidRDefault="00F0739C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Забезпечення відповідної комунікації між апаратом та територіальними органами, структурними підрозділами ДПС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D6EEA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63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  <w:p w:rsidR="002D6EEA" w:rsidRPr="00176763" w:rsidRDefault="002D6EEA" w:rsidP="00F6525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року</w:t>
            </w:r>
          </w:p>
        </w:tc>
        <w:tc>
          <w:tcPr>
            <w:tcW w:w="2977" w:type="dxa"/>
          </w:tcPr>
          <w:p w:rsidR="007531E8" w:rsidRDefault="007B3EC4" w:rsidP="00F65259">
            <w:pPr>
              <w:ind w:right="-108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Забезпечен</w:t>
            </w:r>
            <w:r w:rsidR="00985CB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5CB8">
              <w:rPr>
                <w:rFonts w:ascii="Times New Roman" w:hAnsi="Times New Roman" w:cs="Times New Roman"/>
                <w:sz w:val="20"/>
                <w:szCs w:val="20"/>
              </w:rPr>
              <w:t xml:space="preserve">комунікацію за допомогою системи електронного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документообігу </w:t>
            </w:r>
            <w:r w:rsidR="00985CB8">
              <w:rPr>
                <w:rFonts w:ascii="Times New Roman" w:hAnsi="Times New Roman" w:cs="Times New Roman"/>
                <w:sz w:val="20"/>
                <w:szCs w:val="20"/>
              </w:rPr>
              <w:t xml:space="preserve">між апаратом </w:t>
            </w:r>
            <w:r w:rsidRPr="005A4BF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ДПС та її територіальни</w:t>
            </w:r>
            <w:r w:rsidR="00985C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ми</w:t>
            </w:r>
            <w:r w:rsidRPr="005A4BF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 xml:space="preserve"> орган</w:t>
            </w:r>
            <w:r w:rsidR="00985C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ами</w:t>
            </w:r>
          </w:p>
          <w:p w:rsidR="001F51CA" w:rsidRDefault="001F51CA" w:rsidP="00F6525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778" w:rsidRDefault="00D43778" w:rsidP="00F6525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73A" w:rsidRPr="00176763" w:rsidRDefault="0018673A" w:rsidP="00F6525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6EEA" w:rsidRPr="00176763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інфраструктури та господарського забезпечення</w:t>
            </w:r>
          </w:p>
        </w:tc>
        <w:tc>
          <w:tcPr>
            <w:tcW w:w="2693" w:type="dxa"/>
          </w:tcPr>
          <w:p w:rsidR="002D6EEA" w:rsidRPr="00176763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Відповідний територіальний орган ДПС</w:t>
            </w:r>
          </w:p>
        </w:tc>
      </w:tr>
      <w:tr w:rsidR="00937431" w:rsidRPr="00176763" w:rsidTr="00D43778">
        <w:trPr>
          <w:trHeight w:val="210"/>
        </w:trPr>
        <w:tc>
          <w:tcPr>
            <w:tcW w:w="425" w:type="dxa"/>
            <w:vMerge w:val="restart"/>
          </w:tcPr>
          <w:p w:rsidR="002D6EEA" w:rsidRPr="00176763" w:rsidRDefault="002D6EEA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2D6EEA" w:rsidRPr="00176763" w:rsidRDefault="00290A0C" w:rsidP="0078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Проведення і</w:t>
            </w:r>
            <w:r w:rsidR="002D6EEA" w:rsidRPr="00176763">
              <w:rPr>
                <w:rFonts w:ascii="Times New Roman" w:hAnsi="Times New Roman" w:cs="Times New Roman"/>
                <w:sz w:val="20"/>
                <w:szCs w:val="20"/>
              </w:rPr>
              <w:t>нформаційно</w:t>
            </w:r>
            <w:r w:rsidR="002D6E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D6EEA"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D6EEA" w:rsidRPr="00176763">
              <w:rPr>
                <w:rFonts w:ascii="Times New Roman" w:hAnsi="Times New Roman" w:cs="Times New Roman"/>
                <w:sz w:val="20"/>
                <w:szCs w:val="20"/>
              </w:rPr>
              <w:t>роз’яснюваль</w:t>
            </w:r>
            <w:proofErr w:type="spellEnd"/>
            <w:r w:rsidR="00653DB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2D6EEA" w:rsidRPr="0017676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85B44">
              <w:rPr>
                <w:rFonts w:ascii="Times New Roman" w:hAnsi="Times New Roman" w:cs="Times New Roman"/>
                <w:sz w:val="20"/>
                <w:szCs w:val="20"/>
              </w:rPr>
              <w:t>ої</w:t>
            </w:r>
            <w:proofErr w:type="spellEnd"/>
            <w:r w:rsidR="002D6EEA"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00EB" w:rsidRPr="00176763">
              <w:rPr>
                <w:rFonts w:ascii="Times New Roman" w:hAnsi="Times New Roman" w:cs="Times New Roman"/>
                <w:sz w:val="20"/>
                <w:szCs w:val="20"/>
              </w:rPr>
              <w:t>діяльност</w:t>
            </w:r>
            <w:r w:rsidR="002400E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1985" w:type="dxa"/>
            <w:vMerge w:val="restart"/>
          </w:tcPr>
          <w:p w:rsidR="002D6EEA" w:rsidRPr="005A4BFF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BFF">
              <w:rPr>
                <w:rFonts w:ascii="Times New Roman" w:hAnsi="Times New Roman" w:cs="Times New Roman"/>
                <w:sz w:val="20"/>
                <w:szCs w:val="20"/>
              </w:rPr>
              <w:t>Публічність СЕМ</w:t>
            </w:r>
            <w:r w:rsidRPr="005A4BF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 xml:space="preserve"> ДПС та її територіальних органів</w:t>
            </w:r>
          </w:p>
          <w:p w:rsidR="002D6EEA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EEA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EEA" w:rsidRPr="00D136AC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D6EEA" w:rsidRPr="001F37F2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2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Оприлюднення </w:t>
            </w:r>
            <w:r w:rsidRPr="001F37F2">
              <w:rPr>
                <w:rFonts w:ascii="Times New Roman" w:hAnsi="Times New Roman" w:cs="Times New Roman"/>
                <w:sz w:val="20"/>
                <w:szCs w:val="20"/>
              </w:rPr>
              <w:t>ПД СЕМ ДПС</w:t>
            </w:r>
          </w:p>
          <w:p w:rsidR="002D6EEA" w:rsidRPr="001F37F2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EEA" w:rsidRPr="00176763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D6EEA" w:rsidRPr="00176763" w:rsidRDefault="00653DB7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D3E51">
              <w:rPr>
                <w:rFonts w:ascii="Times New Roman" w:hAnsi="Times New Roman" w:cs="Times New Roman"/>
                <w:sz w:val="20"/>
                <w:szCs w:val="20"/>
              </w:rPr>
              <w:t>ротягом 5 днів після затвердження</w:t>
            </w:r>
            <w:r w:rsidR="008D3E51" w:rsidRPr="003A67F4">
              <w:rPr>
                <w:rFonts w:ascii="Times New Roman" w:hAnsi="Times New Roman" w:cs="Times New Roman"/>
                <w:sz w:val="20"/>
                <w:szCs w:val="20"/>
              </w:rPr>
              <w:t xml:space="preserve"> ПД СЕМ ДПС</w:t>
            </w:r>
          </w:p>
        </w:tc>
        <w:tc>
          <w:tcPr>
            <w:tcW w:w="2977" w:type="dxa"/>
          </w:tcPr>
          <w:p w:rsidR="007531E8" w:rsidRDefault="003A67F4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7F4">
              <w:rPr>
                <w:rFonts w:ascii="Times New Roman" w:hAnsi="Times New Roman" w:cs="Times New Roman"/>
                <w:sz w:val="20"/>
                <w:szCs w:val="20"/>
              </w:rPr>
              <w:t>Оприлюднен</w:t>
            </w:r>
            <w:r w:rsidR="00985CB8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3A67F4">
              <w:rPr>
                <w:rFonts w:ascii="Times New Roman" w:hAnsi="Times New Roman" w:cs="Times New Roman"/>
                <w:sz w:val="20"/>
                <w:szCs w:val="20"/>
              </w:rPr>
              <w:t>затверджен</w:t>
            </w:r>
            <w:r w:rsidR="00985CB8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3A67F4">
              <w:rPr>
                <w:rFonts w:ascii="Times New Roman" w:hAnsi="Times New Roman" w:cs="Times New Roman"/>
                <w:sz w:val="20"/>
                <w:szCs w:val="20"/>
              </w:rPr>
              <w:t xml:space="preserve"> ПД СЕМ ДПС на вебпорталі ДПС</w:t>
            </w:r>
            <w:r w:rsidR="00985CB8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="00985CB8">
              <w:rPr>
                <w:rFonts w:ascii="Times New Roman" w:hAnsi="Times New Roman" w:cs="Times New Roman"/>
                <w:sz w:val="20"/>
                <w:szCs w:val="20"/>
              </w:rPr>
              <w:t>субсайтах</w:t>
            </w:r>
            <w:proofErr w:type="spellEnd"/>
            <w:r w:rsidR="00985CB8">
              <w:rPr>
                <w:rFonts w:ascii="Times New Roman" w:hAnsi="Times New Roman" w:cs="Times New Roman"/>
                <w:sz w:val="20"/>
                <w:szCs w:val="20"/>
              </w:rPr>
              <w:t xml:space="preserve"> територіальних органів ДПС</w:t>
            </w:r>
          </w:p>
          <w:p w:rsidR="0018673A" w:rsidRDefault="0018673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73A" w:rsidRPr="00653DB7" w:rsidRDefault="0018673A" w:rsidP="00F6525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90A0C" w:rsidRPr="00653DB7" w:rsidRDefault="00290A0C" w:rsidP="00F6525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90A0C" w:rsidRPr="00653DB7" w:rsidRDefault="00290A0C" w:rsidP="00F6525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2D6EEA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інфраструктури та господарського забезпечення, е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нергоменеджер, </w:t>
            </w:r>
          </w:p>
          <w:p w:rsidR="002D6EEA" w:rsidRPr="00176763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Департ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амент організації роботи Служби</w:t>
            </w:r>
          </w:p>
        </w:tc>
        <w:tc>
          <w:tcPr>
            <w:tcW w:w="2693" w:type="dxa"/>
          </w:tcPr>
          <w:p w:rsidR="002D6EEA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Визначена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відповідальна особа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діяльності СЕМ відповідного територіального органу ДПС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A67B5" w:rsidRPr="00176763" w:rsidRDefault="002D6EEA" w:rsidP="00290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структурний підрозділ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організації роботи відповідного територіального органу ДПС</w:t>
            </w:r>
          </w:p>
        </w:tc>
      </w:tr>
      <w:tr w:rsidR="00937431" w:rsidRPr="00176763" w:rsidTr="00D43778">
        <w:trPr>
          <w:trHeight w:val="736"/>
        </w:trPr>
        <w:tc>
          <w:tcPr>
            <w:tcW w:w="425" w:type="dxa"/>
            <w:vMerge/>
          </w:tcPr>
          <w:p w:rsidR="002D6EEA" w:rsidRPr="00176763" w:rsidRDefault="002D6EEA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6EEA" w:rsidRPr="00176763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6EEA" w:rsidRPr="00176763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D6EEA" w:rsidRPr="001F37F2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D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.2. </w:t>
            </w:r>
            <w:r w:rsidRPr="001F37F2">
              <w:rPr>
                <w:rFonts w:ascii="Times New Roman" w:hAnsi="Times New Roman" w:cs="Times New Roman"/>
                <w:sz w:val="20"/>
                <w:szCs w:val="20"/>
              </w:rPr>
              <w:t>Розроблення декларації енергетичної політики ДПС та її територіальних органів</w:t>
            </w:r>
            <w:r w:rsidR="00F0739C">
              <w:rPr>
                <w:rFonts w:ascii="Times New Roman" w:hAnsi="Times New Roman" w:cs="Times New Roman"/>
                <w:sz w:val="20"/>
                <w:szCs w:val="20"/>
              </w:rPr>
              <w:t xml:space="preserve"> (далі – декларація ДПС)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D6EEA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92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  <w:p w:rsidR="002D6EEA" w:rsidRPr="00647E77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року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A2E13" w:rsidRDefault="00985CB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Розроблено та затверджено</w:t>
            </w:r>
            <w:r w:rsidR="00F0739C">
              <w:rPr>
                <w:rFonts w:ascii="Times New Roman" w:hAnsi="Times New Roman" w:cs="Times New Roman"/>
                <w:sz w:val="20"/>
                <w:szCs w:val="20"/>
              </w:rPr>
              <w:t xml:space="preserve"> деклараці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F07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7F2">
              <w:rPr>
                <w:rFonts w:ascii="Times New Roman" w:hAnsi="Times New Roman" w:cs="Times New Roman"/>
                <w:sz w:val="20"/>
                <w:szCs w:val="20"/>
              </w:rPr>
              <w:t>енергетичної політики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739C">
              <w:rPr>
                <w:rFonts w:ascii="Times New Roman" w:hAnsi="Times New Roman" w:cs="Times New Roman"/>
                <w:sz w:val="20"/>
                <w:szCs w:val="20"/>
              </w:rPr>
              <w:t>ДПС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 також </w:t>
            </w:r>
            <w:r w:rsidR="00294766">
              <w:rPr>
                <w:rFonts w:ascii="Times New Roman" w:hAnsi="Times New Roman" w:cs="Times New Roman"/>
                <w:sz w:val="20"/>
                <w:szCs w:val="20"/>
              </w:rPr>
              <w:t>її перегляд</w:t>
            </w:r>
            <w:r w:rsidR="008C40D9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 w:rsidR="00290A0C">
              <w:rPr>
                <w:rFonts w:ascii="Times New Roman" w:hAnsi="Times New Roman" w:cs="Times New Roman"/>
                <w:sz w:val="20"/>
                <w:szCs w:val="20"/>
              </w:rPr>
              <w:t>потреби</w:t>
            </w:r>
            <w:r w:rsidR="008C40D9">
              <w:rPr>
                <w:rFonts w:ascii="Times New Roman" w:hAnsi="Times New Roman" w:cs="Times New Roman"/>
                <w:sz w:val="20"/>
                <w:szCs w:val="20"/>
              </w:rPr>
              <w:t xml:space="preserve">, але не менш як </w:t>
            </w:r>
            <w:r w:rsidR="00F0739C">
              <w:rPr>
                <w:rFonts w:ascii="Times New Roman" w:hAnsi="Times New Roman" w:cs="Times New Roman"/>
                <w:sz w:val="20"/>
                <w:szCs w:val="20"/>
              </w:rPr>
              <w:t>один раз на три роки</w:t>
            </w:r>
          </w:p>
          <w:p w:rsidR="0018673A" w:rsidRDefault="0018673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778" w:rsidRDefault="00D4377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778" w:rsidRPr="00647E77" w:rsidRDefault="00D4377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0A0C" w:rsidRPr="00560CB6" w:rsidRDefault="00290A0C" w:rsidP="00290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інфраструктури та господарського забезпечення, е</w:t>
            </w:r>
            <w:r w:rsidR="00560CB6">
              <w:rPr>
                <w:rFonts w:ascii="Times New Roman" w:hAnsi="Times New Roman" w:cs="Times New Roman"/>
                <w:sz w:val="20"/>
                <w:szCs w:val="20"/>
              </w:rPr>
              <w:t>нергоменеджер</w:t>
            </w:r>
          </w:p>
          <w:p w:rsidR="002D6EEA" w:rsidRPr="00176763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D6EEA" w:rsidRPr="00290A0C" w:rsidRDefault="00290A0C" w:rsidP="00290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Визначена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відповідальна особа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діяльності СЕМ відповідного територіального органу ДПС</w:t>
            </w:r>
          </w:p>
        </w:tc>
      </w:tr>
      <w:tr w:rsidR="00937431" w:rsidRPr="00176763" w:rsidTr="00D43778">
        <w:trPr>
          <w:trHeight w:val="274"/>
        </w:trPr>
        <w:tc>
          <w:tcPr>
            <w:tcW w:w="425" w:type="dxa"/>
          </w:tcPr>
          <w:p w:rsidR="003A67B5" w:rsidRPr="00692ACB" w:rsidRDefault="003A67B5" w:rsidP="00F6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3A67B5" w:rsidRPr="00692ACB" w:rsidRDefault="003A67B5" w:rsidP="00F6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3A67B5" w:rsidRPr="00692ACB" w:rsidRDefault="003A67B5" w:rsidP="00F6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A67B5" w:rsidRPr="00692ACB" w:rsidRDefault="003A67B5" w:rsidP="00F6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67B5" w:rsidRPr="00692ACB" w:rsidRDefault="003A67B5" w:rsidP="00F6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A67B5" w:rsidRPr="00692ACB" w:rsidRDefault="003A67B5" w:rsidP="00F6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67B5" w:rsidRPr="00692ACB" w:rsidRDefault="003A67B5" w:rsidP="00F6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3A67B5" w:rsidRPr="00692ACB" w:rsidRDefault="003A67B5" w:rsidP="00F6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F51CA" w:rsidRPr="00176763" w:rsidTr="00D43778">
        <w:trPr>
          <w:trHeight w:val="3143"/>
        </w:trPr>
        <w:tc>
          <w:tcPr>
            <w:tcW w:w="425" w:type="dxa"/>
            <w:vMerge w:val="restart"/>
          </w:tcPr>
          <w:p w:rsidR="00285505" w:rsidRPr="00176763" w:rsidRDefault="00285505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</w:tcPr>
          <w:p w:rsidR="00285505" w:rsidRPr="00176763" w:rsidRDefault="00785B44" w:rsidP="0078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85505" w:rsidRPr="00176763">
              <w:rPr>
                <w:rFonts w:ascii="Times New Roman" w:hAnsi="Times New Roman" w:cs="Times New Roman"/>
                <w:sz w:val="20"/>
                <w:szCs w:val="20"/>
              </w:rPr>
              <w:t>нергетичн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285505"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планування</w:t>
            </w:r>
          </w:p>
        </w:tc>
        <w:tc>
          <w:tcPr>
            <w:tcW w:w="1985" w:type="dxa"/>
            <w:vMerge w:val="restart"/>
          </w:tcPr>
          <w:p w:rsidR="00285505" w:rsidRPr="00176763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77AF">
              <w:rPr>
                <w:rFonts w:ascii="Times New Roman" w:hAnsi="Times New Roman" w:cs="Times New Roman"/>
                <w:sz w:val="20"/>
                <w:szCs w:val="20"/>
              </w:rPr>
              <w:t>озподіл річних лімітів споживання теплової, електричної енергії, природного газу та води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(далі – Ресурси)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AF77AF">
              <w:rPr>
                <w:rFonts w:ascii="Times New Roman" w:hAnsi="Times New Roman" w:cs="Times New Roman"/>
                <w:sz w:val="20"/>
                <w:szCs w:val="20"/>
              </w:rPr>
              <w:t xml:space="preserve"> натуральних показниках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Здійснення контролю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п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роведення поточно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аналізу споживання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Ресурсів</w:t>
            </w:r>
          </w:p>
        </w:tc>
        <w:tc>
          <w:tcPr>
            <w:tcW w:w="3544" w:type="dxa"/>
          </w:tcPr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9F0">
              <w:rPr>
                <w:rFonts w:ascii="Times New Roman" w:hAnsi="Times New Roman" w:cs="Times New Roman"/>
                <w:sz w:val="20"/>
                <w:szCs w:val="20"/>
              </w:rPr>
              <w:t xml:space="preserve">3.1.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Підготовка та з</w:t>
            </w:r>
            <w:r w:rsidRPr="001339F0">
              <w:rPr>
                <w:rFonts w:ascii="Times New Roman" w:hAnsi="Times New Roman" w:cs="Times New Roman"/>
                <w:sz w:val="20"/>
                <w:szCs w:val="20"/>
              </w:rPr>
              <w:t>атвердження зведеного розподілу річних лімітів споживання Ресурсів</w:t>
            </w:r>
          </w:p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505" w:rsidRPr="001339F0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5505" w:rsidRPr="00176763" w:rsidRDefault="00653DB7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="00285505">
              <w:rPr>
                <w:rFonts w:ascii="Times New Roman" w:hAnsi="Times New Roman" w:cs="Times New Roman"/>
                <w:sz w:val="20"/>
                <w:szCs w:val="20"/>
              </w:rPr>
              <w:t>орок</w:t>
            </w:r>
            <w:r w:rsidR="00560CB6">
              <w:rPr>
                <w:rFonts w:ascii="Times New Roman" w:hAnsi="Times New Roman" w:cs="Times New Roman"/>
                <w:sz w:val="20"/>
                <w:szCs w:val="20"/>
              </w:rPr>
              <w:t xml:space="preserve">у, </w:t>
            </w:r>
            <w:r w:rsidR="00560CB6">
              <w:rPr>
                <w:rFonts w:ascii="Times New Roman" w:hAnsi="Times New Roman" w:cs="Times New Roman"/>
                <w:sz w:val="20"/>
                <w:szCs w:val="20"/>
              </w:rPr>
              <w:br/>
              <w:t>до 31 грудня поточного року</w:t>
            </w:r>
            <w:r w:rsidR="00285505">
              <w:rPr>
                <w:rFonts w:ascii="Times New Roman" w:hAnsi="Times New Roman" w:cs="Times New Roman"/>
                <w:sz w:val="20"/>
                <w:szCs w:val="20"/>
              </w:rPr>
              <w:t xml:space="preserve"> – на наступний бюджетний рік</w:t>
            </w:r>
          </w:p>
        </w:tc>
        <w:tc>
          <w:tcPr>
            <w:tcW w:w="2977" w:type="dxa"/>
          </w:tcPr>
          <w:p w:rsidR="002C1FFD" w:rsidRPr="002C1FFD" w:rsidRDefault="00C96BDF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Видано н</w:t>
            </w:r>
            <w:r w:rsidR="00285505" w:rsidRPr="002C1FFD">
              <w:rPr>
                <w:rFonts w:ascii="Times New Roman" w:hAnsi="Times New Roman" w:cs="Times New Roman"/>
                <w:sz w:val="20"/>
                <w:szCs w:val="20"/>
              </w:rPr>
              <w:t xml:space="preserve">аказ </w:t>
            </w:r>
            <w:r w:rsidR="00294766" w:rsidRPr="002C1FFD">
              <w:rPr>
                <w:rFonts w:ascii="Times New Roman" w:hAnsi="Times New Roman" w:cs="Times New Roman"/>
                <w:sz w:val="20"/>
                <w:szCs w:val="20"/>
              </w:rPr>
              <w:t>ДПС</w:t>
            </w:r>
            <w:r w:rsidR="002727E0">
              <w:rPr>
                <w:rFonts w:ascii="Times New Roman" w:hAnsi="Times New Roman" w:cs="Times New Roman"/>
                <w:sz w:val="20"/>
                <w:szCs w:val="20"/>
              </w:rPr>
              <w:t xml:space="preserve"> «Про</w:t>
            </w:r>
            <w:r w:rsidR="00294766" w:rsidRPr="002C1F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7E0">
              <w:rPr>
                <w:rFonts w:ascii="Times New Roman" w:hAnsi="Times New Roman" w:cs="Times New Roman"/>
                <w:sz w:val="20"/>
                <w:szCs w:val="20"/>
              </w:rPr>
              <w:t>затвердження З</w:t>
            </w:r>
            <w:r w:rsidR="002C1FFD" w:rsidRPr="002C1FFD">
              <w:rPr>
                <w:rFonts w:ascii="Times New Roman" w:hAnsi="Times New Roman" w:cs="Times New Roman"/>
                <w:sz w:val="20"/>
                <w:szCs w:val="20"/>
              </w:rPr>
              <w:t>веденого розподілу річних лімітів споживання теплової, електричної енергії, природного газу та води в натуральних показниках</w:t>
            </w:r>
            <w:r w:rsidR="002C1F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1FFD" w:rsidRPr="002C1FFD">
              <w:rPr>
                <w:rFonts w:ascii="Times New Roman" w:hAnsi="Times New Roman" w:cs="Times New Roman"/>
                <w:sz w:val="20"/>
                <w:szCs w:val="20"/>
              </w:rPr>
              <w:t>у Державній податковій службі України</w:t>
            </w:r>
          </w:p>
          <w:p w:rsidR="00285505" w:rsidRPr="00176763" w:rsidRDefault="002C1FFD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FFD">
              <w:rPr>
                <w:rFonts w:ascii="Times New Roman" w:hAnsi="Times New Roman" w:cs="Times New Roman"/>
                <w:sz w:val="20"/>
                <w:szCs w:val="20"/>
              </w:rPr>
              <w:t>та її територіальних органах, що фінансуються з Державного бюджету України</w:t>
            </w:r>
            <w:r w:rsidR="002727E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інфраструктури та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господарського забезпечення, </w:t>
            </w:r>
          </w:p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енергоменеджер, </w:t>
            </w:r>
          </w:p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Департамент фінансового забезпеч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ення та бухгалтерського обліку</w:t>
            </w:r>
          </w:p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505" w:rsidRPr="00176763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85505" w:rsidRPr="00176763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Структурний підрозділ інфраструктури та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господарського забезпечення відповідного територіального органу ДПС,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визначена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відповідальна особа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діяльності СЕМ відповідного територіального органу ДПС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структурний підрозділ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фінансового забезпе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чення та бухгалтерського обліку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відповідного територіального органу ДПС</w:t>
            </w:r>
          </w:p>
        </w:tc>
      </w:tr>
      <w:tr w:rsidR="00476C41" w:rsidRPr="00176763" w:rsidTr="00D43778">
        <w:trPr>
          <w:trHeight w:val="2161"/>
        </w:trPr>
        <w:tc>
          <w:tcPr>
            <w:tcW w:w="425" w:type="dxa"/>
            <w:vMerge/>
          </w:tcPr>
          <w:p w:rsidR="00285505" w:rsidRPr="00176763" w:rsidRDefault="00285505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85505" w:rsidRPr="00176763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3.2. Подання та погодження 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детально обґрунтованих та розрахунково підтверджених пропозицій щодо збільшення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зменшення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імітів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разі виникнення підтверджених 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Торгово-промисловою палатою України випадків виникнення обставин непереборної сили, у тому числі пов’язаних із введенням воєнного стану в Україні</w:t>
            </w:r>
          </w:p>
        </w:tc>
        <w:tc>
          <w:tcPr>
            <w:tcW w:w="1417" w:type="dxa"/>
          </w:tcPr>
          <w:p w:rsidR="00285505" w:rsidRDefault="00653DB7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85505" w:rsidRPr="00357BE6">
              <w:rPr>
                <w:rFonts w:ascii="Times New Roman" w:hAnsi="Times New Roman" w:cs="Times New Roman"/>
                <w:sz w:val="20"/>
                <w:szCs w:val="20"/>
              </w:rPr>
              <w:t>а потреби</w:t>
            </w:r>
          </w:p>
        </w:tc>
        <w:tc>
          <w:tcPr>
            <w:tcW w:w="2977" w:type="dxa"/>
          </w:tcPr>
          <w:p w:rsidR="00285505" w:rsidRDefault="0029476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Надано </w:t>
            </w:r>
            <w:r w:rsidR="00290A0C">
              <w:rPr>
                <w:rFonts w:ascii="Times New Roman" w:hAnsi="Times New Roman" w:cs="Times New Roman"/>
                <w:sz w:val="20"/>
                <w:szCs w:val="20"/>
              </w:rPr>
              <w:t xml:space="preserve">керівництву ДПС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п</w:t>
            </w:r>
            <w:r w:rsidR="00285505" w:rsidRPr="00285505">
              <w:rPr>
                <w:rFonts w:ascii="Times New Roman" w:hAnsi="Times New Roman" w:cs="Times New Roman"/>
                <w:sz w:val="20"/>
                <w:szCs w:val="20"/>
              </w:rPr>
              <w:t>огодження пропозиці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r w:rsidR="00285505" w:rsidRPr="00285505">
              <w:rPr>
                <w:rFonts w:ascii="Times New Roman" w:hAnsi="Times New Roman" w:cs="Times New Roman"/>
                <w:sz w:val="20"/>
                <w:szCs w:val="20"/>
              </w:rPr>
              <w:t xml:space="preserve"> щодо збільшення / зменшення лімітів </w:t>
            </w:r>
            <w:r w:rsidR="00285505" w:rsidRPr="0028550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споживання Ресурсів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та затверджено</w:t>
            </w:r>
            <w:r w:rsidR="00285505" w:rsidRPr="00285505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відповідним розпорядчим документом</w:t>
            </w:r>
            <w:r w:rsidR="002727E0">
              <w:rPr>
                <w:rFonts w:ascii="Times New Roman" w:hAnsi="Times New Roman" w:cs="Times New Roman"/>
                <w:sz w:val="20"/>
                <w:szCs w:val="20"/>
              </w:rPr>
              <w:t xml:space="preserve"> ДПС</w:t>
            </w:r>
          </w:p>
        </w:tc>
        <w:tc>
          <w:tcPr>
            <w:tcW w:w="1701" w:type="dxa"/>
          </w:tcPr>
          <w:p w:rsidR="00285505" w:rsidRPr="00176763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інфраструктури та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господарського забезпечення</w:t>
            </w:r>
          </w:p>
        </w:tc>
        <w:tc>
          <w:tcPr>
            <w:tcW w:w="2693" w:type="dxa"/>
            <w:vMerge w:val="restart"/>
          </w:tcPr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Структурний підрозділ інфраструктури та господарського забезпечення відповідного територіального органу ДПС,</w:t>
            </w:r>
          </w:p>
          <w:p w:rsidR="00285505" w:rsidRPr="00176763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визначена</w:t>
            </w:r>
            <w:r w:rsidRPr="008F46E9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відповідальна особа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8F46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8F46E9">
              <w:rPr>
                <w:rFonts w:ascii="Times New Roman" w:hAnsi="Times New Roman" w:cs="Times New Roman"/>
                <w:sz w:val="20"/>
                <w:szCs w:val="20"/>
              </w:rPr>
              <w:t xml:space="preserve"> діяльності СЕМ відповідного територіального органу ДПС</w:t>
            </w:r>
          </w:p>
        </w:tc>
      </w:tr>
      <w:tr w:rsidR="001F51CA" w:rsidRPr="00176763" w:rsidTr="00D43778">
        <w:trPr>
          <w:trHeight w:val="1077"/>
        </w:trPr>
        <w:tc>
          <w:tcPr>
            <w:tcW w:w="425" w:type="dxa"/>
            <w:vMerge/>
          </w:tcPr>
          <w:p w:rsidR="00285505" w:rsidRPr="00176763" w:rsidRDefault="00285505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85505" w:rsidRPr="00176763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 У</w:t>
            </w:r>
            <w:r w:rsidRPr="00AF77AF">
              <w:rPr>
                <w:rFonts w:ascii="Times New Roman" w:hAnsi="Times New Roman" w:cs="Times New Roman"/>
                <w:sz w:val="20"/>
                <w:szCs w:val="20"/>
              </w:rPr>
              <w:t xml:space="preserve">кладення договорів та/або додаткових угод до договорів про постачання Ресурсів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F77AF">
              <w:rPr>
                <w:rFonts w:ascii="Times New Roman" w:hAnsi="Times New Roman" w:cs="Times New Roman"/>
                <w:sz w:val="20"/>
                <w:szCs w:val="20"/>
              </w:rPr>
              <w:t>у межах затверджених наказом лімітів споживання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078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77AF">
              <w:rPr>
                <w:rFonts w:ascii="Times New Roman" w:hAnsi="Times New Roman" w:cs="Times New Roman"/>
                <w:sz w:val="20"/>
                <w:szCs w:val="20"/>
              </w:rPr>
              <w:t>з енергопостачальними організаціями та підприємствами – надавачами комунальних послуг</w:t>
            </w:r>
          </w:p>
        </w:tc>
        <w:tc>
          <w:tcPr>
            <w:tcW w:w="1417" w:type="dxa"/>
          </w:tcPr>
          <w:p w:rsidR="00285505" w:rsidRDefault="00653DB7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85505">
              <w:rPr>
                <w:rFonts w:ascii="Times New Roman" w:hAnsi="Times New Roman" w:cs="Times New Roman"/>
                <w:sz w:val="20"/>
                <w:szCs w:val="20"/>
              </w:rPr>
              <w:t>остійно</w:t>
            </w:r>
          </w:p>
        </w:tc>
        <w:tc>
          <w:tcPr>
            <w:tcW w:w="2977" w:type="dxa"/>
          </w:tcPr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77AF">
              <w:rPr>
                <w:rFonts w:ascii="Times New Roman" w:hAnsi="Times New Roman" w:cs="Times New Roman"/>
                <w:sz w:val="20"/>
                <w:szCs w:val="20"/>
              </w:rPr>
              <w:t>кладен</w:t>
            </w:r>
            <w:r w:rsidR="0029476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77AF">
              <w:rPr>
                <w:rFonts w:ascii="Times New Roman" w:hAnsi="Times New Roman" w:cs="Times New Roman"/>
                <w:sz w:val="20"/>
                <w:szCs w:val="20"/>
              </w:rPr>
              <w:t xml:space="preserve"> договор</w:t>
            </w:r>
            <w:r w:rsidR="0029476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77AF">
              <w:rPr>
                <w:rFonts w:ascii="Times New Roman" w:hAnsi="Times New Roman" w:cs="Times New Roman"/>
                <w:sz w:val="20"/>
                <w:szCs w:val="20"/>
              </w:rPr>
              <w:t xml:space="preserve"> та/або додатков</w:t>
            </w:r>
            <w:r w:rsidR="0029476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AF77AF">
              <w:rPr>
                <w:rFonts w:ascii="Times New Roman" w:hAnsi="Times New Roman" w:cs="Times New Roman"/>
                <w:sz w:val="20"/>
                <w:szCs w:val="20"/>
              </w:rPr>
              <w:t xml:space="preserve"> угод</w:t>
            </w:r>
            <w:r w:rsidR="0029476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77AF">
              <w:rPr>
                <w:rFonts w:ascii="Times New Roman" w:hAnsi="Times New Roman" w:cs="Times New Roman"/>
                <w:sz w:val="20"/>
                <w:szCs w:val="20"/>
              </w:rPr>
              <w:t xml:space="preserve"> до договорів про постачання Ресурсів</w:t>
            </w:r>
          </w:p>
        </w:tc>
        <w:tc>
          <w:tcPr>
            <w:tcW w:w="1701" w:type="dxa"/>
          </w:tcPr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інфраструктури та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господарського забезпечення, </w:t>
            </w:r>
          </w:p>
          <w:p w:rsidR="00285505" w:rsidRPr="00D136AC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енергоменеджер</w:t>
            </w:r>
          </w:p>
        </w:tc>
        <w:tc>
          <w:tcPr>
            <w:tcW w:w="2693" w:type="dxa"/>
            <w:vMerge/>
          </w:tcPr>
          <w:p w:rsidR="00285505" w:rsidRPr="00176763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1CA" w:rsidRPr="00176763" w:rsidTr="00D43778">
        <w:trPr>
          <w:trHeight w:val="255"/>
        </w:trPr>
        <w:tc>
          <w:tcPr>
            <w:tcW w:w="425" w:type="dxa"/>
            <w:vMerge/>
          </w:tcPr>
          <w:p w:rsidR="00285505" w:rsidRPr="00176763" w:rsidRDefault="00285505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85505" w:rsidRPr="00176763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85505" w:rsidRDefault="00285505" w:rsidP="00240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 З</w:t>
            </w:r>
            <w:r w:rsidRPr="00537EA0">
              <w:rPr>
                <w:rFonts w:ascii="Times New Roman" w:hAnsi="Times New Roman" w:cs="Times New Roman"/>
                <w:sz w:val="20"/>
                <w:szCs w:val="20"/>
              </w:rPr>
              <w:t>віт</w:t>
            </w:r>
            <w:r w:rsidR="00290A0C">
              <w:rPr>
                <w:rFonts w:ascii="Times New Roman" w:hAnsi="Times New Roman" w:cs="Times New Roman"/>
                <w:sz w:val="20"/>
                <w:szCs w:val="20"/>
              </w:rPr>
              <w:t xml:space="preserve"> від територіальних органів ДПС</w:t>
            </w:r>
            <w:r w:rsidR="002400EB">
              <w:rPr>
                <w:rFonts w:ascii="Times New Roman" w:hAnsi="Times New Roman" w:cs="Times New Roman"/>
                <w:sz w:val="20"/>
                <w:szCs w:val="20"/>
              </w:rPr>
              <w:t xml:space="preserve"> про обсяги споживання Ресурсів</w:t>
            </w:r>
          </w:p>
        </w:tc>
        <w:tc>
          <w:tcPr>
            <w:tcW w:w="1417" w:type="dxa"/>
          </w:tcPr>
          <w:p w:rsidR="00285505" w:rsidRDefault="00653DB7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="00285505" w:rsidRPr="00F63E89">
              <w:rPr>
                <w:rFonts w:ascii="Times New Roman" w:hAnsi="Times New Roman" w:cs="Times New Roman"/>
                <w:sz w:val="20"/>
                <w:szCs w:val="20"/>
              </w:rPr>
              <w:t xml:space="preserve">омісяця,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  </w:t>
            </w:r>
            <w:r w:rsidR="00285505" w:rsidRPr="00F63E89">
              <w:rPr>
                <w:rFonts w:ascii="Times New Roman" w:hAnsi="Times New Roman" w:cs="Times New Roman"/>
                <w:sz w:val="20"/>
                <w:szCs w:val="20"/>
              </w:rPr>
              <w:t xml:space="preserve">до 20 числа місяця, </w:t>
            </w:r>
            <w:r w:rsidR="00285505">
              <w:rPr>
                <w:rFonts w:ascii="Times New Roman" w:hAnsi="Times New Roman" w:cs="Times New Roman"/>
                <w:sz w:val="20"/>
                <w:szCs w:val="20"/>
              </w:rPr>
              <w:t xml:space="preserve">наступного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85505">
              <w:rPr>
                <w:rFonts w:ascii="Times New Roman" w:hAnsi="Times New Roman" w:cs="Times New Roman"/>
                <w:sz w:val="20"/>
                <w:szCs w:val="20"/>
              </w:rPr>
              <w:t>за звітним</w:t>
            </w:r>
          </w:p>
        </w:tc>
        <w:tc>
          <w:tcPr>
            <w:tcW w:w="2977" w:type="dxa"/>
          </w:tcPr>
          <w:p w:rsidR="00285505" w:rsidRDefault="00321DC7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FFD">
              <w:rPr>
                <w:rFonts w:ascii="Times New Roman" w:hAnsi="Times New Roman" w:cs="Times New Roman"/>
                <w:sz w:val="20"/>
                <w:szCs w:val="20"/>
              </w:rPr>
              <w:t>Надано до Департамент</w:t>
            </w:r>
            <w:r w:rsidR="002727E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C1FFD">
              <w:rPr>
                <w:rFonts w:ascii="Times New Roman" w:hAnsi="Times New Roman" w:cs="Times New Roman"/>
                <w:sz w:val="20"/>
                <w:szCs w:val="20"/>
              </w:rPr>
              <w:t xml:space="preserve"> інфраструктури та господарського забезпечення звіт </w:t>
            </w:r>
            <w:r w:rsidR="00285505" w:rsidRPr="002C1FFD">
              <w:rPr>
                <w:rFonts w:ascii="Times New Roman" w:hAnsi="Times New Roman" w:cs="Times New Roman"/>
                <w:sz w:val="20"/>
                <w:szCs w:val="20"/>
              </w:rPr>
              <w:t>про обсяги споживання Ресурсів</w:t>
            </w:r>
          </w:p>
        </w:tc>
        <w:tc>
          <w:tcPr>
            <w:tcW w:w="1701" w:type="dxa"/>
            <w:vAlign w:val="center"/>
          </w:tcPr>
          <w:p w:rsidR="00285505" w:rsidRPr="00D136AC" w:rsidRDefault="002C1FFD" w:rsidP="00186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93" w:type="dxa"/>
            <w:vMerge/>
          </w:tcPr>
          <w:p w:rsidR="00285505" w:rsidRPr="00176763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431" w:rsidRPr="00176763" w:rsidTr="00D43778">
        <w:trPr>
          <w:trHeight w:val="210"/>
        </w:trPr>
        <w:tc>
          <w:tcPr>
            <w:tcW w:w="425" w:type="dxa"/>
          </w:tcPr>
          <w:p w:rsidR="003A67B5" w:rsidRPr="00176763" w:rsidRDefault="003A67B5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2400EB" w:rsidRDefault="003A67B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Здійснення </w:t>
            </w:r>
            <w:proofErr w:type="spellStart"/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енергомоніто</w:t>
            </w:r>
            <w:proofErr w:type="spellEnd"/>
            <w:r w:rsidR="00653D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A67B5" w:rsidRPr="00176763" w:rsidRDefault="003A67B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рингу</w:t>
            </w:r>
          </w:p>
        </w:tc>
        <w:tc>
          <w:tcPr>
            <w:tcW w:w="1985" w:type="dxa"/>
          </w:tcPr>
          <w:p w:rsidR="003A67B5" w:rsidRPr="00176763" w:rsidRDefault="003A67B5" w:rsidP="00EE4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37EA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37EA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ання</w:t>
            </w:r>
            <w:r w:rsidRPr="00537EA0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оброблення інформації про експлуатаційні характеристики будівель </w:t>
            </w:r>
          </w:p>
        </w:tc>
        <w:tc>
          <w:tcPr>
            <w:tcW w:w="3544" w:type="dxa"/>
          </w:tcPr>
          <w:p w:rsidR="003A67B5" w:rsidRPr="00176763" w:rsidRDefault="003A67B5" w:rsidP="0010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Розроблення</w:t>
            </w:r>
            <w:r w:rsidR="0041550B">
              <w:rPr>
                <w:rFonts w:ascii="Times New Roman" w:hAnsi="Times New Roman" w:cs="Times New Roman"/>
                <w:sz w:val="20"/>
                <w:szCs w:val="20"/>
              </w:rPr>
              <w:t xml:space="preserve"> та ведення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журналів обліку споживання Ресурсів. Збирання,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агрегація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внесення даних </w:t>
            </w:r>
            <w:r w:rsidR="0010788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журнали обліку, а</w:t>
            </w:r>
            <w:r w:rsidRPr="00537EA0">
              <w:rPr>
                <w:rFonts w:ascii="Times New Roman" w:hAnsi="Times New Roman" w:cs="Times New Roman"/>
                <w:sz w:val="20"/>
                <w:szCs w:val="20"/>
              </w:rPr>
              <w:t>наліз споживання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Ресурсів</w:t>
            </w:r>
          </w:p>
        </w:tc>
        <w:tc>
          <w:tcPr>
            <w:tcW w:w="1417" w:type="dxa"/>
          </w:tcPr>
          <w:p w:rsidR="003A67B5" w:rsidRPr="00176763" w:rsidRDefault="00653DB7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A67B5" w:rsidRPr="00176763">
              <w:rPr>
                <w:rFonts w:ascii="Times New Roman" w:hAnsi="Times New Roman" w:cs="Times New Roman"/>
                <w:sz w:val="20"/>
                <w:szCs w:val="20"/>
              </w:rPr>
              <w:t>остійно</w:t>
            </w:r>
          </w:p>
        </w:tc>
        <w:tc>
          <w:tcPr>
            <w:tcW w:w="2977" w:type="dxa"/>
          </w:tcPr>
          <w:p w:rsidR="003A67B5" w:rsidRPr="00176763" w:rsidRDefault="0041550B" w:rsidP="003C7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Розроблено</w:t>
            </w:r>
            <w:r w:rsidR="006E3122">
              <w:rPr>
                <w:rFonts w:ascii="Times New Roman" w:hAnsi="Times New Roman" w:cs="Times New Roman"/>
                <w:sz w:val="20"/>
                <w:szCs w:val="20"/>
              </w:rPr>
              <w:t xml:space="preserve"> журнал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6E3122">
              <w:rPr>
                <w:rFonts w:ascii="Times New Roman" w:hAnsi="Times New Roman" w:cs="Times New Roman"/>
                <w:sz w:val="20"/>
                <w:szCs w:val="20"/>
              </w:rPr>
              <w:t xml:space="preserve">обліку споживання Ресурсів, </w:t>
            </w:r>
            <w:r w:rsidR="003C789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</w:t>
            </w:r>
            <w:r w:rsidR="003C789A" w:rsidRPr="00176763">
              <w:rPr>
                <w:rFonts w:ascii="Times New Roman" w:hAnsi="Times New Roman" w:cs="Times New Roman"/>
                <w:sz w:val="20"/>
                <w:szCs w:val="20"/>
              </w:rPr>
              <w:t>агрегаці</w:t>
            </w:r>
            <w:r w:rsidR="003C789A">
              <w:rPr>
                <w:rFonts w:ascii="Times New Roman" w:hAnsi="Times New Roman" w:cs="Times New Roman"/>
                <w:sz w:val="20"/>
                <w:szCs w:val="20"/>
              </w:rPr>
              <w:t xml:space="preserve">ю даних, </w:t>
            </w:r>
            <w:r w:rsidR="006E3122">
              <w:rPr>
                <w:rFonts w:ascii="Times New Roman" w:hAnsi="Times New Roman" w:cs="Times New Roman"/>
                <w:sz w:val="20"/>
                <w:szCs w:val="20"/>
              </w:rPr>
              <w:t xml:space="preserve">внесення </w:t>
            </w:r>
            <w:r w:rsidR="003C789A">
              <w:rPr>
                <w:rFonts w:ascii="Times New Roman" w:hAnsi="Times New Roman" w:cs="Times New Roman"/>
                <w:sz w:val="20"/>
                <w:szCs w:val="20"/>
              </w:rPr>
              <w:t>даних</w:t>
            </w:r>
            <w:r w:rsidR="006E31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3DB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E31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A67B5" w:rsidRPr="00176763" w:rsidRDefault="003A67B5" w:rsidP="00EE4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інфраструктури та господарського </w:t>
            </w:r>
          </w:p>
        </w:tc>
        <w:tc>
          <w:tcPr>
            <w:tcW w:w="2693" w:type="dxa"/>
          </w:tcPr>
          <w:p w:rsidR="003A67B5" w:rsidRPr="00176763" w:rsidRDefault="003A67B5" w:rsidP="00EE4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Визначена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відповідальна особа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діяльності СЕМ відповідного територіального органу </w:t>
            </w:r>
          </w:p>
        </w:tc>
      </w:tr>
      <w:tr w:rsidR="001F51CA" w:rsidRPr="00692ACB" w:rsidTr="00D43778">
        <w:trPr>
          <w:trHeight w:val="274"/>
        </w:trPr>
        <w:tc>
          <w:tcPr>
            <w:tcW w:w="425" w:type="dxa"/>
          </w:tcPr>
          <w:p w:rsidR="001F51CA" w:rsidRPr="00692ACB" w:rsidRDefault="001F51CA" w:rsidP="00EE4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1F51CA" w:rsidRPr="00692ACB" w:rsidRDefault="001F51CA" w:rsidP="00EE4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1F51CA" w:rsidRPr="00692ACB" w:rsidRDefault="001F51CA" w:rsidP="00EE4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F51CA" w:rsidRPr="00692ACB" w:rsidRDefault="001F51CA" w:rsidP="00EE4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51CA" w:rsidRPr="00692ACB" w:rsidRDefault="001F51CA" w:rsidP="00EE4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F51CA" w:rsidRPr="00692ACB" w:rsidRDefault="001F51CA" w:rsidP="00EE4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51CA" w:rsidRPr="00692ACB" w:rsidRDefault="001F51CA" w:rsidP="00EE4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1F51CA" w:rsidRPr="00692ACB" w:rsidRDefault="001F51CA" w:rsidP="00EE4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F51CA" w:rsidRPr="00176763" w:rsidTr="00D43778">
        <w:trPr>
          <w:trHeight w:val="710"/>
        </w:trPr>
        <w:tc>
          <w:tcPr>
            <w:tcW w:w="425" w:type="dxa"/>
          </w:tcPr>
          <w:p w:rsidR="001F51CA" w:rsidRPr="00176763" w:rsidRDefault="001F51CA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1CA" w:rsidRPr="00176763" w:rsidRDefault="001F51C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F51CA" w:rsidRDefault="00EE4FE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ДПС</w:t>
            </w:r>
          </w:p>
        </w:tc>
        <w:tc>
          <w:tcPr>
            <w:tcW w:w="3544" w:type="dxa"/>
          </w:tcPr>
          <w:p w:rsidR="001F51CA" w:rsidRDefault="001F51C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51CA" w:rsidRPr="00176763" w:rsidRDefault="001F51C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F51CA" w:rsidRDefault="00EE4FEB" w:rsidP="003C7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журнали обліку </w:t>
            </w:r>
            <w:r w:rsidR="003C789A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="00DA2E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A2E13" w:rsidRPr="00537EA0">
              <w:rPr>
                <w:rFonts w:ascii="Times New Roman" w:hAnsi="Times New Roman" w:cs="Times New Roman"/>
                <w:sz w:val="20"/>
                <w:szCs w:val="20"/>
              </w:rPr>
              <w:t>наліз споживання</w:t>
            </w:r>
            <w:r w:rsidR="00DA2E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1DC7">
              <w:rPr>
                <w:rFonts w:ascii="Times New Roman" w:hAnsi="Times New Roman" w:cs="Times New Roman"/>
                <w:sz w:val="20"/>
                <w:szCs w:val="20"/>
              </w:rPr>
              <w:t>Ресурсів</w:t>
            </w:r>
          </w:p>
        </w:tc>
        <w:tc>
          <w:tcPr>
            <w:tcW w:w="1701" w:type="dxa"/>
          </w:tcPr>
          <w:p w:rsidR="00107889" w:rsidRDefault="00107889" w:rsidP="0010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EE4FEB">
              <w:rPr>
                <w:rFonts w:ascii="Times New Roman" w:hAnsi="Times New Roman" w:cs="Times New Roman"/>
                <w:sz w:val="20"/>
                <w:szCs w:val="20"/>
              </w:rPr>
              <w:t>абезпечення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енергоменеджер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51CA" w:rsidRPr="00176763" w:rsidRDefault="001F51C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F51CA" w:rsidRDefault="00EE4FEB" w:rsidP="0024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ДПС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51CA" w:rsidRPr="00176763" w:rsidTr="00D43778">
        <w:trPr>
          <w:trHeight w:val="1532"/>
        </w:trPr>
        <w:tc>
          <w:tcPr>
            <w:tcW w:w="425" w:type="dxa"/>
            <w:vMerge w:val="restart"/>
          </w:tcPr>
          <w:p w:rsidR="003C6E5B" w:rsidRPr="00692ACB" w:rsidRDefault="003C6E5B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Merge w:val="restart"/>
          </w:tcPr>
          <w:p w:rsidR="003C6E5B" w:rsidRPr="00692ACB" w:rsidRDefault="00785B44" w:rsidP="0078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3C6E5B" w:rsidRPr="00692ACB">
              <w:rPr>
                <w:rFonts w:ascii="Times New Roman" w:hAnsi="Times New Roman" w:cs="Times New Roman"/>
                <w:sz w:val="20"/>
                <w:szCs w:val="20"/>
              </w:rPr>
              <w:t>інанс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C6E5B" w:rsidRPr="00692ACB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ння</w:t>
            </w:r>
          </w:p>
        </w:tc>
        <w:tc>
          <w:tcPr>
            <w:tcW w:w="1985" w:type="dxa"/>
            <w:vMerge w:val="restart"/>
          </w:tcPr>
          <w:p w:rsidR="003C6E5B" w:rsidRPr="00692ACB" w:rsidRDefault="003C6E5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процедур публічних </w:t>
            </w:r>
            <w:proofErr w:type="spellStart"/>
            <w:r w:rsidRPr="00692ACB">
              <w:rPr>
                <w:rFonts w:ascii="Times New Roman" w:hAnsi="Times New Roman" w:cs="Times New Roman"/>
                <w:sz w:val="20"/>
                <w:szCs w:val="20"/>
              </w:rPr>
              <w:t>закупівель</w:t>
            </w:r>
            <w:proofErr w:type="spellEnd"/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2ACB">
              <w:rPr>
                <w:rFonts w:ascii="Times New Roman" w:hAnsi="Times New Roman" w:cs="Times New Roman"/>
                <w:sz w:val="20"/>
                <w:szCs w:val="20"/>
              </w:rPr>
              <w:t>енергоспоживчої</w:t>
            </w:r>
            <w:proofErr w:type="spellEnd"/>
            <w:r w:rsidR="003C789A">
              <w:rPr>
                <w:rFonts w:ascii="Times New Roman" w:hAnsi="Times New Roman" w:cs="Times New Roman"/>
                <w:sz w:val="20"/>
                <w:szCs w:val="20"/>
              </w:rPr>
              <w:t xml:space="preserve"> продукції (товарів) та послуг </w:t>
            </w: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рахуванням вимог напрацьованих шляхів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методів підвищення енергетичної ефективності будівель</w:t>
            </w:r>
          </w:p>
          <w:p w:rsidR="003C6E5B" w:rsidRPr="00692ACB" w:rsidRDefault="003C6E5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3C6E5B" w:rsidRPr="00692ACB" w:rsidRDefault="003C6E5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5.1. Планування видатків для проведення процедур публічних </w:t>
            </w:r>
            <w:proofErr w:type="spellStart"/>
            <w:r w:rsidRPr="00692ACB">
              <w:rPr>
                <w:rFonts w:ascii="Times New Roman" w:hAnsi="Times New Roman" w:cs="Times New Roman"/>
                <w:sz w:val="20"/>
                <w:szCs w:val="20"/>
              </w:rPr>
              <w:t>закупівель</w:t>
            </w:r>
            <w:proofErr w:type="spellEnd"/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2ACB">
              <w:rPr>
                <w:rFonts w:ascii="Times New Roman" w:hAnsi="Times New Roman" w:cs="Times New Roman"/>
                <w:sz w:val="20"/>
                <w:szCs w:val="20"/>
              </w:rPr>
              <w:t>енергоспоживчої</w:t>
            </w:r>
            <w:proofErr w:type="spellEnd"/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продукці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(товарів)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="00653DB7">
              <w:rPr>
                <w:rFonts w:ascii="Times New Roman" w:hAnsi="Times New Roman" w:cs="Times New Roman"/>
                <w:sz w:val="20"/>
                <w:szCs w:val="20"/>
              </w:rPr>
              <w:t xml:space="preserve">послуг </w:t>
            </w: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>рахуванням вимог енергоефективності та видатків на утримання</w:t>
            </w:r>
          </w:p>
        </w:tc>
        <w:tc>
          <w:tcPr>
            <w:tcW w:w="1417" w:type="dxa"/>
          </w:tcPr>
          <w:p w:rsidR="003C6E5B" w:rsidRDefault="00653DB7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="003C6E5B">
              <w:rPr>
                <w:rFonts w:ascii="Times New Roman" w:hAnsi="Times New Roman" w:cs="Times New Roman"/>
                <w:sz w:val="20"/>
                <w:szCs w:val="20"/>
              </w:rPr>
              <w:t xml:space="preserve">ороку, </w:t>
            </w:r>
            <w:r w:rsidR="003C6E5B">
              <w:rPr>
                <w:rFonts w:ascii="Times New Roman" w:hAnsi="Times New Roman" w:cs="Times New Roman"/>
                <w:sz w:val="20"/>
                <w:szCs w:val="20"/>
              </w:rPr>
              <w:br/>
              <w:t>до 01 березня</w:t>
            </w:r>
          </w:p>
          <w:p w:rsidR="003C6E5B" w:rsidRPr="00692ACB" w:rsidRDefault="003C6E5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поточного року</w:t>
            </w:r>
          </w:p>
          <w:p w:rsidR="003C6E5B" w:rsidRPr="00692ACB" w:rsidRDefault="003C6E5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C6E5B" w:rsidRPr="00DA2E13" w:rsidRDefault="00AA67C8" w:rsidP="00560CB6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Департаменту фінансового забезпечення та бухгалтерського обліку п</w:t>
            </w:r>
            <w:r w:rsidR="0041550B">
              <w:rPr>
                <w:rFonts w:ascii="Times New Roman" w:hAnsi="Times New Roman" w:cs="Times New Roman"/>
                <w:sz w:val="20"/>
                <w:szCs w:val="20"/>
              </w:rPr>
              <w:t>одано</w:t>
            </w:r>
            <w:r w:rsidR="00F65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0CB6">
              <w:rPr>
                <w:rFonts w:ascii="Times New Roman" w:hAnsi="Times New Roman" w:cs="Times New Roman"/>
                <w:sz w:val="20"/>
                <w:szCs w:val="20"/>
              </w:rPr>
              <w:t>розрахунки з пропозиціями</w:t>
            </w:r>
            <w:r w:rsidR="008336E2">
              <w:rPr>
                <w:rFonts w:ascii="Times New Roman" w:hAnsi="Times New Roman" w:cs="Times New Roman"/>
                <w:sz w:val="20"/>
                <w:szCs w:val="20"/>
              </w:rPr>
              <w:t xml:space="preserve"> до бюджетного запиту ДПС</w:t>
            </w:r>
            <w:r w:rsidR="008336E2"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2E13"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для проведення процедур публічних </w:t>
            </w:r>
            <w:proofErr w:type="spellStart"/>
            <w:r w:rsidR="00DA2E13" w:rsidRPr="00692ACB">
              <w:rPr>
                <w:rFonts w:ascii="Times New Roman" w:hAnsi="Times New Roman" w:cs="Times New Roman"/>
                <w:sz w:val="20"/>
                <w:szCs w:val="20"/>
              </w:rPr>
              <w:t>закупівель</w:t>
            </w:r>
            <w:proofErr w:type="spellEnd"/>
            <w:r w:rsidR="00DA2E13"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2E13" w:rsidRPr="00692ACB">
              <w:rPr>
                <w:rFonts w:ascii="Times New Roman" w:hAnsi="Times New Roman" w:cs="Times New Roman"/>
                <w:sz w:val="20"/>
                <w:szCs w:val="20"/>
              </w:rPr>
              <w:t>енергоспоживчої</w:t>
            </w:r>
            <w:proofErr w:type="spellEnd"/>
            <w:r w:rsidR="00DA2E13"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продукці</w:t>
            </w:r>
            <w:r w:rsidR="00DA2E13"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r w:rsidR="00DA2E13"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(товарів) </w:t>
            </w:r>
            <w:r w:rsidR="00DA2E13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="00DA2E13" w:rsidRPr="00692ACB">
              <w:rPr>
                <w:rFonts w:ascii="Times New Roman" w:hAnsi="Times New Roman" w:cs="Times New Roman"/>
                <w:sz w:val="20"/>
                <w:szCs w:val="20"/>
              </w:rPr>
              <w:t>послуг</w:t>
            </w:r>
          </w:p>
        </w:tc>
        <w:tc>
          <w:tcPr>
            <w:tcW w:w="1701" w:type="dxa"/>
            <w:vMerge w:val="restart"/>
          </w:tcPr>
          <w:p w:rsidR="003C6E5B" w:rsidRDefault="003C6E5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інфраструктури та господарського забезпечення, </w:t>
            </w:r>
          </w:p>
          <w:p w:rsidR="003C6E5B" w:rsidRPr="00692ACB" w:rsidRDefault="003C6E5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>енергоменеджер</w:t>
            </w:r>
          </w:p>
          <w:p w:rsidR="003C6E5B" w:rsidRPr="00692ACB" w:rsidRDefault="003C6E5B" w:rsidP="00F652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 w:val="restart"/>
          </w:tcPr>
          <w:p w:rsidR="003C6E5B" w:rsidRDefault="003C6E5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Структурний підрозділ інфраструктури та господарського забезпечення відповідного територіального органу ДПС, </w:t>
            </w:r>
          </w:p>
          <w:p w:rsidR="003C6E5B" w:rsidRPr="00692ACB" w:rsidRDefault="003C6E5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визначена особа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діяльності СЕМ відповідного територіального органу ДПС</w:t>
            </w:r>
          </w:p>
        </w:tc>
      </w:tr>
      <w:tr w:rsidR="001F51CA" w:rsidRPr="00176763" w:rsidTr="00D43778">
        <w:trPr>
          <w:trHeight w:val="1145"/>
        </w:trPr>
        <w:tc>
          <w:tcPr>
            <w:tcW w:w="425" w:type="dxa"/>
            <w:vMerge/>
          </w:tcPr>
          <w:p w:rsidR="003C6E5B" w:rsidRPr="00692ACB" w:rsidRDefault="003C6E5B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6E5B" w:rsidRPr="00692ACB" w:rsidRDefault="003C6E5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C6E5B" w:rsidRPr="00692ACB" w:rsidRDefault="003C6E5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C6E5B" w:rsidRPr="00985CB8" w:rsidRDefault="003C6E5B" w:rsidP="00653DB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5.2. Внесення інформації до річного плану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ДПС </w:t>
            </w:r>
            <w:proofErr w:type="spellStart"/>
            <w:r w:rsidRPr="00692ACB">
              <w:rPr>
                <w:rFonts w:ascii="Times New Roman" w:hAnsi="Times New Roman" w:cs="Times New Roman"/>
                <w:sz w:val="20"/>
                <w:szCs w:val="20"/>
              </w:rPr>
              <w:t>енергоспоживчої</w:t>
            </w:r>
            <w:proofErr w:type="spellEnd"/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продукці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ї </w:t>
            </w: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>(товарів)</w:t>
            </w:r>
            <w:r w:rsidR="00653DB7">
              <w:rPr>
                <w:rFonts w:ascii="Times New Roman" w:hAnsi="Times New Roman" w:cs="Times New Roman"/>
                <w:sz w:val="20"/>
                <w:szCs w:val="20"/>
              </w:rPr>
              <w:t xml:space="preserve"> та</w:t>
            </w: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послуг</w:t>
            </w:r>
          </w:p>
        </w:tc>
        <w:tc>
          <w:tcPr>
            <w:tcW w:w="1417" w:type="dxa"/>
          </w:tcPr>
          <w:p w:rsidR="003C6E5B" w:rsidRPr="00692ACB" w:rsidRDefault="00653DB7" w:rsidP="00653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C6E5B">
              <w:rPr>
                <w:rFonts w:ascii="Times New Roman" w:hAnsi="Times New Roman" w:cs="Times New Roman"/>
                <w:sz w:val="20"/>
                <w:szCs w:val="20"/>
              </w:rPr>
              <w:t>ротягом поточного бюджетного року за потреби</w:t>
            </w:r>
          </w:p>
        </w:tc>
        <w:tc>
          <w:tcPr>
            <w:tcW w:w="2977" w:type="dxa"/>
          </w:tcPr>
          <w:p w:rsidR="003C6E5B" w:rsidRPr="00692ACB" w:rsidRDefault="00AA67C8" w:rsidP="00AA6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Протоколом уповноваженої особи ДПС </w:t>
            </w:r>
            <w:proofErr w:type="spellStart"/>
            <w:r w:rsidR="002727E0">
              <w:rPr>
                <w:rFonts w:ascii="Times New Roman" w:hAnsi="Times New Roman" w:cs="Times New Roman"/>
                <w:sz w:val="20"/>
                <w:szCs w:val="20"/>
              </w:rPr>
              <w:t>внесено</w:t>
            </w:r>
            <w:proofErr w:type="spellEnd"/>
            <w:r w:rsidR="00D213F1" w:rsidRPr="00D213F1">
              <w:rPr>
                <w:rFonts w:ascii="Times New Roman" w:hAnsi="Times New Roman" w:cs="Times New Roman"/>
                <w:sz w:val="20"/>
                <w:szCs w:val="20"/>
              </w:rPr>
              <w:t xml:space="preserve"> інформаці</w:t>
            </w:r>
            <w:r w:rsidR="00D213F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D213F1" w:rsidRPr="00D213F1">
              <w:rPr>
                <w:rFonts w:ascii="Times New Roman" w:hAnsi="Times New Roman" w:cs="Times New Roman"/>
                <w:sz w:val="20"/>
                <w:szCs w:val="20"/>
              </w:rPr>
              <w:t xml:space="preserve"> до річного плану закупівель ДПС</w:t>
            </w:r>
            <w:r w:rsidR="00EE5FD8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проведення відповідних публічних</w:t>
            </w:r>
            <w:r w:rsidR="00EE5FD8"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закупівель</w:t>
            </w:r>
          </w:p>
        </w:tc>
        <w:tc>
          <w:tcPr>
            <w:tcW w:w="1701" w:type="dxa"/>
            <w:vMerge/>
          </w:tcPr>
          <w:p w:rsidR="003C6E5B" w:rsidRPr="00711997" w:rsidRDefault="003C6E5B" w:rsidP="00F6525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  <w:vMerge/>
          </w:tcPr>
          <w:p w:rsidR="003C6E5B" w:rsidRPr="00711997" w:rsidRDefault="003C6E5B" w:rsidP="00F6525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1F51CA" w:rsidRPr="00176763" w:rsidTr="00D43778">
        <w:trPr>
          <w:trHeight w:val="260"/>
        </w:trPr>
        <w:tc>
          <w:tcPr>
            <w:tcW w:w="425" w:type="dxa"/>
            <w:vMerge/>
          </w:tcPr>
          <w:p w:rsidR="003C6E5B" w:rsidRPr="00692ACB" w:rsidRDefault="003C6E5B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6E5B" w:rsidRPr="00692ACB" w:rsidRDefault="003C6E5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C6E5B" w:rsidRPr="00692ACB" w:rsidRDefault="003C6E5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C6E5B" w:rsidRDefault="00AD7C4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5.3 </w:t>
            </w:r>
            <w:r w:rsidR="003C6E5B"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процедур публічних </w:t>
            </w:r>
            <w:proofErr w:type="spellStart"/>
            <w:r w:rsidR="003C6E5B" w:rsidRPr="00692ACB">
              <w:rPr>
                <w:rFonts w:ascii="Times New Roman" w:hAnsi="Times New Roman" w:cs="Times New Roman"/>
                <w:sz w:val="20"/>
                <w:szCs w:val="20"/>
              </w:rPr>
              <w:t>закупівель</w:t>
            </w:r>
            <w:proofErr w:type="spellEnd"/>
            <w:r w:rsidR="003C6E5B"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C6E5B" w:rsidRPr="00692ACB">
              <w:rPr>
                <w:rFonts w:ascii="Times New Roman" w:hAnsi="Times New Roman" w:cs="Times New Roman"/>
                <w:sz w:val="20"/>
                <w:szCs w:val="20"/>
              </w:rPr>
              <w:t>ене</w:t>
            </w:r>
            <w:r w:rsidR="00560CB6">
              <w:rPr>
                <w:rFonts w:ascii="Times New Roman" w:hAnsi="Times New Roman" w:cs="Times New Roman"/>
                <w:sz w:val="20"/>
                <w:szCs w:val="20"/>
              </w:rPr>
              <w:t>ргоспоживчої</w:t>
            </w:r>
            <w:proofErr w:type="spellEnd"/>
            <w:r w:rsidR="00560CB6">
              <w:rPr>
                <w:rFonts w:ascii="Times New Roman" w:hAnsi="Times New Roman" w:cs="Times New Roman"/>
                <w:sz w:val="20"/>
                <w:szCs w:val="20"/>
              </w:rPr>
              <w:t xml:space="preserve"> продукції товарів</w:t>
            </w:r>
            <w:r w:rsidR="003C6E5B"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та послуг</w:t>
            </w:r>
          </w:p>
        </w:tc>
        <w:tc>
          <w:tcPr>
            <w:tcW w:w="1417" w:type="dxa"/>
          </w:tcPr>
          <w:p w:rsidR="003C6E5B" w:rsidRDefault="00653DB7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D7C4B">
              <w:rPr>
                <w:rFonts w:ascii="Times New Roman" w:hAnsi="Times New Roman" w:cs="Times New Roman"/>
                <w:sz w:val="20"/>
                <w:szCs w:val="20"/>
              </w:rPr>
              <w:t>ротягом поточного бюджетного року</w:t>
            </w:r>
          </w:p>
        </w:tc>
        <w:tc>
          <w:tcPr>
            <w:tcW w:w="2977" w:type="dxa"/>
          </w:tcPr>
          <w:p w:rsidR="003C6E5B" w:rsidRDefault="00AD7C4B" w:rsidP="001A6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Укладен</w:t>
            </w:r>
            <w:r w:rsidR="00D213F1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653DB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оговори</w:t>
            </w:r>
            <w:r w:rsidR="00560C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A6185">
              <w:rPr>
                <w:rFonts w:ascii="Times New Roman" w:hAnsi="Times New Roman" w:cs="Times New Roman"/>
                <w:sz w:val="20"/>
                <w:szCs w:val="20"/>
              </w:rPr>
              <w:t xml:space="preserve">додаткові угоди до договорів, </w:t>
            </w:r>
            <w:r w:rsidR="00560CB6">
              <w:rPr>
                <w:rFonts w:ascii="Times New Roman" w:hAnsi="Times New Roman" w:cs="Times New Roman"/>
                <w:sz w:val="20"/>
                <w:szCs w:val="20"/>
              </w:rPr>
              <w:t>отримано товари та послуги</w:t>
            </w:r>
          </w:p>
        </w:tc>
        <w:tc>
          <w:tcPr>
            <w:tcW w:w="1701" w:type="dxa"/>
            <w:vMerge/>
          </w:tcPr>
          <w:p w:rsidR="003C6E5B" w:rsidRPr="00711997" w:rsidRDefault="003C6E5B" w:rsidP="00F6525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  <w:vMerge/>
          </w:tcPr>
          <w:p w:rsidR="003C6E5B" w:rsidRPr="00711997" w:rsidRDefault="003C6E5B" w:rsidP="00F6525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937431" w:rsidRPr="00176763" w:rsidTr="00D43778">
        <w:trPr>
          <w:trHeight w:val="2770"/>
        </w:trPr>
        <w:tc>
          <w:tcPr>
            <w:tcW w:w="425" w:type="dxa"/>
          </w:tcPr>
          <w:p w:rsidR="00E00CC6" w:rsidRPr="00176763" w:rsidRDefault="00E00CC6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E00CC6" w:rsidRPr="00176763" w:rsidRDefault="00785B44" w:rsidP="0078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Проведення і</w:t>
            </w:r>
            <w:r w:rsidR="00DA1A76" w:rsidRPr="00176763">
              <w:rPr>
                <w:rFonts w:ascii="Times New Roman" w:hAnsi="Times New Roman" w:cs="Times New Roman"/>
                <w:sz w:val="20"/>
                <w:szCs w:val="20"/>
              </w:rPr>
              <w:t>нвентаризаці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r w:rsidR="00DA1A76"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1A76" w:rsidRPr="00D136AC">
              <w:rPr>
                <w:rFonts w:ascii="Times New Roman" w:hAnsi="Times New Roman" w:cs="Times New Roman"/>
                <w:sz w:val="20"/>
                <w:szCs w:val="20"/>
              </w:rPr>
              <w:t>будівель</w:t>
            </w:r>
            <w:r w:rsidR="00DA1A76">
              <w:rPr>
                <w:rFonts w:ascii="Times New Roman" w:hAnsi="Times New Roman" w:cs="Times New Roman"/>
                <w:sz w:val="20"/>
                <w:szCs w:val="20"/>
              </w:rPr>
              <w:t xml:space="preserve"> ДПС та її територіальних органів</w:t>
            </w:r>
          </w:p>
        </w:tc>
        <w:tc>
          <w:tcPr>
            <w:tcW w:w="1985" w:type="dxa"/>
          </w:tcPr>
          <w:p w:rsidR="00E00CC6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Виконання норм чинного законодавства щодо надання інформації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аціональної бази даних енергетичних та експлуатаційних характеристик будівель бюджетних установ</w:t>
            </w:r>
          </w:p>
        </w:tc>
        <w:tc>
          <w:tcPr>
            <w:tcW w:w="3544" w:type="dxa"/>
          </w:tcPr>
          <w:p w:rsidR="00D43778" w:rsidRPr="00176763" w:rsidRDefault="00E00CC6" w:rsidP="00D43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Інвентаризація 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будівель, які залишаться у володінні та/або користуванні (оперативному управлінні) ДПС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її територіальних органів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 після консолідації окремих структурних підрозділів територіальних органів ДПС (ДПІ)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 на виконання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озпорядження Кабінету Міністрів України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від 27 груд</w:t>
            </w:r>
            <w:r w:rsidR="001A6185">
              <w:rPr>
                <w:rFonts w:ascii="Times New Roman" w:hAnsi="Times New Roman" w:cs="Times New Roman"/>
                <w:sz w:val="20"/>
                <w:szCs w:val="20"/>
              </w:rPr>
              <w:t>ня 2023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року №</w:t>
            </w:r>
            <w:r w:rsidR="001A6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1218-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Про схвалення Національної стратегії доходів до 203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року» 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(далі – будівлі ДПС)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із 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внесенням та актуалізацією відомостей щодо експлуатаційних та енергетичних характеристик</w:t>
            </w:r>
          </w:p>
        </w:tc>
        <w:tc>
          <w:tcPr>
            <w:tcW w:w="1417" w:type="dxa"/>
          </w:tcPr>
          <w:p w:rsidR="00E00CC6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рік</w:t>
            </w:r>
          </w:p>
        </w:tc>
        <w:tc>
          <w:tcPr>
            <w:tcW w:w="2977" w:type="dxa"/>
          </w:tcPr>
          <w:p w:rsidR="00E00CC6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Внесен</w:t>
            </w:r>
            <w:r w:rsidR="00D213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інформаці</w:t>
            </w:r>
            <w:r w:rsidR="00D213F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розрізі кожної окремої будівлі ДПС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аціональної бази даних енергетичних та експлуатаційних</w:t>
            </w:r>
            <w:r w:rsidRPr="001F3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характеристик будівель бюджетних установ</w:t>
            </w:r>
          </w:p>
        </w:tc>
        <w:tc>
          <w:tcPr>
            <w:tcW w:w="1701" w:type="dxa"/>
          </w:tcPr>
          <w:p w:rsidR="00D43778" w:rsidRPr="00176763" w:rsidRDefault="00D43778" w:rsidP="00D43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інфраструктури та господарського забезпечення,</w:t>
            </w:r>
          </w:p>
          <w:p w:rsidR="00E00CC6" w:rsidRPr="00176763" w:rsidRDefault="00D4377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енергоменеджер</w:t>
            </w:r>
          </w:p>
          <w:p w:rsidR="00E00CC6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00CC6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Визначена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відповідальна особа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діяльності СЕМ відповідного територіального органу ДПС </w:t>
            </w:r>
          </w:p>
          <w:p w:rsidR="00E00CC6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431" w:rsidRPr="00176763" w:rsidTr="00D43778">
        <w:trPr>
          <w:trHeight w:val="1580"/>
        </w:trPr>
        <w:tc>
          <w:tcPr>
            <w:tcW w:w="425" w:type="dxa"/>
          </w:tcPr>
          <w:p w:rsidR="00E00CC6" w:rsidRPr="00176763" w:rsidRDefault="00E00CC6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E00CC6" w:rsidRPr="00176763" w:rsidRDefault="00785B44" w:rsidP="0078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Здійснення роботи щодо д</w:t>
            </w:r>
            <w:r w:rsidR="00E00CC6" w:rsidRPr="00176763">
              <w:rPr>
                <w:rFonts w:ascii="Times New Roman" w:hAnsi="Times New Roman" w:cs="Times New Roman"/>
                <w:sz w:val="20"/>
                <w:szCs w:val="20"/>
              </w:rPr>
              <w:t>ержавн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ої</w:t>
            </w:r>
            <w:r w:rsidR="00E00CC6"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реєстраці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r w:rsidR="00E00CC6"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речових прав</w:t>
            </w:r>
            <w:r w:rsidR="00E00CC6">
              <w:rPr>
                <w:rFonts w:ascii="Times New Roman" w:hAnsi="Times New Roman" w:cs="Times New Roman"/>
                <w:sz w:val="20"/>
                <w:szCs w:val="20"/>
              </w:rPr>
              <w:t xml:space="preserve"> ДПС</w:t>
            </w:r>
          </w:p>
        </w:tc>
        <w:tc>
          <w:tcPr>
            <w:tcW w:w="1985" w:type="dxa"/>
          </w:tcPr>
          <w:p w:rsidR="00E00CC6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державної реєстрації речових прав на відповідні будівлі ДПС та права постійного користування </w:t>
            </w:r>
          </w:p>
        </w:tc>
        <w:tc>
          <w:tcPr>
            <w:tcW w:w="3544" w:type="dxa"/>
          </w:tcPr>
          <w:p w:rsidR="00243D21" w:rsidRPr="001F37F2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Виготовлення технічних паспортів будівель ДПС та реєстрація земельних ділянок відповідно до вимог Закону України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 01 липня 2004 року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1952-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Про державну реєстрацію речових прав на нерухоме майно та їх обтяжень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(зі змінами)</w:t>
            </w:r>
          </w:p>
        </w:tc>
        <w:tc>
          <w:tcPr>
            <w:tcW w:w="1417" w:type="dxa"/>
          </w:tcPr>
          <w:p w:rsidR="00E00CC6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рік</w:t>
            </w:r>
          </w:p>
        </w:tc>
        <w:tc>
          <w:tcPr>
            <w:tcW w:w="2977" w:type="dxa"/>
          </w:tcPr>
          <w:p w:rsidR="00E00CC6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249">
              <w:rPr>
                <w:rFonts w:ascii="Times New Roman" w:hAnsi="Times New Roman" w:cs="Times New Roman"/>
                <w:sz w:val="20"/>
                <w:szCs w:val="20"/>
              </w:rPr>
              <w:t>Виготовлен</w:t>
            </w:r>
            <w:r w:rsidR="00D213F1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591249">
              <w:rPr>
                <w:rFonts w:ascii="Times New Roman" w:hAnsi="Times New Roman" w:cs="Times New Roman"/>
                <w:sz w:val="20"/>
                <w:szCs w:val="20"/>
              </w:rPr>
              <w:t>технічн</w:t>
            </w:r>
            <w:r w:rsidR="00D213F1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591249">
              <w:rPr>
                <w:rFonts w:ascii="Times New Roman" w:hAnsi="Times New Roman" w:cs="Times New Roman"/>
                <w:sz w:val="20"/>
                <w:szCs w:val="20"/>
              </w:rPr>
              <w:t xml:space="preserve"> паспорт</w:t>
            </w:r>
            <w:r w:rsidR="00D213F1">
              <w:rPr>
                <w:rFonts w:ascii="Times New Roman" w:hAnsi="Times New Roman" w:cs="Times New Roman"/>
                <w:sz w:val="20"/>
                <w:szCs w:val="20"/>
              </w:rPr>
              <w:t xml:space="preserve">и будівель ДПС та проведено </w:t>
            </w:r>
            <w:r w:rsidRPr="00591249">
              <w:rPr>
                <w:rFonts w:ascii="Times New Roman" w:hAnsi="Times New Roman" w:cs="Times New Roman"/>
                <w:sz w:val="20"/>
                <w:szCs w:val="20"/>
              </w:rPr>
              <w:t>реєстраці</w:t>
            </w:r>
            <w:r w:rsidR="00D213F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91249">
              <w:rPr>
                <w:rFonts w:ascii="Times New Roman" w:hAnsi="Times New Roman" w:cs="Times New Roman"/>
                <w:sz w:val="20"/>
                <w:szCs w:val="20"/>
              </w:rPr>
              <w:t xml:space="preserve"> земельних ділянок, на яких такі будівлі розташовано</w:t>
            </w:r>
          </w:p>
        </w:tc>
        <w:tc>
          <w:tcPr>
            <w:tcW w:w="1701" w:type="dxa"/>
          </w:tcPr>
          <w:p w:rsidR="00E00CC6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інфраструктури та господарського забезпечення</w:t>
            </w:r>
          </w:p>
          <w:p w:rsidR="00E00CC6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00CC6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Структурний підрозділ</w:t>
            </w:r>
            <w:r w:rsidRPr="00F45BD0">
              <w:rPr>
                <w:rFonts w:ascii="Times New Roman" w:hAnsi="Times New Roman" w:cs="Times New Roman"/>
                <w:sz w:val="20"/>
                <w:szCs w:val="20"/>
              </w:rPr>
              <w:t xml:space="preserve"> інфраструктури та господарського забезпечення відповідного територіального органу ДПС</w:t>
            </w:r>
          </w:p>
        </w:tc>
      </w:tr>
      <w:tr w:rsidR="00D43778" w:rsidRPr="002934E8" w:rsidTr="0087366D">
        <w:trPr>
          <w:trHeight w:val="300"/>
        </w:trPr>
        <w:tc>
          <w:tcPr>
            <w:tcW w:w="425" w:type="dxa"/>
          </w:tcPr>
          <w:p w:rsidR="00D43778" w:rsidRPr="002934E8" w:rsidRDefault="00D43778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D43778" w:rsidRPr="002934E8" w:rsidRDefault="00D43778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D43778" w:rsidRPr="002934E8" w:rsidRDefault="00D43778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D43778" w:rsidRPr="002934E8" w:rsidRDefault="00D43778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D43778" w:rsidRPr="002934E8" w:rsidRDefault="00D43778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D43778" w:rsidRPr="002934E8" w:rsidRDefault="00D43778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D43778" w:rsidRPr="002934E8" w:rsidRDefault="00D43778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D43778" w:rsidRPr="002934E8" w:rsidRDefault="00D43778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D43778" w:rsidRPr="00176763" w:rsidTr="00D43778">
        <w:trPr>
          <w:trHeight w:val="1180"/>
        </w:trPr>
        <w:tc>
          <w:tcPr>
            <w:tcW w:w="425" w:type="dxa"/>
          </w:tcPr>
          <w:p w:rsidR="00D43778" w:rsidRDefault="00D43778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778" w:rsidRDefault="00D43778" w:rsidP="00785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43778" w:rsidRPr="00176763" w:rsidRDefault="00D4377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земельними ділянками, на яких такі будівлі розташован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3544" w:type="dxa"/>
          </w:tcPr>
          <w:p w:rsidR="00D43778" w:rsidRPr="00176763" w:rsidRDefault="00D4377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43778" w:rsidRPr="00176763" w:rsidRDefault="00D4377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43778" w:rsidRPr="00591249" w:rsidRDefault="00D4377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3778" w:rsidRDefault="00D4377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43778" w:rsidRDefault="00D4377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50B" w:rsidRPr="00176763" w:rsidTr="00D43778">
        <w:trPr>
          <w:trHeight w:val="423"/>
        </w:trPr>
        <w:tc>
          <w:tcPr>
            <w:tcW w:w="425" w:type="dxa"/>
            <w:vMerge w:val="restart"/>
          </w:tcPr>
          <w:p w:rsidR="0041550B" w:rsidRPr="00176763" w:rsidRDefault="0041550B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vMerge w:val="restart"/>
          </w:tcPr>
          <w:p w:rsidR="0041550B" w:rsidRPr="00176763" w:rsidRDefault="00AA21AE" w:rsidP="00AA2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Забезпечення проведення с</w:t>
            </w:r>
            <w:r w:rsidR="0041550B" w:rsidRPr="00176763">
              <w:rPr>
                <w:rFonts w:ascii="Times New Roman" w:hAnsi="Times New Roman" w:cs="Times New Roman"/>
                <w:sz w:val="20"/>
                <w:szCs w:val="20"/>
              </w:rPr>
              <w:t>ертифікац</w:t>
            </w:r>
            <w:r w:rsidR="0041550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r w:rsidR="0041550B"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енергетичної ефективності </w:t>
            </w:r>
            <w:r w:rsidR="0041550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1550B" w:rsidRPr="00176763">
              <w:rPr>
                <w:rFonts w:ascii="Times New Roman" w:hAnsi="Times New Roman" w:cs="Times New Roman"/>
                <w:sz w:val="20"/>
                <w:szCs w:val="20"/>
              </w:rPr>
              <w:t>будівель ДПС</w:t>
            </w:r>
          </w:p>
        </w:tc>
        <w:tc>
          <w:tcPr>
            <w:tcW w:w="1985" w:type="dxa"/>
            <w:vMerge w:val="restart"/>
          </w:tcPr>
          <w:p w:rsidR="0041550B" w:rsidRPr="00176763" w:rsidRDefault="0041550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Здійснення комплексу заходів щодо проведення сертифікації енергетичної ефективності будівель ДПС</w:t>
            </w:r>
          </w:p>
        </w:tc>
        <w:tc>
          <w:tcPr>
            <w:tcW w:w="3544" w:type="dxa"/>
          </w:tcPr>
          <w:p w:rsidR="0041550B" w:rsidRPr="00176763" w:rsidRDefault="0041550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8.1. Планування видатків для проведення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сертифікації енергетичної ефективності будівель ДПС</w:t>
            </w:r>
          </w:p>
        </w:tc>
        <w:tc>
          <w:tcPr>
            <w:tcW w:w="1417" w:type="dxa"/>
          </w:tcPr>
          <w:p w:rsidR="0041550B" w:rsidRDefault="008728A5" w:rsidP="00F6525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43D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15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550B" w:rsidRPr="001F37F2">
              <w:rPr>
                <w:rFonts w:ascii="Times New Roman" w:hAnsi="Times New Roman" w:cs="Times New Roman"/>
                <w:sz w:val="20"/>
                <w:szCs w:val="20"/>
              </w:rPr>
              <w:t>01.03.2025,</w:t>
            </w:r>
          </w:p>
          <w:p w:rsidR="0041550B" w:rsidRPr="001F37F2" w:rsidRDefault="00243D21" w:rsidP="00F6525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415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550B" w:rsidRPr="001F37F2">
              <w:rPr>
                <w:rFonts w:ascii="Times New Roman" w:hAnsi="Times New Roman" w:cs="Times New Roman"/>
                <w:sz w:val="20"/>
                <w:szCs w:val="20"/>
              </w:rPr>
              <w:t>01.03.2026</w:t>
            </w:r>
            <w:r w:rsidR="004155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1550B" w:rsidRDefault="00243D21" w:rsidP="00F6525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41550B" w:rsidRPr="001F37F2">
              <w:rPr>
                <w:rFonts w:ascii="Times New Roman" w:hAnsi="Times New Roman" w:cs="Times New Roman"/>
                <w:sz w:val="20"/>
                <w:szCs w:val="20"/>
              </w:rPr>
              <w:t xml:space="preserve"> 01.03.2027</w:t>
            </w:r>
          </w:p>
          <w:p w:rsidR="0041550B" w:rsidRPr="00176763" w:rsidRDefault="0041550B" w:rsidP="00F6525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1550B" w:rsidRPr="00176763" w:rsidRDefault="00560CB6" w:rsidP="00872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Департаменту фінансового забезпечення та бухгалтерського обліку подано розрахунки з пропозиціями до бюджетного запиту ДПС</w:t>
            </w: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2E13">
              <w:rPr>
                <w:rFonts w:ascii="Times New Roman" w:hAnsi="Times New Roman" w:cs="Times New Roman"/>
                <w:sz w:val="20"/>
                <w:szCs w:val="20"/>
              </w:rPr>
              <w:t xml:space="preserve">щодо </w:t>
            </w:r>
            <w:r w:rsidR="00CD0A6E" w:rsidRPr="00CD0A6E">
              <w:rPr>
                <w:rFonts w:ascii="Times New Roman" w:hAnsi="Times New Roman" w:cs="Times New Roman"/>
                <w:sz w:val="20"/>
                <w:szCs w:val="20"/>
              </w:rPr>
              <w:t xml:space="preserve">видатків для проведення </w:t>
            </w:r>
            <w:r w:rsidR="00CD0A6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1550B" w:rsidRPr="00176763">
              <w:rPr>
                <w:rFonts w:ascii="Times New Roman" w:hAnsi="Times New Roman" w:cs="Times New Roman"/>
                <w:sz w:val="20"/>
                <w:szCs w:val="20"/>
              </w:rPr>
              <w:t>ертифікаці</w:t>
            </w:r>
            <w:r w:rsidR="00DA2E13"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r w:rsidR="0041550B"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енергетичної ефективності будівель ДПС</w:t>
            </w:r>
            <w:r w:rsidR="0041550B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відповідно до запланованих видатків</w:t>
            </w:r>
          </w:p>
        </w:tc>
        <w:tc>
          <w:tcPr>
            <w:tcW w:w="1701" w:type="dxa"/>
            <w:vMerge w:val="restart"/>
          </w:tcPr>
          <w:p w:rsidR="0041550B" w:rsidRDefault="0041550B" w:rsidP="008728A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Енергоменеджер</w:t>
            </w:r>
            <w:r w:rsidR="008728A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550B" w:rsidRPr="00647E77" w:rsidRDefault="0041550B" w:rsidP="00F6525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інфраструктури та господарського забезпечення</w:t>
            </w:r>
          </w:p>
        </w:tc>
        <w:tc>
          <w:tcPr>
            <w:tcW w:w="2693" w:type="dxa"/>
            <w:vMerge w:val="restart"/>
          </w:tcPr>
          <w:p w:rsidR="0041550B" w:rsidRPr="00176763" w:rsidRDefault="0041550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Визначена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відповідальна особа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діяльності СЕМ відповідного територіального органу ДПС</w:t>
            </w:r>
            <w:r w:rsidR="00DA10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структурний підрозділ</w:t>
            </w:r>
            <w:r w:rsidRPr="00F45BD0">
              <w:rPr>
                <w:rFonts w:ascii="Times New Roman" w:hAnsi="Times New Roman" w:cs="Times New Roman"/>
                <w:sz w:val="20"/>
                <w:szCs w:val="20"/>
              </w:rPr>
              <w:t xml:space="preserve"> інфраструктури та господарського забезпечення </w:t>
            </w:r>
          </w:p>
          <w:p w:rsidR="0041550B" w:rsidRPr="00176763" w:rsidRDefault="0041550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BD0">
              <w:rPr>
                <w:rFonts w:ascii="Times New Roman" w:hAnsi="Times New Roman" w:cs="Times New Roman"/>
                <w:sz w:val="20"/>
                <w:szCs w:val="20"/>
              </w:rPr>
              <w:t>відповідного територіального органу ДПС</w:t>
            </w:r>
          </w:p>
        </w:tc>
      </w:tr>
      <w:tr w:rsidR="0041550B" w:rsidRPr="00176763" w:rsidTr="00D43778">
        <w:trPr>
          <w:trHeight w:val="622"/>
        </w:trPr>
        <w:tc>
          <w:tcPr>
            <w:tcW w:w="425" w:type="dxa"/>
            <w:vMerge/>
          </w:tcPr>
          <w:p w:rsidR="0041550B" w:rsidRDefault="0041550B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550B" w:rsidRDefault="0041550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1550B" w:rsidRPr="00176763" w:rsidRDefault="0041550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1550B" w:rsidRDefault="0041550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8.2.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Визначення класу енергоефективності будівель ДПС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41550B" w:rsidRPr="00176763" w:rsidRDefault="008728A5" w:rsidP="00F6525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1550B">
              <w:rPr>
                <w:rFonts w:ascii="Times New Roman" w:hAnsi="Times New Roman" w:cs="Times New Roman"/>
                <w:sz w:val="20"/>
                <w:szCs w:val="20"/>
              </w:rPr>
              <w:t>остійно</w:t>
            </w:r>
          </w:p>
        </w:tc>
        <w:tc>
          <w:tcPr>
            <w:tcW w:w="2977" w:type="dxa"/>
          </w:tcPr>
          <w:p w:rsidR="0041550B" w:rsidRPr="00176763" w:rsidRDefault="00F65259" w:rsidP="0024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Отриман</w:t>
            </w:r>
            <w:r w:rsidR="00243D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сертифікат</w:t>
            </w:r>
            <w:r w:rsidR="00243D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550B" w:rsidRPr="00176763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r w:rsidR="0018673A">
              <w:rPr>
                <w:rFonts w:ascii="Times New Roman" w:hAnsi="Times New Roman" w:cs="Times New Roman"/>
                <w:sz w:val="20"/>
                <w:szCs w:val="20"/>
              </w:rPr>
              <w:t>ів</w:t>
            </w:r>
            <w:r w:rsidR="0041550B"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енергоефективності </w:t>
            </w:r>
            <w:r w:rsidR="0041550B" w:rsidRPr="003A67B5">
              <w:rPr>
                <w:rFonts w:ascii="Times New Roman" w:hAnsi="Times New Roman" w:cs="Times New Roman"/>
                <w:sz w:val="20"/>
                <w:szCs w:val="20"/>
              </w:rPr>
              <w:t xml:space="preserve">будівель ДПС </w:t>
            </w:r>
          </w:p>
        </w:tc>
        <w:tc>
          <w:tcPr>
            <w:tcW w:w="1701" w:type="dxa"/>
            <w:vMerge/>
          </w:tcPr>
          <w:p w:rsidR="0041550B" w:rsidRPr="00176763" w:rsidRDefault="0041550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41550B" w:rsidRDefault="0041550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431" w:rsidRPr="00176763" w:rsidTr="00D43778">
        <w:trPr>
          <w:trHeight w:val="1327"/>
        </w:trPr>
        <w:tc>
          <w:tcPr>
            <w:tcW w:w="425" w:type="dxa"/>
          </w:tcPr>
          <w:p w:rsidR="00E00CC6" w:rsidRPr="00D136AC" w:rsidRDefault="00E00CC6" w:rsidP="00C1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E00CC6" w:rsidRPr="00D136AC" w:rsidRDefault="00AA21AE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Забезпечення проведення і</w:t>
            </w:r>
            <w:r w:rsidR="00E00CC6" w:rsidRPr="00D136AC">
              <w:rPr>
                <w:rFonts w:ascii="Times New Roman" w:hAnsi="Times New Roman" w:cs="Times New Roman"/>
                <w:sz w:val="20"/>
                <w:szCs w:val="20"/>
              </w:rPr>
              <w:t>нвентаризаці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ї </w:t>
            </w:r>
            <w:r w:rsidR="00E00CC6" w:rsidRPr="00D136AC">
              <w:rPr>
                <w:rFonts w:ascii="Times New Roman" w:hAnsi="Times New Roman" w:cs="Times New Roman"/>
                <w:sz w:val="20"/>
                <w:szCs w:val="20"/>
              </w:rPr>
              <w:t>приладів комерційного обліку Ресурсів</w:t>
            </w:r>
          </w:p>
          <w:p w:rsidR="00E00CC6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212CF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Проведення повної інвентаризації приладів комерційного обліку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тепло-, газо- та водопостачання Ресурсів,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 які споживаються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будівлях ДПС</w:t>
            </w:r>
          </w:p>
        </w:tc>
        <w:tc>
          <w:tcPr>
            <w:tcW w:w="3544" w:type="dxa"/>
          </w:tcPr>
          <w:p w:rsidR="00E00CC6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Інвентаризація та перевірка справності приладів </w:t>
            </w:r>
            <w:r w:rsidRPr="00067E74">
              <w:rPr>
                <w:rFonts w:ascii="Times New Roman" w:hAnsi="Times New Roman" w:cs="Times New Roman"/>
                <w:sz w:val="20"/>
                <w:szCs w:val="20"/>
              </w:rPr>
              <w:t>тепло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7E74">
              <w:rPr>
                <w:rFonts w:ascii="Times New Roman" w:hAnsi="Times New Roman" w:cs="Times New Roman"/>
                <w:sz w:val="20"/>
                <w:szCs w:val="20"/>
              </w:rPr>
              <w:t>, газо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7E74">
              <w:rPr>
                <w:rFonts w:ascii="Times New Roman" w:hAnsi="Times New Roman" w:cs="Times New Roman"/>
                <w:sz w:val="20"/>
                <w:szCs w:val="20"/>
              </w:rPr>
              <w:t xml:space="preserve"> та 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7E74">
              <w:rPr>
                <w:rFonts w:ascii="Times New Roman" w:hAnsi="Times New Roman" w:cs="Times New Roman"/>
                <w:sz w:val="20"/>
                <w:szCs w:val="20"/>
              </w:rPr>
              <w:t>постачання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 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кож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 термінів повірки їх</w:t>
            </w:r>
          </w:p>
        </w:tc>
        <w:tc>
          <w:tcPr>
            <w:tcW w:w="1417" w:type="dxa"/>
          </w:tcPr>
          <w:p w:rsidR="00E00CC6" w:rsidRPr="00863FFC" w:rsidRDefault="008728A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="00E00CC6" w:rsidRPr="00D136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00CC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00CC6" w:rsidRPr="00D136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00CC6">
              <w:rPr>
                <w:rFonts w:ascii="Times New Roman" w:hAnsi="Times New Roman" w:cs="Times New Roman"/>
                <w:sz w:val="20"/>
                <w:szCs w:val="20"/>
              </w:rPr>
              <w:t>ку, до 25 вересня</w:t>
            </w:r>
          </w:p>
        </w:tc>
        <w:tc>
          <w:tcPr>
            <w:tcW w:w="2977" w:type="dxa"/>
          </w:tcPr>
          <w:p w:rsidR="008A7B46" w:rsidRPr="00863FFC" w:rsidRDefault="00043B14" w:rsidP="00043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Складено Акт п</w:t>
            </w:r>
            <w:r w:rsidR="007B2579">
              <w:rPr>
                <w:rFonts w:ascii="Times New Roman" w:hAnsi="Times New Roman" w:cs="Times New Roman"/>
                <w:sz w:val="20"/>
                <w:szCs w:val="20"/>
              </w:rPr>
              <w:t>роведен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  <w:r w:rsidR="007B2579">
              <w:rPr>
                <w:rFonts w:ascii="Times New Roman" w:hAnsi="Times New Roman" w:cs="Times New Roman"/>
                <w:sz w:val="20"/>
                <w:szCs w:val="20"/>
              </w:rPr>
              <w:t xml:space="preserve"> інвентаризаці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r w:rsidR="007B2579">
              <w:rPr>
                <w:rFonts w:ascii="Times New Roman" w:hAnsi="Times New Roman" w:cs="Times New Roman"/>
                <w:sz w:val="20"/>
                <w:szCs w:val="20"/>
              </w:rPr>
              <w:t xml:space="preserve"> та перевірк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B2579">
              <w:t xml:space="preserve"> </w:t>
            </w:r>
            <w:r w:rsidR="007B2579" w:rsidRPr="007B2579">
              <w:rPr>
                <w:rFonts w:ascii="Times New Roman" w:hAnsi="Times New Roman" w:cs="Times New Roman"/>
                <w:sz w:val="20"/>
                <w:szCs w:val="20"/>
              </w:rPr>
              <w:t>справності приладів тепло-, газо- та водопостачання</w:t>
            </w:r>
            <w:r w:rsidR="007B2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2579" w:rsidRPr="000D16DB">
              <w:rPr>
                <w:rFonts w:ascii="Times New Roman" w:hAnsi="Times New Roman" w:cs="Times New Roman"/>
                <w:sz w:val="20"/>
                <w:szCs w:val="20"/>
              </w:rPr>
              <w:t>відповідно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плану заходів</w:t>
            </w:r>
          </w:p>
        </w:tc>
        <w:tc>
          <w:tcPr>
            <w:tcW w:w="1701" w:type="dxa"/>
          </w:tcPr>
          <w:p w:rsidR="00E00CC6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інфраструктури та господарського забезпечення, </w:t>
            </w:r>
          </w:p>
          <w:p w:rsidR="00E00CC6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енергоменеджер</w:t>
            </w:r>
          </w:p>
        </w:tc>
        <w:tc>
          <w:tcPr>
            <w:tcW w:w="2693" w:type="dxa"/>
          </w:tcPr>
          <w:p w:rsidR="00E00CC6" w:rsidRPr="00647E77" w:rsidRDefault="00E00CC6" w:rsidP="00F6525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Визначена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відповідальна особа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 діяльності СЕМ відповідного територіального органу ДПС</w:t>
            </w:r>
          </w:p>
        </w:tc>
      </w:tr>
      <w:tr w:rsidR="000052E1" w:rsidRPr="00176763" w:rsidTr="00D43778">
        <w:trPr>
          <w:trHeight w:val="1433"/>
        </w:trPr>
        <w:tc>
          <w:tcPr>
            <w:tcW w:w="425" w:type="dxa"/>
            <w:vMerge w:val="restart"/>
          </w:tcPr>
          <w:p w:rsidR="000052E1" w:rsidRPr="00D136AC" w:rsidRDefault="000052E1" w:rsidP="00D13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Merge w:val="restart"/>
          </w:tcPr>
          <w:p w:rsidR="000052E1" w:rsidRPr="00D136AC" w:rsidRDefault="00AA21AE" w:rsidP="00043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Забезпечення проведення </w:t>
            </w:r>
            <w:r w:rsidR="00043B1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052E1" w:rsidRPr="00D136AC">
              <w:rPr>
                <w:rFonts w:ascii="Times New Roman" w:hAnsi="Times New Roman" w:cs="Times New Roman"/>
                <w:sz w:val="20"/>
                <w:szCs w:val="20"/>
              </w:rPr>
              <w:t>апітальн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0052E1"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 ремонт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052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052E1" w:rsidRPr="00D136AC">
              <w:rPr>
                <w:rFonts w:ascii="Times New Roman" w:hAnsi="Times New Roman" w:cs="Times New Roman"/>
                <w:sz w:val="20"/>
                <w:szCs w:val="20"/>
              </w:rPr>
              <w:t>реконструкці</w:t>
            </w:r>
            <w:r w:rsidR="00043B14">
              <w:rPr>
                <w:rFonts w:ascii="Times New Roman" w:hAnsi="Times New Roman" w:cs="Times New Roman"/>
                <w:sz w:val="20"/>
                <w:szCs w:val="20"/>
              </w:rPr>
              <w:t xml:space="preserve">ї </w:t>
            </w:r>
            <w:r w:rsidR="000052E1" w:rsidRPr="00D136AC">
              <w:rPr>
                <w:rFonts w:ascii="Times New Roman" w:hAnsi="Times New Roman" w:cs="Times New Roman"/>
                <w:sz w:val="20"/>
                <w:szCs w:val="20"/>
              </w:rPr>
              <w:t>та реставраці</w:t>
            </w:r>
            <w:r w:rsidR="00043B14"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r w:rsidR="000052E1" w:rsidRPr="00D136AC">
              <w:rPr>
                <w:rFonts w:ascii="Times New Roman" w:hAnsi="Times New Roman" w:cs="Times New Roman"/>
                <w:sz w:val="20"/>
                <w:szCs w:val="20"/>
              </w:rPr>
              <w:t>, енергетичн</w:t>
            </w:r>
            <w:r w:rsidR="00043B14">
              <w:rPr>
                <w:rFonts w:ascii="Times New Roman" w:hAnsi="Times New Roman" w:cs="Times New Roman"/>
                <w:sz w:val="20"/>
                <w:szCs w:val="20"/>
              </w:rPr>
              <w:t>ої</w:t>
            </w:r>
            <w:r w:rsidR="000052E1"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 модернізаці</w:t>
            </w:r>
            <w:r w:rsidR="00043B14">
              <w:rPr>
                <w:rFonts w:ascii="Times New Roman" w:hAnsi="Times New Roman" w:cs="Times New Roman"/>
                <w:sz w:val="20"/>
                <w:szCs w:val="20"/>
              </w:rPr>
              <w:t>ї</w:t>
            </w:r>
          </w:p>
        </w:tc>
        <w:tc>
          <w:tcPr>
            <w:tcW w:w="1985" w:type="dxa"/>
            <w:vMerge w:val="restart"/>
          </w:tcPr>
          <w:p w:rsidR="000052E1" w:rsidRPr="00D136AC" w:rsidRDefault="000052E1" w:rsidP="00DA1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Планування та п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роведення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робіт із капітального ремонту, реконструкції та реставрації (далі – Роботи) на об’єктах нерухомості ДПС та її територіальних органів</w:t>
            </w:r>
            <w:r w:rsidR="00DA10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 урахуванням 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енергетичної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3544" w:type="dxa"/>
          </w:tcPr>
          <w:p w:rsidR="000052E1" w:rsidRDefault="000052E1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10.1. Планування видатків для проведення Робіт</w:t>
            </w:r>
          </w:p>
          <w:p w:rsidR="006757EA" w:rsidRPr="00D136AC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105D" w:rsidRDefault="00DA105D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052E1" w:rsidRPr="001F37F2">
              <w:rPr>
                <w:rFonts w:ascii="Times New Roman" w:hAnsi="Times New Roman" w:cs="Times New Roman"/>
                <w:sz w:val="20"/>
                <w:szCs w:val="20"/>
              </w:rPr>
              <w:t xml:space="preserve">о 01.03.2025, </w:t>
            </w:r>
            <w:r w:rsidR="000052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052E1" w:rsidRPr="001F37F2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052E1" w:rsidRPr="001F37F2">
              <w:rPr>
                <w:rFonts w:ascii="Times New Roman" w:hAnsi="Times New Roman" w:cs="Times New Roman"/>
                <w:sz w:val="20"/>
                <w:szCs w:val="20"/>
              </w:rPr>
              <w:t>1.03.2026</w:t>
            </w:r>
            <w:r w:rsidR="000052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2E1" w:rsidRPr="001F37F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  <w:p w:rsidR="006757EA" w:rsidRPr="00D136AC" w:rsidRDefault="000052E1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7F2">
              <w:rPr>
                <w:rFonts w:ascii="Times New Roman" w:hAnsi="Times New Roman" w:cs="Times New Roman"/>
                <w:sz w:val="20"/>
                <w:szCs w:val="20"/>
              </w:rPr>
              <w:t>01.03.2027</w:t>
            </w:r>
          </w:p>
        </w:tc>
        <w:tc>
          <w:tcPr>
            <w:tcW w:w="2977" w:type="dxa"/>
          </w:tcPr>
          <w:p w:rsidR="000052E1" w:rsidRPr="00D136AC" w:rsidRDefault="00560CB6" w:rsidP="0046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Департаменту фінансового забезпечення та бухгалтерського обліку подано розрахунки з пропозиціями до бюджетного запиту ДПС</w:t>
            </w: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2E1" w:rsidRPr="00B0537C">
              <w:rPr>
                <w:rFonts w:ascii="Times New Roman" w:hAnsi="Times New Roman" w:cs="Times New Roman"/>
                <w:sz w:val="20"/>
                <w:szCs w:val="20"/>
              </w:rPr>
              <w:t>щодо</w:t>
            </w:r>
            <w:r w:rsidR="000052E1">
              <w:t xml:space="preserve"> </w:t>
            </w:r>
            <w:r w:rsidR="000052E1" w:rsidRPr="00CD0A6E">
              <w:rPr>
                <w:rFonts w:ascii="Times New Roman" w:hAnsi="Times New Roman" w:cs="Times New Roman"/>
                <w:sz w:val="20"/>
                <w:szCs w:val="20"/>
              </w:rPr>
              <w:t xml:space="preserve">видатків для </w:t>
            </w:r>
            <w:r w:rsidR="000052E1">
              <w:rPr>
                <w:rFonts w:ascii="Times New Roman" w:hAnsi="Times New Roman" w:cs="Times New Roman"/>
                <w:sz w:val="20"/>
                <w:szCs w:val="20"/>
              </w:rPr>
              <w:t>проведення Робіт</w:t>
            </w:r>
          </w:p>
        </w:tc>
        <w:tc>
          <w:tcPr>
            <w:tcW w:w="1701" w:type="dxa"/>
          </w:tcPr>
          <w:p w:rsidR="000052E1" w:rsidRPr="00D136AC" w:rsidRDefault="000052E1" w:rsidP="00F6525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Департамент інфраструктури та господарського забезпечення</w:t>
            </w:r>
          </w:p>
        </w:tc>
        <w:tc>
          <w:tcPr>
            <w:tcW w:w="2693" w:type="dxa"/>
          </w:tcPr>
          <w:p w:rsidR="000052E1" w:rsidRPr="00F45BD0" w:rsidRDefault="000052E1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Структурний підрозділ</w:t>
            </w:r>
            <w:r w:rsidRPr="00F45BD0">
              <w:rPr>
                <w:rFonts w:ascii="Times New Roman" w:hAnsi="Times New Roman" w:cs="Times New Roman"/>
                <w:sz w:val="20"/>
                <w:szCs w:val="20"/>
              </w:rPr>
              <w:t xml:space="preserve"> інфраструктури та господарського забезпечення відповідного територіального органу ДПС</w:t>
            </w:r>
          </w:p>
        </w:tc>
      </w:tr>
      <w:tr w:rsidR="000052E1" w:rsidRPr="00176763" w:rsidTr="00D43778">
        <w:trPr>
          <w:trHeight w:val="2117"/>
        </w:trPr>
        <w:tc>
          <w:tcPr>
            <w:tcW w:w="425" w:type="dxa"/>
            <w:vMerge/>
          </w:tcPr>
          <w:p w:rsidR="000052E1" w:rsidRDefault="000052E1" w:rsidP="00D13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52E1" w:rsidRPr="00D136AC" w:rsidRDefault="000052E1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052E1" w:rsidRDefault="000052E1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052E1" w:rsidRDefault="000052E1" w:rsidP="00DA1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10.2. Затвердження переліку об’єктів будівництва, капітального ремонту, реконструкції та реставрації, які фінансуються за рахунок коштів загального фонду Державного б</w:t>
            </w:r>
            <w:r w:rsidR="00DA105D">
              <w:rPr>
                <w:rFonts w:ascii="Times New Roman" w:hAnsi="Times New Roman" w:cs="Times New Roman"/>
                <w:sz w:val="20"/>
                <w:szCs w:val="20"/>
              </w:rPr>
              <w:t>юджету України (далі – перелік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б’єктів), відповідно до встановлених граничних обсягів капітальних видатків</w:t>
            </w:r>
            <w:r w:rsidR="00DA10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згідно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із затвердженим кошторисом</w:t>
            </w:r>
          </w:p>
        </w:tc>
        <w:tc>
          <w:tcPr>
            <w:tcW w:w="1417" w:type="dxa"/>
          </w:tcPr>
          <w:p w:rsidR="000052E1" w:rsidRDefault="00DA105D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="000052E1">
              <w:rPr>
                <w:rFonts w:ascii="Times New Roman" w:hAnsi="Times New Roman" w:cs="Times New Roman"/>
                <w:sz w:val="20"/>
                <w:szCs w:val="20"/>
              </w:rPr>
              <w:t xml:space="preserve">ороку, </w:t>
            </w:r>
            <w:r w:rsidR="000052E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внесення змін протягом поточного бюджетного року за </w:t>
            </w:r>
          </w:p>
          <w:p w:rsidR="000052E1" w:rsidRDefault="000052E1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потреби</w:t>
            </w:r>
          </w:p>
        </w:tc>
        <w:tc>
          <w:tcPr>
            <w:tcW w:w="2977" w:type="dxa"/>
          </w:tcPr>
          <w:p w:rsidR="000052E1" w:rsidRDefault="000052E1" w:rsidP="0024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Затверджено </w:t>
            </w:r>
            <w:r w:rsidR="00243D21">
              <w:rPr>
                <w:rFonts w:ascii="Times New Roman" w:hAnsi="Times New Roman" w:cs="Times New Roman"/>
                <w:sz w:val="20"/>
                <w:szCs w:val="20"/>
              </w:rPr>
              <w:t xml:space="preserve">розпорядчим документом </w:t>
            </w:r>
            <w:r w:rsidR="00DA105D">
              <w:rPr>
                <w:rFonts w:ascii="Times New Roman" w:hAnsi="Times New Roman" w:cs="Times New Roman"/>
                <w:sz w:val="20"/>
                <w:szCs w:val="20"/>
              </w:rPr>
              <w:t>ДПС перелік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б’єктів </w:t>
            </w:r>
          </w:p>
        </w:tc>
        <w:tc>
          <w:tcPr>
            <w:tcW w:w="1701" w:type="dxa"/>
          </w:tcPr>
          <w:p w:rsidR="000052E1" w:rsidRPr="00D136AC" w:rsidRDefault="000052E1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Департамент інфраструктури та господарського забезпечення</w:t>
            </w:r>
          </w:p>
        </w:tc>
        <w:tc>
          <w:tcPr>
            <w:tcW w:w="2693" w:type="dxa"/>
          </w:tcPr>
          <w:p w:rsidR="000052E1" w:rsidRDefault="000052E1" w:rsidP="001E3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Структурний підрозділ</w:t>
            </w:r>
            <w:r w:rsidRPr="00F45BD0">
              <w:rPr>
                <w:rFonts w:ascii="Times New Roman" w:hAnsi="Times New Roman" w:cs="Times New Roman"/>
                <w:sz w:val="20"/>
                <w:szCs w:val="20"/>
              </w:rPr>
              <w:t xml:space="preserve"> інфраструктури та господарського забезпечення відповідного територіального органу ДПС</w:t>
            </w:r>
          </w:p>
        </w:tc>
      </w:tr>
      <w:tr w:rsidR="006757EA" w:rsidRPr="002934E8" w:rsidTr="0087366D">
        <w:trPr>
          <w:trHeight w:val="300"/>
        </w:trPr>
        <w:tc>
          <w:tcPr>
            <w:tcW w:w="425" w:type="dxa"/>
          </w:tcPr>
          <w:p w:rsidR="006757EA" w:rsidRPr="002934E8" w:rsidRDefault="006757EA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6757EA" w:rsidRPr="002934E8" w:rsidRDefault="006757EA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6757EA" w:rsidRPr="002934E8" w:rsidRDefault="006757EA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6757EA" w:rsidRPr="002934E8" w:rsidRDefault="006757EA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6757EA" w:rsidRPr="002934E8" w:rsidRDefault="006757EA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6757EA" w:rsidRPr="002934E8" w:rsidRDefault="006757EA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6757EA" w:rsidRPr="002934E8" w:rsidRDefault="006757EA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6757EA" w:rsidRPr="002934E8" w:rsidRDefault="006757EA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757EA" w:rsidRPr="00176763" w:rsidTr="00D43778">
        <w:trPr>
          <w:trHeight w:val="1086"/>
        </w:trPr>
        <w:tc>
          <w:tcPr>
            <w:tcW w:w="425" w:type="dxa"/>
            <w:vMerge w:val="restart"/>
          </w:tcPr>
          <w:p w:rsidR="006757EA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757EA" w:rsidRPr="00D136AC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6757EA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757EA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10.3. П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роведення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Робіт на об’єктах нерухомості ДПС та її територіальних органів</w:t>
            </w:r>
          </w:p>
        </w:tc>
        <w:tc>
          <w:tcPr>
            <w:tcW w:w="1417" w:type="dxa"/>
          </w:tcPr>
          <w:p w:rsidR="006757EA" w:rsidRDefault="00DA105D" w:rsidP="00CD0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757EA">
              <w:rPr>
                <w:rFonts w:ascii="Times New Roman" w:hAnsi="Times New Roman" w:cs="Times New Roman"/>
                <w:sz w:val="20"/>
                <w:szCs w:val="20"/>
              </w:rPr>
              <w:t xml:space="preserve">ідповідно до </w:t>
            </w:r>
            <w:proofErr w:type="spellStart"/>
            <w:r w:rsidR="006757EA">
              <w:rPr>
                <w:rFonts w:ascii="Times New Roman" w:hAnsi="Times New Roman" w:cs="Times New Roman"/>
                <w:sz w:val="20"/>
                <w:szCs w:val="20"/>
              </w:rPr>
              <w:t>затверд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переліку о</w:t>
            </w:r>
            <w:r w:rsidR="006757EA">
              <w:rPr>
                <w:rFonts w:ascii="Times New Roman" w:hAnsi="Times New Roman" w:cs="Times New Roman"/>
                <w:sz w:val="20"/>
                <w:szCs w:val="20"/>
              </w:rPr>
              <w:t>б’єктів</w:t>
            </w:r>
          </w:p>
        </w:tc>
        <w:tc>
          <w:tcPr>
            <w:tcW w:w="2977" w:type="dxa"/>
          </w:tcPr>
          <w:p w:rsidR="006757EA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Акти за формою </w:t>
            </w:r>
          </w:p>
          <w:p w:rsidR="006757EA" w:rsidRDefault="006757EA" w:rsidP="00DA1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КБ-2в</w:t>
            </w:r>
            <w:r w:rsidR="00DA105D">
              <w:rPr>
                <w:rFonts w:ascii="Times New Roman" w:hAnsi="Times New Roman" w:cs="Times New Roman"/>
                <w:sz w:val="20"/>
                <w:szCs w:val="20"/>
              </w:rPr>
              <w:t xml:space="preserve"> та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овідки за формою № КБ-3, введення </w:t>
            </w:r>
            <w:r w:rsidR="00DA10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б’єктів в експлуатацію</w:t>
            </w:r>
          </w:p>
        </w:tc>
        <w:tc>
          <w:tcPr>
            <w:tcW w:w="1701" w:type="dxa"/>
          </w:tcPr>
          <w:p w:rsidR="006757EA" w:rsidRPr="00D136AC" w:rsidRDefault="006734E9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Департамент інфраструктури та господарського забезпечення</w:t>
            </w:r>
          </w:p>
        </w:tc>
        <w:tc>
          <w:tcPr>
            <w:tcW w:w="2693" w:type="dxa"/>
          </w:tcPr>
          <w:p w:rsidR="006757EA" w:rsidRPr="00D136AC" w:rsidRDefault="006734E9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Структурний підрозділ</w:t>
            </w:r>
            <w:r w:rsidRPr="00F45BD0">
              <w:rPr>
                <w:rFonts w:ascii="Times New Roman" w:hAnsi="Times New Roman" w:cs="Times New Roman"/>
                <w:sz w:val="20"/>
                <w:szCs w:val="20"/>
              </w:rPr>
              <w:t xml:space="preserve"> інфраструктури та господарського забезпечення відповідного територіального органу ДПС</w:t>
            </w:r>
          </w:p>
        </w:tc>
      </w:tr>
      <w:tr w:rsidR="006757EA" w:rsidRPr="00176763" w:rsidTr="00D43778">
        <w:trPr>
          <w:trHeight w:val="245"/>
        </w:trPr>
        <w:tc>
          <w:tcPr>
            <w:tcW w:w="425" w:type="dxa"/>
            <w:vMerge/>
          </w:tcPr>
          <w:p w:rsidR="006757EA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757EA" w:rsidRPr="00D136AC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757EA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757EA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10.4. Врахування заходів 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енергетичної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ефективності п</w:t>
            </w:r>
            <w:r w:rsidR="00DA105D">
              <w:rPr>
                <w:rFonts w:ascii="Times New Roman" w:hAnsi="Times New Roman" w:cs="Times New Roman"/>
                <w:sz w:val="20"/>
                <w:szCs w:val="20"/>
              </w:rPr>
              <w:t xml:space="preserve">ід час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озробленн</w:t>
            </w:r>
            <w:r w:rsidR="00DA105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завдань на проєктування, 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технічних завдань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тощо при підготовці матеріалів для проведення закупівлі послуг із розроблення проєктно</w:t>
            </w:r>
            <w:r w:rsidR="00DA10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кошторисної документації</w:t>
            </w:r>
          </w:p>
          <w:p w:rsidR="006757EA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57EA" w:rsidRDefault="00DA105D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757EA">
              <w:rPr>
                <w:rFonts w:ascii="Times New Roman" w:hAnsi="Times New Roman" w:cs="Times New Roman"/>
                <w:sz w:val="20"/>
                <w:szCs w:val="20"/>
              </w:rPr>
              <w:t>остійно</w:t>
            </w:r>
          </w:p>
        </w:tc>
        <w:tc>
          <w:tcPr>
            <w:tcW w:w="2977" w:type="dxa"/>
          </w:tcPr>
          <w:p w:rsidR="006757EA" w:rsidRDefault="006757EA" w:rsidP="00DA1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Розроблено та затверджено</w:t>
            </w:r>
            <w:r w:rsidRPr="00812BA9">
              <w:rPr>
                <w:rFonts w:ascii="Times New Roman" w:hAnsi="Times New Roman" w:cs="Times New Roman"/>
                <w:sz w:val="20"/>
                <w:szCs w:val="20"/>
              </w:rPr>
              <w:t xml:space="preserve"> завдан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  <w:r w:rsidRPr="00812BA9">
              <w:rPr>
                <w:rFonts w:ascii="Times New Roman" w:hAnsi="Times New Roman" w:cs="Times New Roman"/>
                <w:sz w:val="20"/>
                <w:szCs w:val="20"/>
              </w:rPr>
              <w:t xml:space="preserve"> на проєктування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розроблено </w:t>
            </w:r>
            <w:r w:rsidRPr="00812BA9">
              <w:rPr>
                <w:rFonts w:ascii="Times New Roman" w:hAnsi="Times New Roman" w:cs="Times New Roman"/>
                <w:sz w:val="20"/>
                <w:szCs w:val="20"/>
              </w:rPr>
              <w:t>технічн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 </w:t>
            </w:r>
            <w:r w:rsidRPr="00812BA9">
              <w:rPr>
                <w:rFonts w:ascii="Times New Roman" w:hAnsi="Times New Roman" w:cs="Times New Roman"/>
                <w:sz w:val="20"/>
                <w:szCs w:val="20"/>
              </w:rPr>
              <w:t>завдан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ня </w:t>
            </w:r>
            <w:r w:rsidRPr="00812BA9">
              <w:rPr>
                <w:rFonts w:ascii="Times New Roman" w:hAnsi="Times New Roman" w:cs="Times New Roman"/>
                <w:sz w:val="20"/>
                <w:szCs w:val="20"/>
              </w:rPr>
              <w:t>тощо</w:t>
            </w:r>
          </w:p>
        </w:tc>
        <w:tc>
          <w:tcPr>
            <w:tcW w:w="1701" w:type="dxa"/>
          </w:tcPr>
          <w:p w:rsidR="006757EA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Департамент інфраструктури та господарського забезпечення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57EA" w:rsidRPr="00D136AC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енергоменеджер</w:t>
            </w:r>
          </w:p>
        </w:tc>
        <w:tc>
          <w:tcPr>
            <w:tcW w:w="2693" w:type="dxa"/>
          </w:tcPr>
          <w:p w:rsidR="006757EA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Структурний підрозділ</w:t>
            </w:r>
            <w:r w:rsidRPr="00F45BD0">
              <w:rPr>
                <w:rFonts w:ascii="Times New Roman" w:hAnsi="Times New Roman" w:cs="Times New Roman"/>
                <w:sz w:val="20"/>
                <w:szCs w:val="20"/>
              </w:rPr>
              <w:t xml:space="preserve"> інфраструктури та господарського забезпечення відповідного територіального органу ДПС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757EA" w:rsidRPr="00D136AC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визначена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відповідальна особа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 діяльності СЕМ відповідного територіального органу ДПС</w:t>
            </w:r>
          </w:p>
        </w:tc>
      </w:tr>
      <w:tr w:rsidR="001E33A8" w:rsidRPr="00982BDA" w:rsidTr="00D43778">
        <w:trPr>
          <w:trHeight w:val="599"/>
        </w:trPr>
        <w:tc>
          <w:tcPr>
            <w:tcW w:w="425" w:type="dxa"/>
            <w:vMerge w:val="restart"/>
          </w:tcPr>
          <w:p w:rsidR="001E33A8" w:rsidRPr="00D136AC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</w:tcPr>
          <w:p w:rsidR="001E33A8" w:rsidRPr="00176763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Підвищення рівня підготовки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ацівників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з питань енергоефективності</w:t>
            </w:r>
            <w:r w:rsidRPr="00176763">
              <w:t xml:space="preserve">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та енергоменеджменту</w:t>
            </w:r>
          </w:p>
        </w:tc>
        <w:tc>
          <w:tcPr>
            <w:tcW w:w="1985" w:type="dxa"/>
            <w:vMerge w:val="restart"/>
          </w:tcPr>
          <w:p w:rsidR="001E33A8" w:rsidRPr="00176763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Навчання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ацівників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структурних підрозділів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/ осіб,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відповідальних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2004">
              <w:rPr>
                <w:rFonts w:ascii="Times New Roman" w:hAnsi="Times New Roman" w:cs="Times New Roman"/>
                <w:sz w:val="20"/>
                <w:szCs w:val="20"/>
              </w:rPr>
              <w:t>діяльн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182004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82004">
              <w:rPr>
                <w:rFonts w:ascii="Times New Roman" w:hAnsi="Times New Roman" w:cs="Times New Roman"/>
                <w:sz w:val="20"/>
                <w:szCs w:val="20"/>
              </w:rPr>
              <w:t xml:space="preserve"> СЕМ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ДПС 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її територіальних органів</w:t>
            </w:r>
          </w:p>
        </w:tc>
        <w:tc>
          <w:tcPr>
            <w:tcW w:w="3544" w:type="dxa"/>
          </w:tcPr>
          <w:p w:rsidR="001E33A8" w:rsidRPr="00863FFC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11.1. Планування видатків для проведення навчання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ацівників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структурних підрозділів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/ осіб,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відповідальних за </w:t>
            </w:r>
            <w:r w:rsidRPr="00182004">
              <w:rPr>
                <w:rFonts w:ascii="Times New Roman" w:hAnsi="Times New Roman" w:cs="Times New Roman"/>
                <w:sz w:val="20"/>
                <w:szCs w:val="20"/>
              </w:rPr>
              <w:t>діяльн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182004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82004">
              <w:rPr>
                <w:rFonts w:ascii="Times New Roman" w:hAnsi="Times New Roman" w:cs="Times New Roman"/>
                <w:sz w:val="20"/>
                <w:szCs w:val="20"/>
              </w:rPr>
              <w:t xml:space="preserve"> СЕМ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ДПС та її територіальних органів</w:t>
            </w:r>
          </w:p>
          <w:p w:rsidR="001E33A8" w:rsidRPr="00176763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E33A8" w:rsidRPr="00176763" w:rsidRDefault="00DA105D" w:rsidP="00F6525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43D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E33A8">
              <w:rPr>
                <w:rFonts w:ascii="Times New Roman" w:hAnsi="Times New Roman" w:cs="Times New Roman"/>
                <w:sz w:val="20"/>
                <w:szCs w:val="20"/>
              </w:rPr>
              <w:t xml:space="preserve"> 01.03.2025</w:t>
            </w:r>
          </w:p>
        </w:tc>
        <w:tc>
          <w:tcPr>
            <w:tcW w:w="2977" w:type="dxa"/>
          </w:tcPr>
          <w:p w:rsidR="001E33A8" w:rsidRPr="00DC5EE4" w:rsidRDefault="00560CB6" w:rsidP="00D43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Департаменту фінансового забезпечення та бухгалтерського обліку подано розрахунки з пропозиціями до бюджетного запиту ДПС</w:t>
            </w: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33A8">
              <w:rPr>
                <w:rFonts w:ascii="Times New Roman" w:hAnsi="Times New Roman" w:cs="Times New Roman"/>
                <w:sz w:val="20"/>
                <w:szCs w:val="20"/>
              </w:rPr>
              <w:t xml:space="preserve">щодо </w:t>
            </w:r>
            <w:r w:rsidR="001E33A8" w:rsidRPr="00EB327C">
              <w:rPr>
                <w:rFonts w:ascii="Times New Roman" w:hAnsi="Times New Roman" w:cs="Times New Roman"/>
                <w:sz w:val="20"/>
                <w:szCs w:val="20"/>
              </w:rPr>
              <w:t>видатків для проведення навчання працівників структурних підрозділів / осіб, відповідальних за діяльність СЕМ ДПС та її територіальних органів</w:t>
            </w:r>
          </w:p>
        </w:tc>
        <w:tc>
          <w:tcPr>
            <w:tcW w:w="1701" w:type="dxa"/>
            <w:vMerge w:val="restart"/>
          </w:tcPr>
          <w:p w:rsidR="001E33A8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інфраструктури та господарського забезпечення,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E33A8" w:rsidRPr="00176763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енергоменеджер</w:t>
            </w:r>
          </w:p>
          <w:p w:rsidR="001E33A8" w:rsidRPr="00176763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1E33A8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Структурний підрозділ інфраструктури та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господарського забезпечення</w:t>
            </w:r>
            <w:r>
              <w:t xml:space="preserve"> </w:t>
            </w:r>
            <w:r w:rsidRPr="00982BDA">
              <w:rPr>
                <w:rFonts w:ascii="Times New Roman" w:hAnsi="Times New Roman" w:cs="Times New Roman"/>
                <w:sz w:val="20"/>
                <w:szCs w:val="20"/>
              </w:rPr>
              <w:t>відповідного територіального органу ДПС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E33A8" w:rsidRPr="00910CE3" w:rsidRDefault="001E33A8" w:rsidP="00F6525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визначена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відповідальна особа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діяльності СЕМ відповідн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територіального органу ДПС</w:t>
            </w:r>
          </w:p>
        </w:tc>
      </w:tr>
      <w:tr w:rsidR="001E33A8" w:rsidRPr="00982BDA" w:rsidTr="006757EA">
        <w:trPr>
          <w:trHeight w:val="961"/>
        </w:trPr>
        <w:tc>
          <w:tcPr>
            <w:tcW w:w="425" w:type="dxa"/>
            <w:vMerge/>
          </w:tcPr>
          <w:p w:rsidR="001E33A8" w:rsidRPr="007B5529" w:rsidRDefault="001E33A8" w:rsidP="00F6525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1E33A8" w:rsidRPr="00176763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E33A8" w:rsidRPr="00176763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E33A8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A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CC4A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Пройти навчання за програмами енергоефективності та/або енергоменеджменту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(відповідно до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графік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навчань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Del="00512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1E33A8" w:rsidRPr="00D87355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рік</w:t>
            </w:r>
          </w:p>
        </w:tc>
        <w:tc>
          <w:tcPr>
            <w:tcW w:w="2977" w:type="dxa"/>
          </w:tcPr>
          <w:p w:rsidR="001E33A8" w:rsidRPr="00D87355" w:rsidRDefault="00C96BDF" w:rsidP="00DA1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Отримано </w:t>
            </w:r>
            <w:r w:rsidR="00DA105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E33A8">
              <w:rPr>
                <w:rFonts w:ascii="Times New Roman" w:hAnsi="Times New Roman" w:cs="Times New Roman"/>
                <w:sz w:val="20"/>
                <w:szCs w:val="20"/>
              </w:rPr>
              <w:t>иплом</w:t>
            </w:r>
            <w:r w:rsidR="001A6185"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та/або </w:t>
            </w:r>
            <w:r w:rsidR="00DA10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E33A8">
              <w:rPr>
                <w:rFonts w:ascii="Times New Roman" w:hAnsi="Times New Roman" w:cs="Times New Roman"/>
                <w:sz w:val="20"/>
                <w:szCs w:val="20"/>
              </w:rPr>
              <w:t xml:space="preserve">ертифікат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  </w:t>
            </w:r>
            <w:r w:rsidR="001E33A8" w:rsidRPr="00176763">
              <w:rPr>
                <w:rFonts w:ascii="Times New Roman" w:hAnsi="Times New Roman" w:cs="Times New Roman"/>
                <w:sz w:val="20"/>
                <w:szCs w:val="20"/>
              </w:rPr>
              <w:t>програмами енергоефективності та/або енергоменеджменту</w:t>
            </w:r>
          </w:p>
        </w:tc>
        <w:tc>
          <w:tcPr>
            <w:tcW w:w="1701" w:type="dxa"/>
            <w:vMerge/>
          </w:tcPr>
          <w:p w:rsidR="001E33A8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E33A8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51CA" w:rsidRDefault="001F51CA" w:rsidP="00F65259">
      <w:pPr>
        <w:spacing w:after="0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6142A0" w:rsidRDefault="006142A0" w:rsidP="006142A0">
      <w:pPr>
        <w:spacing w:after="0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2D6EEA" w:rsidRPr="00985CB8" w:rsidRDefault="00DE46B8" w:rsidP="002D6EEA">
      <w:pPr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В. о. першого заступника Голови</w:t>
      </w: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="00E259E5"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="00E259E5"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="00B212C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E259E5"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</w:t>
      </w:r>
      <w:r w:rsidR="00CA3F16"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E259E5"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Владислав БУГАСОВ</w:t>
      </w:r>
    </w:p>
    <w:p w:rsidR="00243D21" w:rsidRDefault="00243D21" w:rsidP="002D6EEA">
      <w:pPr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bookmarkStart w:id="0" w:name="_GoBack"/>
      <w:bookmarkEnd w:id="0"/>
    </w:p>
    <w:sectPr w:rsidR="00243D21" w:rsidSect="006142A0">
      <w:headerReference w:type="default" r:id="rId8"/>
      <w:pgSz w:w="16838" w:h="11906" w:orient="landscape"/>
      <w:pgMar w:top="993" w:right="395" w:bottom="284" w:left="0" w:header="142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29E" w:rsidRDefault="0008029E" w:rsidP="00E259E5">
      <w:pPr>
        <w:spacing w:after="0" w:line="240" w:lineRule="auto"/>
      </w:pPr>
      <w:r>
        <w:separator/>
      </w:r>
    </w:p>
  </w:endnote>
  <w:endnote w:type="continuationSeparator" w:id="0">
    <w:p w:rsidR="0008029E" w:rsidRDefault="0008029E" w:rsidP="00E25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29E" w:rsidRDefault="0008029E" w:rsidP="00E259E5">
      <w:pPr>
        <w:spacing w:after="0" w:line="240" w:lineRule="auto"/>
      </w:pPr>
      <w:r>
        <w:separator/>
      </w:r>
    </w:p>
  </w:footnote>
  <w:footnote w:type="continuationSeparator" w:id="0">
    <w:p w:rsidR="0008029E" w:rsidRDefault="0008029E" w:rsidP="00E25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548611496"/>
      <w:docPartObj>
        <w:docPartGallery w:val="Page Numbers (Top of Page)"/>
        <w:docPartUnique/>
      </w:docPartObj>
    </w:sdtPr>
    <w:sdtEndPr/>
    <w:sdtContent>
      <w:p w:rsidR="00E259E5" w:rsidRPr="00E259E5" w:rsidRDefault="00EE296B" w:rsidP="00EE296B">
        <w:pPr>
          <w:pStyle w:val="a6"/>
          <w:tabs>
            <w:tab w:val="left" w:pos="6795"/>
            <w:tab w:val="center" w:pos="8221"/>
          </w:tabs>
          <w:spacing w:before="240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ab/>
        </w:r>
        <w:r>
          <w:rPr>
            <w:rFonts w:ascii="Times New Roman" w:hAnsi="Times New Roman" w:cs="Times New Roman"/>
            <w:sz w:val="24"/>
          </w:rPr>
          <w:tab/>
        </w:r>
        <w:r>
          <w:rPr>
            <w:rFonts w:ascii="Times New Roman" w:hAnsi="Times New Roman" w:cs="Times New Roman"/>
            <w:sz w:val="24"/>
          </w:rPr>
          <w:tab/>
        </w:r>
        <w:r w:rsidR="00E259E5" w:rsidRPr="00EE296B">
          <w:rPr>
            <w:rFonts w:ascii="Times New Roman" w:hAnsi="Times New Roman" w:cs="Times New Roman"/>
            <w:sz w:val="28"/>
          </w:rPr>
          <w:fldChar w:fldCharType="begin"/>
        </w:r>
        <w:r w:rsidR="00E259E5" w:rsidRPr="00EE296B">
          <w:rPr>
            <w:rFonts w:ascii="Times New Roman" w:hAnsi="Times New Roman" w:cs="Times New Roman"/>
            <w:sz w:val="28"/>
          </w:rPr>
          <w:instrText>PAGE   \* MERGEFORMAT</w:instrText>
        </w:r>
        <w:r w:rsidR="00E259E5" w:rsidRPr="00EE296B">
          <w:rPr>
            <w:rFonts w:ascii="Times New Roman" w:hAnsi="Times New Roman" w:cs="Times New Roman"/>
            <w:sz w:val="28"/>
          </w:rPr>
          <w:fldChar w:fldCharType="separate"/>
        </w:r>
        <w:r w:rsidR="000C762B">
          <w:rPr>
            <w:rFonts w:ascii="Times New Roman" w:hAnsi="Times New Roman" w:cs="Times New Roman"/>
            <w:noProof/>
            <w:sz w:val="28"/>
          </w:rPr>
          <w:t>5</w:t>
        </w:r>
        <w:r w:rsidR="00E259E5" w:rsidRPr="00EE296B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АЦИБОК-СТАРОДУБ НАТАЛІЯ ОЛЕКСАНДРІВНА">
    <w15:presenceInfo w15:providerId="None" w15:userId="МАЦИБОК-СТАРОДУБ НАТАЛІЯ ОЛЕКСАНДРІ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43"/>
    <w:rsid w:val="000052E1"/>
    <w:rsid w:val="00012406"/>
    <w:rsid w:val="00013CDA"/>
    <w:rsid w:val="00034F58"/>
    <w:rsid w:val="00040BF5"/>
    <w:rsid w:val="00043B14"/>
    <w:rsid w:val="000442F8"/>
    <w:rsid w:val="00046879"/>
    <w:rsid w:val="00062234"/>
    <w:rsid w:val="00067E74"/>
    <w:rsid w:val="000732CA"/>
    <w:rsid w:val="0008029E"/>
    <w:rsid w:val="00083412"/>
    <w:rsid w:val="00085128"/>
    <w:rsid w:val="0009230B"/>
    <w:rsid w:val="000C762B"/>
    <w:rsid w:val="000D07B7"/>
    <w:rsid w:val="000D16DB"/>
    <w:rsid w:val="000E0B7C"/>
    <w:rsid w:val="000F32FF"/>
    <w:rsid w:val="00105F7A"/>
    <w:rsid w:val="001060D9"/>
    <w:rsid w:val="00106B04"/>
    <w:rsid w:val="00107889"/>
    <w:rsid w:val="00114ABC"/>
    <w:rsid w:val="001328E0"/>
    <w:rsid w:val="001339F0"/>
    <w:rsid w:val="001470EE"/>
    <w:rsid w:val="00172C29"/>
    <w:rsid w:val="00176763"/>
    <w:rsid w:val="00182004"/>
    <w:rsid w:val="0018673A"/>
    <w:rsid w:val="001A6185"/>
    <w:rsid w:val="001B2298"/>
    <w:rsid w:val="001B2B77"/>
    <w:rsid w:val="001D7462"/>
    <w:rsid w:val="001E33A8"/>
    <w:rsid w:val="001F37F2"/>
    <w:rsid w:val="001F51CA"/>
    <w:rsid w:val="00212478"/>
    <w:rsid w:val="00226207"/>
    <w:rsid w:val="00227401"/>
    <w:rsid w:val="002400EB"/>
    <w:rsid w:val="00243D21"/>
    <w:rsid w:val="00247E5B"/>
    <w:rsid w:val="002727E0"/>
    <w:rsid w:val="00285505"/>
    <w:rsid w:val="00286FF6"/>
    <w:rsid w:val="00290A0C"/>
    <w:rsid w:val="002934E8"/>
    <w:rsid w:val="00294766"/>
    <w:rsid w:val="002A4673"/>
    <w:rsid w:val="002C03A8"/>
    <w:rsid w:val="002C0F52"/>
    <w:rsid w:val="002C1FFD"/>
    <w:rsid w:val="002D0DE9"/>
    <w:rsid w:val="002D6247"/>
    <w:rsid w:val="002D6EEA"/>
    <w:rsid w:val="002E5E6D"/>
    <w:rsid w:val="002F4CC9"/>
    <w:rsid w:val="00305095"/>
    <w:rsid w:val="00315E35"/>
    <w:rsid w:val="00321DC7"/>
    <w:rsid w:val="003237D9"/>
    <w:rsid w:val="0034310E"/>
    <w:rsid w:val="003518BD"/>
    <w:rsid w:val="00357BE6"/>
    <w:rsid w:val="0038679E"/>
    <w:rsid w:val="00392A89"/>
    <w:rsid w:val="00392BF8"/>
    <w:rsid w:val="003A368F"/>
    <w:rsid w:val="003A67B5"/>
    <w:rsid w:val="003A67F4"/>
    <w:rsid w:val="003B2AAC"/>
    <w:rsid w:val="003B505B"/>
    <w:rsid w:val="003C6493"/>
    <w:rsid w:val="003C6E5B"/>
    <w:rsid w:val="003C789A"/>
    <w:rsid w:val="003D38F5"/>
    <w:rsid w:val="003D6AFE"/>
    <w:rsid w:val="003F0BD6"/>
    <w:rsid w:val="004109F7"/>
    <w:rsid w:val="0041550B"/>
    <w:rsid w:val="00416974"/>
    <w:rsid w:val="0043064E"/>
    <w:rsid w:val="004312B8"/>
    <w:rsid w:val="00453F4A"/>
    <w:rsid w:val="0045688E"/>
    <w:rsid w:val="004575E3"/>
    <w:rsid w:val="00461B78"/>
    <w:rsid w:val="00461F50"/>
    <w:rsid w:val="00463CE8"/>
    <w:rsid w:val="004759BE"/>
    <w:rsid w:val="00476C41"/>
    <w:rsid w:val="004A108B"/>
    <w:rsid w:val="004A2F40"/>
    <w:rsid w:val="004B1B8B"/>
    <w:rsid w:val="004B5CC8"/>
    <w:rsid w:val="004C2D61"/>
    <w:rsid w:val="004C76C7"/>
    <w:rsid w:val="004D7568"/>
    <w:rsid w:val="004F0905"/>
    <w:rsid w:val="004F2BFA"/>
    <w:rsid w:val="00510184"/>
    <w:rsid w:val="00512D06"/>
    <w:rsid w:val="00537EA0"/>
    <w:rsid w:val="00544177"/>
    <w:rsid w:val="00560CB6"/>
    <w:rsid w:val="0057018B"/>
    <w:rsid w:val="00570AF5"/>
    <w:rsid w:val="005765AD"/>
    <w:rsid w:val="00577C64"/>
    <w:rsid w:val="00582997"/>
    <w:rsid w:val="0058749A"/>
    <w:rsid w:val="00591249"/>
    <w:rsid w:val="005924B9"/>
    <w:rsid w:val="005A4BFF"/>
    <w:rsid w:val="005A56FC"/>
    <w:rsid w:val="005C555D"/>
    <w:rsid w:val="005E0C5D"/>
    <w:rsid w:val="00611AB9"/>
    <w:rsid w:val="006142A0"/>
    <w:rsid w:val="00614975"/>
    <w:rsid w:val="00621248"/>
    <w:rsid w:val="00633B02"/>
    <w:rsid w:val="0063623E"/>
    <w:rsid w:val="00640531"/>
    <w:rsid w:val="00647E77"/>
    <w:rsid w:val="00653DB7"/>
    <w:rsid w:val="00656A4B"/>
    <w:rsid w:val="00660CCB"/>
    <w:rsid w:val="0066605A"/>
    <w:rsid w:val="006734E9"/>
    <w:rsid w:val="006757EA"/>
    <w:rsid w:val="00676E42"/>
    <w:rsid w:val="00692ACB"/>
    <w:rsid w:val="006A0910"/>
    <w:rsid w:val="006C7F5D"/>
    <w:rsid w:val="006E3122"/>
    <w:rsid w:val="006F177F"/>
    <w:rsid w:val="006F59CC"/>
    <w:rsid w:val="00711997"/>
    <w:rsid w:val="00734323"/>
    <w:rsid w:val="007531E8"/>
    <w:rsid w:val="00754643"/>
    <w:rsid w:val="00761BAE"/>
    <w:rsid w:val="007636E1"/>
    <w:rsid w:val="00772645"/>
    <w:rsid w:val="0078259E"/>
    <w:rsid w:val="00785B44"/>
    <w:rsid w:val="00787FB4"/>
    <w:rsid w:val="007B1D39"/>
    <w:rsid w:val="007B2579"/>
    <w:rsid w:val="007B3EC4"/>
    <w:rsid w:val="007B5529"/>
    <w:rsid w:val="007E50F4"/>
    <w:rsid w:val="00812BA9"/>
    <w:rsid w:val="008133FD"/>
    <w:rsid w:val="008252FE"/>
    <w:rsid w:val="008307B3"/>
    <w:rsid w:val="008312F7"/>
    <w:rsid w:val="008336E2"/>
    <w:rsid w:val="00834622"/>
    <w:rsid w:val="00841762"/>
    <w:rsid w:val="008519DA"/>
    <w:rsid w:val="008612AC"/>
    <w:rsid w:val="00861BFA"/>
    <w:rsid w:val="00863FFC"/>
    <w:rsid w:val="0087216A"/>
    <w:rsid w:val="008728A5"/>
    <w:rsid w:val="00874D65"/>
    <w:rsid w:val="00875F93"/>
    <w:rsid w:val="008A1F55"/>
    <w:rsid w:val="008A7B46"/>
    <w:rsid w:val="008C40D9"/>
    <w:rsid w:val="008C4FAA"/>
    <w:rsid w:val="008C6C5D"/>
    <w:rsid w:val="008D3E51"/>
    <w:rsid w:val="008F46E9"/>
    <w:rsid w:val="00900132"/>
    <w:rsid w:val="00910CE3"/>
    <w:rsid w:val="00915D7C"/>
    <w:rsid w:val="0091684A"/>
    <w:rsid w:val="0092275C"/>
    <w:rsid w:val="00923E44"/>
    <w:rsid w:val="00924199"/>
    <w:rsid w:val="009245A3"/>
    <w:rsid w:val="00924C8E"/>
    <w:rsid w:val="00930B0E"/>
    <w:rsid w:val="00937431"/>
    <w:rsid w:val="00942BDD"/>
    <w:rsid w:val="00972F3E"/>
    <w:rsid w:val="00976142"/>
    <w:rsid w:val="00976A45"/>
    <w:rsid w:val="00982BDA"/>
    <w:rsid w:val="00983663"/>
    <w:rsid w:val="00985CB8"/>
    <w:rsid w:val="00986119"/>
    <w:rsid w:val="009D7847"/>
    <w:rsid w:val="00A00D66"/>
    <w:rsid w:val="00A2071B"/>
    <w:rsid w:val="00A75457"/>
    <w:rsid w:val="00A83994"/>
    <w:rsid w:val="00A972A2"/>
    <w:rsid w:val="00AA21AE"/>
    <w:rsid w:val="00AA2F93"/>
    <w:rsid w:val="00AA67C8"/>
    <w:rsid w:val="00AD3651"/>
    <w:rsid w:val="00AD4527"/>
    <w:rsid w:val="00AD7C4B"/>
    <w:rsid w:val="00AF2F15"/>
    <w:rsid w:val="00AF77AF"/>
    <w:rsid w:val="00B0537C"/>
    <w:rsid w:val="00B15824"/>
    <w:rsid w:val="00B212CF"/>
    <w:rsid w:val="00B2218F"/>
    <w:rsid w:val="00B356D1"/>
    <w:rsid w:val="00B65DB3"/>
    <w:rsid w:val="00B82A2D"/>
    <w:rsid w:val="00BA484D"/>
    <w:rsid w:val="00BC5FDE"/>
    <w:rsid w:val="00BD7364"/>
    <w:rsid w:val="00C02604"/>
    <w:rsid w:val="00C12BCA"/>
    <w:rsid w:val="00C20D12"/>
    <w:rsid w:val="00C252DE"/>
    <w:rsid w:val="00C40EB0"/>
    <w:rsid w:val="00C57879"/>
    <w:rsid w:val="00C83595"/>
    <w:rsid w:val="00C90360"/>
    <w:rsid w:val="00C92029"/>
    <w:rsid w:val="00C96BDF"/>
    <w:rsid w:val="00CA3F16"/>
    <w:rsid w:val="00CB5A5E"/>
    <w:rsid w:val="00CC4AE9"/>
    <w:rsid w:val="00CD0A6E"/>
    <w:rsid w:val="00CF2BB8"/>
    <w:rsid w:val="00D07B10"/>
    <w:rsid w:val="00D136AC"/>
    <w:rsid w:val="00D1457B"/>
    <w:rsid w:val="00D213F1"/>
    <w:rsid w:val="00D2564D"/>
    <w:rsid w:val="00D30AE3"/>
    <w:rsid w:val="00D43778"/>
    <w:rsid w:val="00D47276"/>
    <w:rsid w:val="00D824D7"/>
    <w:rsid w:val="00D836D5"/>
    <w:rsid w:val="00D84AC5"/>
    <w:rsid w:val="00D87355"/>
    <w:rsid w:val="00DA105D"/>
    <w:rsid w:val="00DA1A76"/>
    <w:rsid w:val="00DA272B"/>
    <w:rsid w:val="00DA2E13"/>
    <w:rsid w:val="00DC1DCB"/>
    <w:rsid w:val="00DC5EE4"/>
    <w:rsid w:val="00DD1E96"/>
    <w:rsid w:val="00DD38C2"/>
    <w:rsid w:val="00DE46B8"/>
    <w:rsid w:val="00E00CC6"/>
    <w:rsid w:val="00E256A5"/>
    <w:rsid w:val="00E259E5"/>
    <w:rsid w:val="00E50E5B"/>
    <w:rsid w:val="00E5366B"/>
    <w:rsid w:val="00E92D9F"/>
    <w:rsid w:val="00EB327C"/>
    <w:rsid w:val="00EB62FD"/>
    <w:rsid w:val="00EE296B"/>
    <w:rsid w:val="00EE4FEB"/>
    <w:rsid w:val="00EE5FD8"/>
    <w:rsid w:val="00F0007C"/>
    <w:rsid w:val="00F0739C"/>
    <w:rsid w:val="00F35A24"/>
    <w:rsid w:val="00F431ED"/>
    <w:rsid w:val="00F44548"/>
    <w:rsid w:val="00F45BD0"/>
    <w:rsid w:val="00F60820"/>
    <w:rsid w:val="00F63E89"/>
    <w:rsid w:val="00F65259"/>
    <w:rsid w:val="00F73618"/>
    <w:rsid w:val="00F87CAD"/>
    <w:rsid w:val="00F90CFF"/>
    <w:rsid w:val="00FA7D0F"/>
    <w:rsid w:val="00FC5BD2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3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13C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259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259E5"/>
  </w:style>
  <w:style w:type="paragraph" w:styleId="a8">
    <w:name w:val="footer"/>
    <w:basedOn w:val="a"/>
    <w:link w:val="a9"/>
    <w:uiPriority w:val="99"/>
    <w:unhideWhenUsed/>
    <w:rsid w:val="00E259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259E5"/>
  </w:style>
  <w:style w:type="paragraph" w:styleId="aa">
    <w:name w:val="List Paragraph"/>
    <w:basedOn w:val="a"/>
    <w:uiPriority w:val="34"/>
    <w:qFormat/>
    <w:rsid w:val="002C1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3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13C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259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259E5"/>
  </w:style>
  <w:style w:type="paragraph" w:styleId="a8">
    <w:name w:val="footer"/>
    <w:basedOn w:val="a"/>
    <w:link w:val="a9"/>
    <w:uiPriority w:val="99"/>
    <w:unhideWhenUsed/>
    <w:rsid w:val="00E259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259E5"/>
  </w:style>
  <w:style w:type="paragraph" w:styleId="aa">
    <w:name w:val="List Paragraph"/>
    <w:basedOn w:val="a"/>
    <w:uiPriority w:val="34"/>
    <w:qFormat/>
    <w:rsid w:val="002C1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59EA9-5674-4ADE-8C89-BFD43066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8526</Words>
  <Characters>4861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ЧЕРНУХА ОЛЕКСАНДР МИКОЛАЙОВИЧ</dc:creator>
  <cp:lastModifiedBy>ЩИТНІК ЮЛІЯ ОЛЕКСАНДРІВНА</cp:lastModifiedBy>
  <cp:revision>5</cp:revision>
  <cp:lastPrinted>2025-01-20T08:23:00Z</cp:lastPrinted>
  <dcterms:created xsi:type="dcterms:W3CDTF">2025-01-20T07:50:00Z</dcterms:created>
  <dcterms:modified xsi:type="dcterms:W3CDTF">2025-01-31T13:13:00Z</dcterms:modified>
</cp:coreProperties>
</file>