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1E53DB" w:rsidP="00265DE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w:t>
            </w:r>
            <w:r>
              <w:rPr>
                <w:rFonts w:ascii="Times New Roman" w:hAnsi="Times New Roman"/>
                <w:sz w:val="24"/>
                <w:szCs w:val="24"/>
              </w:rPr>
              <w:lastRenderedPageBreak/>
              <w:t xml:space="preserve">повноваження наказом </w:t>
            </w:r>
            <w:r w:rsidRPr="00265DEA">
              <w:rPr>
                <w:rFonts w:ascii="Times New Roman" w:hAnsi="Times New Roman"/>
                <w:sz w:val="24"/>
                <w:szCs w:val="24"/>
              </w:rPr>
              <w:t>ГУ ДП</w:t>
            </w:r>
            <w:r>
              <w:rPr>
                <w:rFonts w:ascii="Times New Roman" w:hAnsi="Times New Roman"/>
                <w:sz w:val="24"/>
                <w:szCs w:val="24"/>
              </w:rPr>
              <w:t>С у Миколаївській області від 08.05.2025 № 160</w:t>
            </w: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E9347A" w:rsidP="00881BAD">
            <w:pPr>
              <w:spacing w:after="0" w:line="240" w:lineRule="auto"/>
              <w:jc w:val="both"/>
              <w:rPr>
                <w:rFonts w:ascii="Times New Roman" w:hAnsi="Times New Roman"/>
                <w:color w:val="000000"/>
                <w:spacing w:val="-1"/>
                <w:sz w:val="24"/>
                <w:szCs w:val="24"/>
              </w:rPr>
            </w:pPr>
            <w:r w:rsidRPr="00E9347A">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sidR="00881BAD">
              <w:rPr>
                <w:rFonts w:ascii="Times New Roman" w:hAnsi="Times New Roman"/>
                <w:color w:val="000000"/>
                <w:spacing w:val="-1"/>
                <w:sz w:val="24"/>
                <w:szCs w:val="24"/>
              </w:rPr>
              <w:t>З</w:t>
            </w:r>
            <w:r w:rsidR="00881BAD"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00881BAD"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tabs>
                <w:tab w:val="left" w:pos="1294"/>
              </w:tabs>
              <w:spacing w:after="0" w:line="240" w:lineRule="auto"/>
              <w:jc w:val="both"/>
              <w:rPr>
                <w:rFonts w:ascii="Times New Roman" w:hAnsi="Times New Roman"/>
                <w:sz w:val="24"/>
                <w:szCs w:val="24"/>
              </w:rPr>
            </w:pPr>
            <w:r>
              <w:rPr>
                <w:rFonts w:ascii="Times New Roman" w:hAnsi="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hAnsi="Times New Roman"/>
                <w:sz w:val="24"/>
                <w:szCs w:val="24"/>
              </w:rPr>
            </w:pPr>
            <w:r w:rsidRPr="004A321D">
              <w:rPr>
                <w:rFonts w:ascii="Times New Roman" w:eastAsia="Times New Roman" w:hAnsi="Times New Roman"/>
                <w:color w:val="000000"/>
                <w:sz w:val="24"/>
                <w:szCs w:val="24"/>
                <w:lang w:eastAsia="uk-UA"/>
              </w:rPr>
              <w:t xml:space="preserve">Наказ ГУ ДПС у Миколаївській області від 15.05.2025 № 169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 xml:space="preserve">ДПС у </w:t>
            </w:r>
            <w:r w:rsidRPr="004A321D">
              <w:rPr>
                <w:rFonts w:ascii="Times New Roman" w:eastAsia="Times New Roman" w:hAnsi="Times New Roman"/>
                <w:color w:val="000000"/>
                <w:sz w:val="24"/>
                <w:szCs w:val="24"/>
                <w:lang w:eastAsia="uk-UA"/>
              </w:rPr>
              <w:lastRenderedPageBreak/>
              <w:t>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Бринза Олег</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w:t>
            </w:r>
            <w:r w:rsidRPr="004A321D">
              <w:rPr>
                <w:rFonts w:ascii="Times New Roman" w:eastAsia="Times New Roman" w:hAnsi="Times New Roman"/>
                <w:color w:val="000000"/>
                <w:sz w:val="24"/>
                <w:szCs w:val="24"/>
                <w:lang w:eastAsia="uk-UA"/>
              </w:rPr>
              <w:t xml:space="preserve">оловний державний інспектор відділу організації роботи та документообігу Миколаївської </w:t>
            </w:r>
            <w:r w:rsidRPr="004A321D">
              <w:rPr>
                <w:rFonts w:ascii="Times New Roman" w:eastAsia="Times New Roman" w:hAnsi="Times New Roman"/>
                <w:color w:val="000000"/>
                <w:sz w:val="24"/>
                <w:szCs w:val="24"/>
                <w:lang w:eastAsia="uk-UA"/>
              </w:rPr>
              <w:lastRenderedPageBreak/>
              <w:t xml:space="preserve">державної податкової інспекції (на час виконання ним обов’язків завідувача </w:t>
            </w:r>
            <w:proofErr w:type="spellStart"/>
            <w:r w:rsidRPr="004A321D">
              <w:rPr>
                <w:rFonts w:ascii="Times New Roman" w:eastAsia="Times New Roman" w:hAnsi="Times New Roman"/>
                <w:color w:val="000000"/>
                <w:sz w:val="24"/>
                <w:szCs w:val="24"/>
                <w:lang w:eastAsia="uk-UA"/>
              </w:rPr>
              <w:t>Новоодеського</w:t>
            </w:r>
            <w:proofErr w:type="spellEnd"/>
            <w:r w:rsidRPr="004A321D">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п. 191.1.3 п. 191.1 ст. 191 </w:t>
            </w:r>
            <w:r w:rsidRPr="004A321D">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ind w:firstLine="77"/>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ст.5 Закону України ві</w:t>
            </w:r>
            <w:r>
              <w:rPr>
                <w:rFonts w:ascii="Times New Roman" w:eastAsia="Times New Roman" w:hAnsi="Times New Roman"/>
                <w:color w:val="000000"/>
                <w:sz w:val="24"/>
                <w:szCs w:val="24"/>
                <w:lang w:eastAsia="uk-UA"/>
              </w:rPr>
              <w:t xml:space="preserve">д 08 липня 2010 року № 2464-VІ </w:t>
            </w:r>
            <w:r w:rsidRPr="004A321D">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незалежну професійну діяльність) (ф. № 2-ВРС)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3B0100" w:rsidRPr="003B0100" w:rsidRDefault="003B0100" w:rsidP="004A321D">
            <w:pPr>
              <w:spacing w:after="0" w:line="240" w:lineRule="auto"/>
              <w:jc w:val="both"/>
              <w:rPr>
                <w:rFonts w:ascii="Times New Roman" w:eastAsia="Times New Roman" w:hAnsi="Times New Roman"/>
                <w:color w:val="000000"/>
                <w:sz w:val="16"/>
                <w:szCs w:val="16"/>
                <w:lang w:eastAsia="uk-UA"/>
              </w:rPr>
            </w:pP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.1.1 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w:t>
            </w:r>
            <w:r w:rsidRPr="004A321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4A321D">
              <w:rPr>
                <w:rFonts w:ascii="Times New Roman" w:eastAsia="Times New Roman" w:hAnsi="Times New Roman"/>
                <w:color w:val="000000"/>
                <w:sz w:val="24"/>
                <w:szCs w:val="24"/>
                <w:lang w:eastAsia="uk-UA"/>
              </w:rPr>
              <w:t>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105.</w:t>
            </w: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eastAsia="uk-UA"/>
              </w:rPr>
              <w:t>11.06.2025 № 194</w:t>
            </w:r>
            <w:r w:rsidRPr="004A321D">
              <w:rPr>
                <w:rFonts w:ascii="Times New Roman" w:eastAsia="Times New Roman" w:hAnsi="Times New Roman"/>
                <w:color w:val="000000"/>
                <w:sz w:val="24"/>
                <w:szCs w:val="24"/>
                <w:lang w:eastAsia="uk-UA"/>
              </w:rPr>
              <w:t xml:space="preserve">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jc w:val="both"/>
              <w:rPr>
                <w:rFonts w:ascii="Times New Roman" w:eastAsia="Times New Roman" w:hAnsi="Times New Roman"/>
                <w:color w:val="000000"/>
                <w:sz w:val="24"/>
                <w:szCs w:val="24"/>
                <w:lang w:eastAsia="uk-UA"/>
              </w:rPr>
            </w:pPr>
            <w:proofErr w:type="spellStart"/>
            <w:r w:rsidRPr="003B0100">
              <w:rPr>
                <w:rFonts w:ascii="Times New Roman" w:eastAsia="Times New Roman" w:hAnsi="Times New Roman"/>
                <w:color w:val="000000"/>
                <w:sz w:val="24"/>
                <w:szCs w:val="24"/>
                <w:lang w:eastAsia="uk-UA"/>
              </w:rPr>
              <w:t>Пруткевич</w:t>
            </w:r>
            <w:proofErr w:type="spellEnd"/>
            <w:r w:rsidRPr="003B0100">
              <w:rPr>
                <w:rFonts w:ascii="Times New Roman" w:eastAsia="Times New Roman" w:hAnsi="Times New Roman"/>
                <w:color w:val="000000"/>
                <w:sz w:val="24"/>
                <w:szCs w:val="24"/>
                <w:lang w:eastAsia="uk-UA"/>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З</w:t>
            </w:r>
            <w:r w:rsidRPr="003B0100">
              <w:rPr>
                <w:rFonts w:ascii="Times New Roman" w:eastAsia="Times New Roman" w:hAnsi="Times New Roman"/>
                <w:color w:val="000000"/>
                <w:sz w:val="24"/>
                <w:szCs w:val="24"/>
                <w:lang w:eastAsia="uk-UA"/>
              </w:rPr>
              <w:t xml:space="preserve">авідувач </w:t>
            </w:r>
            <w:proofErr w:type="spellStart"/>
            <w:r w:rsidRPr="003B0100">
              <w:rPr>
                <w:rFonts w:ascii="Times New Roman" w:eastAsia="Times New Roman" w:hAnsi="Times New Roman"/>
                <w:color w:val="000000"/>
                <w:sz w:val="24"/>
                <w:szCs w:val="24"/>
                <w:lang w:eastAsia="uk-UA"/>
              </w:rPr>
              <w:t>Новоодеського</w:t>
            </w:r>
            <w:proofErr w:type="spellEnd"/>
            <w:r w:rsidRPr="003B0100">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xml:space="preserve"> 191 </w:t>
            </w:r>
            <w:r w:rsidRPr="003B0100">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ind w:firstLine="77"/>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B0100">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E14" w:rsidRPr="00120E14" w:rsidRDefault="00120E14" w:rsidP="003B0100">
            <w:pPr>
              <w:spacing w:after="0" w:line="240" w:lineRule="auto"/>
              <w:jc w:val="both"/>
              <w:rPr>
                <w:rFonts w:ascii="Times New Roman" w:eastAsia="Times New Roman" w:hAnsi="Times New Roman"/>
                <w:color w:val="000000"/>
                <w:sz w:val="16"/>
                <w:szCs w:val="16"/>
                <w:lang w:eastAsia="uk-UA"/>
              </w:rPr>
            </w:pP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B0100">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B0100">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B0100" w:rsidRPr="00120E14"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3B0100">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B0100">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3B0100">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.1.1 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w:t>
            </w:r>
            <w:r w:rsidRPr="003B0100">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B0100">
              <w:rPr>
                <w:rFonts w:ascii="Times New Roman" w:eastAsia="Times New Roman" w:hAnsi="Times New Roman"/>
                <w:color w:val="000000"/>
                <w:sz w:val="24"/>
                <w:szCs w:val="24"/>
                <w:lang w:eastAsia="uk-UA"/>
              </w:rPr>
              <w:t>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bl>
    <w:p w:rsidR="007E4140" w:rsidRPr="00B9213A" w:rsidRDefault="007E4140" w:rsidP="003B0100">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0E14"/>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3DB"/>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0100"/>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1D"/>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05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7A"/>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DE46-0195-4A65-A76C-BF01108A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315</Pages>
  <Words>198070</Words>
  <Characters>112901</Characters>
  <Application>Microsoft Office Word</Application>
  <DocSecurity>0</DocSecurity>
  <Lines>940</Lines>
  <Paragraphs>620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57</cp:revision>
  <dcterms:created xsi:type="dcterms:W3CDTF">2024-02-09T09:46:00Z</dcterms:created>
  <dcterms:modified xsi:type="dcterms:W3CDTF">2025-06-11T07:57:00Z</dcterms:modified>
</cp:coreProperties>
</file>