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D24234" w:rsidP="00A246CE">
      <w:pPr>
        <w:rPr>
          <w:lang w:val="en-US"/>
        </w:rPr>
      </w:pPr>
      <w:r>
        <w:rPr>
          <w:noProof/>
          <w:lang w:eastAsia="uk-UA"/>
        </w:rPr>
        <w:pict>
          <v:roundrect id="Прямоугольник: скругленные углы 1" o:spid="_x0000_s1028" style="position:absolute;margin-left:24.3pt;margin-top:-30.85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D24234"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D24234" w:rsidP="00773643">
      <w:pPr>
        <w:jc w:val="center"/>
      </w:pPr>
      <w:r>
        <w:rPr>
          <w:noProof/>
        </w:rPr>
        <w:pict>
          <v:rect id="Заголовок 1" o:spid="_x0000_s1029" style="position:absolute;left:0;text-align:left;margin-left:1.5pt;margin-top:14.75pt;width:517.5pt;height:54.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A246CE" w:rsidRDefault="00A246CE" w:rsidP="00A246CE">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A246CE" w:rsidRPr="00A246CE" w:rsidRDefault="00A246CE" w:rsidP="00A246CE">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A246CE">
                    <w:rPr>
                      <w:rFonts w:ascii="Times New Roman" w:eastAsia="Times New Roman" w:hAnsi="Times New Roman"/>
                      <w:b/>
                      <w:color w:val="1D1D1B"/>
                      <w:kern w:val="36"/>
                      <w:sz w:val="28"/>
                      <w:szCs w:val="28"/>
                      <w:lang w:eastAsia="uk-UA"/>
                    </w:rPr>
                    <w:t>Сплачуйте податки правильно: детальний розбір на прикладі майнових податків</w:t>
                  </w:r>
                </w:p>
                <w:p w:rsidR="00A246CE" w:rsidRDefault="00A246CE" w:rsidP="00A246CE">
                  <w:pPr>
                    <w:pStyle w:val="a3"/>
                    <w:shd w:val="clear" w:color="auto" w:fill="FFFFFF"/>
                    <w:spacing w:before="0" w:beforeAutospacing="0" w:after="0" w:afterAutospacing="0"/>
                    <w:jc w:val="both"/>
                    <w:textAlignment w:val="baseline"/>
                    <w:rPr>
                      <w:color w:val="000000"/>
                    </w:rPr>
                  </w:pP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7505A0" w:rsidRDefault="007505A0" w:rsidP="0067667D">
      <w:pPr>
        <w:spacing w:after="0" w:line="240" w:lineRule="auto"/>
        <w:jc w:val="both"/>
        <w:rPr>
          <w:rFonts w:ascii="Times New Roman" w:hAnsi="Times New Roman"/>
          <w:sz w:val="24"/>
          <w:szCs w:val="24"/>
        </w:rPr>
      </w:pPr>
    </w:p>
    <w:p w:rsidR="00F10279" w:rsidRPr="00F10279" w:rsidRDefault="00F10279" w:rsidP="00A246CE">
      <w:pPr>
        <w:shd w:val="clear" w:color="auto" w:fill="FFFFFF"/>
        <w:spacing w:after="0" w:line="240" w:lineRule="atLeast"/>
        <w:textAlignment w:val="baseline"/>
        <w:outlineLvl w:val="0"/>
        <w:rPr>
          <w:rFonts w:ascii="Times New Roman" w:eastAsia="Times New Roman" w:hAnsi="Times New Roman"/>
          <w:color w:val="1D1D1B"/>
          <w:kern w:val="36"/>
          <w:sz w:val="28"/>
          <w:szCs w:val="28"/>
          <w:lang w:eastAsia="uk-UA"/>
        </w:rPr>
      </w:pPr>
    </w:p>
    <w:p w:rsidR="00A246CE" w:rsidRPr="00A246CE" w:rsidRDefault="00357C74"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bdr w:val="none" w:sz="0" w:space="0" w:color="auto" w:frame="1"/>
        </w:rPr>
        <w:t>Самбірськ</w:t>
      </w:r>
      <w:r w:rsidR="00F10279" w:rsidRPr="00A246CE">
        <w:rPr>
          <w:color w:val="000000"/>
          <w:sz w:val="21"/>
          <w:szCs w:val="21"/>
          <w:bdr w:val="none" w:sz="0" w:space="0" w:color="auto" w:frame="1"/>
        </w:rPr>
        <w:t>а</w:t>
      </w:r>
      <w:r w:rsidRPr="00A246CE">
        <w:rPr>
          <w:color w:val="000000"/>
          <w:sz w:val="21"/>
          <w:szCs w:val="21"/>
          <w:bdr w:val="none" w:sz="0" w:space="0" w:color="auto" w:frame="1"/>
        </w:rPr>
        <w:t xml:space="preserve"> ДПІ  Головного упр</w:t>
      </w:r>
      <w:r w:rsidR="00F10279" w:rsidRPr="00A246CE">
        <w:rPr>
          <w:color w:val="000000"/>
          <w:sz w:val="21"/>
          <w:szCs w:val="21"/>
          <w:bdr w:val="none" w:sz="0" w:space="0" w:color="auto" w:frame="1"/>
        </w:rPr>
        <w:t>авління ДПС в Львівській області</w:t>
      </w:r>
      <w:r w:rsidRPr="00A246CE">
        <w:rPr>
          <w:color w:val="000000"/>
          <w:sz w:val="21"/>
          <w:szCs w:val="21"/>
          <w:bdr w:val="none" w:sz="0" w:space="0" w:color="auto" w:frame="1"/>
        </w:rPr>
        <w:t xml:space="preserve">, </w:t>
      </w:r>
      <w:r w:rsidR="00F10279" w:rsidRPr="00A246CE">
        <w:rPr>
          <w:sz w:val="21"/>
          <w:szCs w:val="21"/>
        </w:rPr>
        <w:t xml:space="preserve">повідомляє, </w:t>
      </w:r>
      <w:r w:rsidR="00925943" w:rsidRPr="00A246CE">
        <w:rPr>
          <w:color w:val="000000"/>
          <w:sz w:val="21"/>
          <w:szCs w:val="21"/>
        </w:rPr>
        <w:t xml:space="preserve">платникам </w:t>
      </w:r>
      <w:r w:rsidR="00A246CE">
        <w:rPr>
          <w:color w:val="000000"/>
          <w:sz w:val="21"/>
          <w:szCs w:val="21"/>
        </w:rPr>
        <w:t>що для</w:t>
      </w:r>
      <w:bookmarkStart w:id="0" w:name="_GoBack"/>
      <w:bookmarkEnd w:id="0"/>
      <w:r w:rsidR="00A246CE" w:rsidRPr="00A246CE">
        <w:rPr>
          <w:color w:val="000000"/>
          <w:sz w:val="21"/>
          <w:szCs w:val="21"/>
        </w:rPr>
        <w:t xml:space="preserve"> спрощення процесу сплати податків Державна податкова служба України підготувала для громадян пам’ятку з детальними інструкціями щодо сплати податкових зобов’язань з майнових податків, зокрема земельного податку, як через мобільні застосунки банків, так і у касі банківських установ.</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rStyle w:val="a6"/>
          <w:color w:val="000000"/>
          <w:sz w:val="21"/>
          <w:szCs w:val="21"/>
          <w:bdr w:val="none" w:sz="0" w:space="0" w:color="auto" w:frame="1"/>
        </w:rPr>
        <w:t>Приклад 1. Сплата через мобільний застосунок банку</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rPr>
        <w:t>Щоб сплатити податкове зобов’язання через мобільний додаток банку:</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відкрийте  застосунок у мобільному телефоні та оберіть розділ для сплати податків;</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заповніть платіжну інструкцію, вказавши:</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color w:val="000000"/>
          <w:sz w:val="21"/>
          <w:szCs w:val="21"/>
        </w:rPr>
        <w:t>– власний податковий номер та ПІБ (автоматично заповнюється банком);</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color w:val="000000"/>
          <w:sz w:val="21"/>
          <w:szCs w:val="21"/>
        </w:rPr>
        <w:t>– найменування та код органу Казначейства, номер ІВАN рахунку (використовується інформація з податкового повідомлення – рішення на сплату земельного податку, отриманого громадянином від органу ДПС);</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color w:val="000000"/>
          <w:sz w:val="21"/>
          <w:szCs w:val="21"/>
        </w:rPr>
        <w:t>– суму земельного податку (використовується інформація з податкового повідомлення – рішення на сплату земельного податку, отриманого громадянином від органу ДПС);</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color w:val="000000"/>
          <w:sz w:val="21"/>
          <w:szCs w:val="21"/>
        </w:rPr>
        <w:t>– призначення платежу:</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color w:val="000000"/>
          <w:sz w:val="21"/>
          <w:szCs w:val="21"/>
        </w:rPr>
        <w:t>● код виду сплати: 101 (зазначається 3-х значне число);</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color w:val="000000"/>
          <w:sz w:val="21"/>
          <w:szCs w:val="21"/>
        </w:rPr>
        <w:t>● додаткова інформація запису: сплата земельного податку за 2024 рік згідно з ППР (короткий опис у довільній формі інформації про податок, який сплачується, та звітний період).</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rPr>
        <w:t>Наступний крок: </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перевірте, що всі дані, заповнені у платіжній інструкції є вірними (у т. ч. </w:t>
      </w:r>
      <w:r w:rsidRPr="00A246CE">
        <w:rPr>
          <w:rStyle w:val="a6"/>
          <w:color w:val="000000"/>
          <w:sz w:val="21"/>
          <w:szCs w:val="21"/>
          <w:bdr w:val="none" w:sz="0" w:space="0" w:color="auto" w:frame="1"/>
        </w:rPr>
        <w:t>власний податковий номер громадянина</w:t>
      </w:r>
      <w:r w:rsidRPr="00A246CE">
        <w:rPr>
          <w:color w:val="000000"/>
          <w:sz w:val="21"/>
          <w:szCs w:val="21"/>
        </w:rPr>
        <w:t>),</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підтвердіть платіж.</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rStyle w:val="a6"/>
          <w:color w:val="000000"/>
          <w:sz w:val="21"/>
          <w:szCs w:val="21"/>
          <w:bdr w:val="none" w:sz="0" w:space="0" w:color="auto" w:frame="1"/>
        </w:rPr>
        <w:t>ВАЖЛИВО: при сплаті платежів за громадянина, який має податкові зобов’язання з земельного податку,  платник заповнює податковий номер та ПІБ того громадянина, податкові зобов’язання з земельного податку якого сплачуються, у реквізитах «Найменування фактичного платника» та «Код фактичного платника» платіжної інструкції.</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rStyle w:val="a6"/>
          <w:color w:val="000000"/>
          <w:sz w:val="21"/>
          <w:szCs w:val="21"/>
          <w:bdr w:val="none" w:sz="0" w:space="0" w:color="auto" w:frame="1"/>
        </w:rPr>
        <w:t>Приклад 2. Сплата через касу банку</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rPr>
        <w:t>Для сплати у касі банку надайте касиру таку інформацію:</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Style w:val="a6"/>
          <w:rFonts w:ascii="MS Mincho" w:eastAsia="MS Mincho" w:hAnsi="MS Mincho" w:cs="MS Mincho" w:hint="eastAsia"/>
          <w:color w:val="000000"/>
          <w:sz w:val="21"/>
          <w:szCs w:val="21"/>
          <w:bdr w:val="none" w:sz="0" w:space="0" w:color="auto" w:frame="1"/>
        </w:rPr>
        <w:t>✔</w:t>
      </w:r>
      <w:r w:rsidRPr="00A246CE">
        <w:rPr>
          <w:rStyle w:val="a6"/>
          <w:color w:val="000000"/>
          <w:sz w:val="21"/>
          <w:szCs w:val="21"/>
          <w:bdr w:val="none" w:sz="0" w:space="0" w:color="auto" w:frame="1"/>
        </w:rPr>
        <w:t>️ власний</w:t>
      </w:r>
      <w:r w:rsidRPr="00A246CE">
        <w:rPr>
          <w:color w:val="000000"/>
          <w:sz w:val="21"/>
          <w:szCs w:val="21"/>
        </w:rPr>
        <w:t> податковий номер та ПІБ;</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найменування та код органу Казначейства, номер ІВАN рахунку (з податкового повідомлення – рішення на сплату земельного податку, отриманого громадянином від органу ДПС);</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сума земельного податку (з податкового повідомлення – рішення на сплату земельного податку, отриманого громадянином від органу ДПС);</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призначення платежу:</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rPr>
        <w:t>● код виду сплати: 101 (зазначається 3-х значне число);</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rPr>
        <w:t>● додаткова інформація запису: сплата земельного податку за 2024 рік згідно з ППР (короткий опис у довільній формі інформації про податок, який сплачується, та звітний період).</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color w:val="000000"/>
          <w:sz w:val="21"/>
          <w:szCs w:val="21"/>
        </w:rPr>
        <w:t>Наступний крок: </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перевірте правильність даних, заповнених касиром банку у платіжній інструкції (у т. ч. </w:t>
      </w:r>
      <w:r w:rsidRPr="00A246CE">
        <w:rPr>
          <w:rStyle w:val="a6"/>
          <w:color w:val="000000"/>
          <w:sz w:val="21"/>
          <w:szCs w:val="21"/>
          <w:bdr w:val="none" w:sz="0" w:space="0" w:color="auto" w:frame="1"/>
        </w:rPr>
        <w:t>власний податковий номер громадянина</w:t>
      </w:r>
      <w:r w:rsidRPr="00A246CE">
        <w:rPr>
          <w:color w:val="000000"/>
          <w:sz w:val="21"/>
          <w:szCs w:val="21"/>
        </w:rPr>
        <w:t>),</w:t>
      </w:r>
    </w:p>
    <w:p w:rsidR="00A246CE" w:rsidRPr="00A246CE" w:rsidRDefault="00A246CE" w:rsidP="00A246CE">
      <w:pPr>
        <w:pStyle w:val="a3"/>
        <w:shd w:val="clear" w:color="auto" w:fill="FFFFFF"/>
        <w:spacing w:before="0" w:beforeAutospacing="0" w:after="0" w:afterAutospacing="0"/>
        <w:textAlignment w:val="baseline"/>
        <w:rPr>
          <w:color w:val="000000"/>
          <w:sz w:val="21"/>
          <w:szCs w:val="21"/>
        </w:rPr>
      </w:pPr>
      <w:r w:rsidRPr="00A246CE">
        <w:rPr>
          <w:rFonts w:ascii="MS Mincho" w:eastAsia="MS Mincho" w:hAnsi="MS Mincho" w:cs="MS Mincho" w:hint="eastAsia"/>
          <w:color w:val="000000"/>
          <w:sz w:val="21"/>
          <w:szCs w:val="21"/>
        </w:rPr>
        <w:t>✔</w:t>
      </w:r>
      <w:r w:rsidRPr="00A246CE">
        <w:rPr>
          <w:color w:val="000000"/>
          <w:sz w:val="21"/>
          <w:szCs w:val="21"/>
        </w:rPr>
        <w:t>️ власноруч підпишить правильність реквізитів платіжної інструкції для подальшого виконання її банком.</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rStyle w:val="a6"/>
          <w:color w:val="000000"/>
          <w:sz w:val="21"/>
          <w:szCs w:val="21"/>
          <w:bdr w:val="none" w:sz="0" w:space="0" w:color="auto" w:frame="1"/>
        </w:rPr>
        <w:t>ВАЖЛИВО: при сплаті платежів за громадянина, який має податкові зобов’язання з земельного податку,  платник надає касиру банку інформацію щодо податкового номеру та ПІБ того громадянина, податкові зобов’язання з земельного податку якого сплачуються.</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rStyle w:val="a6"/>
          <w:color w:val="000000"/>
          <w:sz w:val="21"/>
          <w:szCs w:val="21"/>
          <w:bdr w:val="none" w:sz="0" w:space="0" w:color="auto" w:frame="1"/>
        </w:rPr>
        <w:t>Якщо реквізити платіжної інструкції заповнено без помилок, то сплачені кошти будуть</w:t>
      </w:r>
      <w:r w:rsidRPr="00A246CE">
        <w:rPr>
          <w:color w:val="000000"/>
          <w:sz w:val="21"/>
          <w:szCs w:val="21"/>
        </w:rPr>
        <w:t> зараховані до бюджету як надходження земельного податку від платника, який  має податкові зобов’язання з цього податку, </w:t>
      </w:r>
      <w:r w:rsidRPr="00A246CE">
        <w:rPr>
          <w:rStyle w:val="a6"/>
          <w:color w:val="000000"/>
          <w:sz w:val="21"/>
          <w:szCs w:val="21"/>
          <w:bdr w:val="none" w:sz="0" w:space="0" w:color="auto" w:frame="1"/>
        </w:rPr>
        <w:t>та зараховані в його інтегровану картку.</w:t>
      </w:r>
    </w:p>
    <w:p w:rsidR="00A246CE" w:rsidRPr="00A246CE" w:rsidRDefault="00A246CE" w:rsidP="00A246CE">
      <w:pPr>
        <w:pStyle w:val="a3"/>
        <w:shd w:val="clear" w:color="auto" w:fill="FFFFFF"/>
        <w:spacing w:before="0" w:beforeAutospacing="0" w:after="0" w:afterAutospacing="0"/>
        <w:jc w:val="both"/>
        <w:textAlignment w:val="baseline"/>
        <w:rPr>
          <w:color w:val="000000"/>
          <w:sz w:val="21"/>
          <w:szCs w:val="21"/>
        </w:rPr>
      </w:pPr>
      <w:r w:rsidRPr="00A246CE">
        <w:rPr>
          <w:rStyle w:val="a6"/>
          <w:color w:val="000000"/>
          <w:sz w:val="21"/>
          <w:szCs w:val="21"/>
          <w:bdr w:val="none" w:sz="0" w:space="0" w:color="auto" w:frame="1"/>
        </w:rPr>
        <w:t>РЕЗУЛЬТАТ:</w:t>
      </w:r>
      <w:r w:rsidRPr="00A246CE">
        <w:rPr>
          <w:color w:val="000000"/>
          <w:sz w:val="21"/>
          <w:szCs w:val="21"/>
        </w:rPr>
        <w:t> на наступний день після здійснення платежу платник зможе перевірити таке зарахування у приватній частині Електронного кабінету.</w:t>
      </w:r>
    </w:p>
    <w:p w:rsidR="007505A0" w:rsidRPr="00A246CE" w:rsidRDefault="007505A0" w:rsidP="00A246CE">
      <w:pPr>
        <w:pStyle w:val="a3"/>
        <w:shd w:val="clear" w:color="auto" w:fill="FFFFFF"/>
        <w:spacing w:before="0" w:beforeAutospacing="0" w:after="0" w:afterAutospacing="0"/>
        <w:jc w:val="both"/>
        <w:textAlignment w:val="baseline"/>
        <w:rPr>
          <w:color w:val="000000"/>
          <w:sz w:val="21"/>
          <w:szCs w:val="21"/>
        </w:rPr>
      </w:pPr>
    </w:p>
    <w:sectPr w:rsidR="007505A0" w:rsidRPr="00A246CE" w:rsidSect="00A246CE">
      <w:pgSz w:w="11906" w:h="16838"/>
      <w:pgMar w:top="851" w:right="850" w:bottom="1418"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A6B" w:rsidRDefault="00501A6B" w:rsidP="005F1910">
      <w:pPr>
        <w:spacing w:after="0" w:line="240" w:lineRule="auto"/>
      </w:pPr>
      <w:r>
        <w:separator/>
      </w:r>
    </w:p>
  </w:endnote>
  <w:endnote w:type="continuationSeparator" w:id="1">
    <w:p w:rsidR="00501A6B" w:rsidRDefault="00501A6B"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A6B" w:rsidRDefault="00501A6B" w:rsidP="005F1910">
      <w:pPr>
        <w:spacing w:after="0" w:line="240" w:lineRule="auto"/>
      </w:pPr>
      <w:r>
        <w:separator/>
      </w:r>
    </w:p>
  </w:footnote>
  <w:footnote w:type="continuationSeparator" w:id="1">
    <w:p w:rsidR="00501A6B" w:rsidRDefault="00501A6B"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4C6B"/>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1A6B"/>
    <w:rsid w:val="00506F76"/>
    <w:rsid w:val="00542B28"/>
    <w:rsid w:val="005D47ED"/>
    <w:rsid w:val="005E718B"/>
    <w:rsid w:val="005F1910"/>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7B78"/>
    <w:rsid w:val="00830890"/>
    <w:rsid w:val="008A02A6"/>
    <w:rsid w:val="008C6AF8"/>
    <w:rsid w:val="008F391D"/>
    <w:rsid w:val="008F65B7"/>
    <w:rsid w:val="00917751"/>
    <w:rsid w:val="00925943"/>
    <w:rsid w:val="009322C6"/>
    <w:rsid w:val="00933D81"/>
    <w:rsid w:val="009B41E8"/>
    <w:rsid w:val="009E17AA"/>
    <w:rsid w:val="009F35C3"/>
    <w:rsid w:val="00A246C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4234"/>
    <w:rsid w:val="00D26882"/>
    <w:rsid w:val="00D40272"/>
    <w:rsid w:val="00D4533B"/>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62629"/>
    <w:rsid w:val="00F74BE6"/>
    <w:rsid w:val="00F956E1"/>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2150</Words>
  <Characters>1226</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2025-09-24T11:45:00Z</dcterms:created>
  <dcterms:modified xsi:type="dcterms:W3CDTF">2025-09-24T11:45:00Z</dcterms:modified>
</cp:coreProperties>
</file>