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9C46B2"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5.25pt;width:359.2pt;height:43.7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CD5423" w:rsidRPr="009C46B2" w:rsidRDefault="00CD5423" w:rsidP="00773643">
                  <w:pPr>
                    <w:spacing w:after="0"/>
                    <w:rPr>
                      <w:rFonts w:ascii="Times New Roman" w:hAnsi="Times New Roman"/>
                      <w:bCs/>
                      <w:szCs w:val="28"/>
                    </w:rPr>
                  </w:pPr>
                  <w:r w:rsidRPr="009C46B2">
                    <w:rPr>
                      <w:rFonts w:ascii="Times New Roman" w:hAnsi="Times New Roman"/>
                      <w:bCs/>
                      <w:szCs w:val="28"/>
                    </w:rPr>
                    <w:t>Головне управління  ДПС   у  Львівській  області</w:t>
                  </w:r>
                </w:p>
                <w:p w:rsidR="00CD5423" w:rsidRPr="009C46B2" w:rsidRDefault="00736DEE" w:rsidP="00E720E5">
                  <w:pPr>
                    <w:spacing w:after="0"/>
                    <w:rPr>
                      <w:rFonts w:ascii="Times New Roman" w:hAnsi="Times New Roman"/>
                      <w:szCs w:val="28"/>
                    </w:rPr>
                  </w:pPr>
                  <w:proofErr w:type="spellStart"/>
                  <w:r w:rsidRPr="009C46B2">
                    <w:rPr>
                      <w:rFonts w:ascii="Times New Roman" w:hAnsi="Times New Roman"/>
                      <w:color w:val="000000"/>
                      <w:szCs w:val="28"/>
                    </w:rPr>
                    <w:t>Турківський</w:t>
                  </w:r>
                  <w:proofErr w:type="spellEnd"/>
                  <w:r w:rsidRPr="009C46B2">
                    <w:rPr>
                      <w:rFonts w:ascii="Times New Roman" w:hAnsi="Times New Roman"/>
                      <w:color w:val="000000"/>
                      <w:szCs w:val="28"/>
                    </w:rPr>
                    <w:t xml:space="preserve"> сектор обслуговування платників Самбірської ДПІ</w:t>
                  </w:r>
                </w:p>
              </w:txbxContent>
            </v:textbox>
            <w10:wrap anchorx="margin"/>
          </v:shape>
        </w:pict>
      </w:r>
      <w:r w:rsidR="005169B2">
        <w:rPr>
          <w:noProof/>
          <w:lang w:eastAsia="uk-UA"/>
        </w:rPr>
        <w:drawing>
          <wp:anchor distT="0" distB="0" distL="114300" distR="114300" simplePos="0" relativeHeight="251656192" behindDoc="0" locked="0" layoutInCell="1" allowOverlap="1">
            <wp:simplePos x="0" y="0"/>
            <wp:positionH relativeFrom="column">
              <wp:posOffset>-166370</wp:posOffset>
            </wp:positionH>
            <wp:positionV relativeFrom="paragraph">
              <wp:posOffset>-102870</wp:posOffset>
            </wp:positionV>
            <wp:extent cx="942975" cy="572135"/>
            <wp:effectExtent l="19050" t="0" r="9525"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2975" cy="572135"/>
                    </a:xfrm>
                    <a:prstGeom prst="rect">
                      <a:avLst/>
                    </a:prstGeom>
                    <a:noFill/>
                  </pic:spPr>
                </pic:pic>
              </a:graphicData>
            </a:graphic>
          </wp:anchor>
        </w:drawing>
      </w:r>
      <w:r w:rsidR="00E010B5">
        <w:rPr>
          <w:noProof/>
          <w:lang w:eastAsia="uk-UA"/>
        </w:rPr>
        <w:pict>
          <v:roundrect id="Прямоугольник: скругленные углы 1" o:spid="_x0000_s1028" style="position:absolute;left:0;text-align:left;margin-left:20.55pt;margin-top:-22.25pt;width:559.2pt;height:808.5pt;z-index:251658240;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505A0" w:rsidP="004D301E">
      <w:pPr>
        <w:pStyle w:val="a3"/>
        <w:spacing w:before="0" w:beforeAutospacing="0" w:after="0" w:afterAutospacing="0"/>
        <w:jc w:val="both"/>
        <w:rPr>
          <w:color w:val="000000"/>
          <w:sz w:val="32"/>
          <w:szCs w:val="32"/>
        </w:rPr>
      </w:pPr>
    </w:p>
    <w:p w:rsidR="00DA60AD" w:rsidRPr="006F76BF" w:rsidRDefault="00E010B5" w:rsidP="006F76BF">
      <w:pPr>
        <w:shd w:val="clear" w:color="auto" w:fill="FFFFFF"/>
        <w:spacing w:after="0" w:line="240" w:lineRule="atLeast"/>
        <w:textAlignment w:val="baseline"/>
        <w:outlineLvl w:val="0"/>
        <w:rPr>
          <w:rFonts w:ascii="Times New Roman" w:eastAsia="Times New Roman" w:hAnsi="Times New Roman"/>
          <w:b/>
          <w:color w:val="1D1D1B"/>
          <w:kern w:val="36"/>
          <w:sz w:val="16"/>
          <w:szCs w:val="16"/>
          <w:lang w:eastAsia="uk-UA"/>
        </w:rPr>
      </w:pPr>
      <w:r w:rsidRPr="00E010B5">
        <w:rPr>
          <w:noProof/>
          <w:sz w:val="24"/>
          <w:szCs w:val="24"/>
        </w:rPr>
        <w:pict>
          <v:rect id="Заголовок 1" o:spid="_x0000_s1029" style="position:absolute;margin-left:7.5pt;margin-top:1.8pt;width:508.5pt;height:43.05pt;z-index:25165721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C17FFC" w:rsidRPr="009C46B2" w:rsidRDefault="00C17FFC" w:rsidP="00C17FFC">
                  <w:pPr>
                    <w:shd w:val="clear" w:color="auto" w:fill="FFFFFF"/>
                    <w:spacing w:after="0" w:line="240" w:lineRule="atLeast"/>
                    <w:jc w:val="center"/>
                    <w:textAlignment w:val="baseline"/>
                    <w:outlineLvl w:val="0"/>
                    <w:rPr>
                      <w:rFonts w:ascii="Times New Roman" w:eastAsia="Times New Roman" w:hAnsi="Times New Roman"/>
                      <w:b/>
                      <w:color w:val="1D1D1B"/>
                      <w:kern w:val="36"/>
                      <w:sz w:val="32"/>
                      <w:szCs w:val="28"/>
                      <w:lang w:eastAsia="uk-UA"/>
                    </w:rPr>
                  </w:pPr>
                  <w:r w:rsidRPr="009C46B2">
                    <w:rPr>
                      <w:rFonts w:ascii="Times New Roman" w:eastAsia="Times New Roman" w:hAnsi="Times New Roman"/>
                      <w:b/>
                      <w:color w:val="1D1D1B"/>
                      <w:kern w:val="36"/>
                      <w:sz w:val="32"/>
                      <w:szCs w:val="28"/>
                      <w:lang w:eastAsia="uk-UA"/>
                    </w:rPr>
                    <w:t>Фізична особа передає земельну ділянку в оренду: яка дата є визначальною при визначенні МПЗ</w:t>
                  </w:r>
                </w:p>
                <w:p w:rsidR="00DA60AD" w:rsidRPr="009C46B2" w:rsidRDefault="00DA60AD" w:rsidP="002C5B6B">
                  <w:pPr>
                    <w:spacing w:after="0" w:line="240" w:lineRule="atLeast"/>
                    <w:jc w:val="center"/>
                    <w:textAlignment w:val="baseline"/>
                    <w:outlineLvl w:val="0"/>
                    <w:rPr>
                      <w:rFonts w:ascii="Times New Roman" w:eastAsia="Times New Roman" w:hAnsi="Times New Roman"/>
                      <w:b/>
                      <w:color w:val="1D1D1B"/>
                      <w:kern w:val="36"/>
                      <w:sz w:val="32"/>
                      <w:szCs w:val="28"/>
                      <w:lang w:eastAsia="uk-UA"/>
                    </w:rPr>
                  </w:pPr>
                </w:p>
                <w:p w:rsidR="00DA60AD" w:rsidRPr="00DA60AD" w:rsidRDefault="00DA60AD" w:rsidP="002C5B6B">
                  <w:pPr>
                    <w:spacing w:after="0" w:line="240" w:lineRule="atLeast"/>
                    <w:jc w:val="center"/>
                    <w:textAlignment w:val="baseline"/>
                    <w:outlineLvl w:val="0"/>
                    <w:rPr>
                      <w:rFonts w:ascii="Times New Roman" w:eastAsia="Times New Roman" w:hAnsi="Times New Roman"/>
                      <w:b/>
                      <w:color w:val="1D1D1B"/>
                      <w:kern w:val="36"/>
                      <w:sz w:val="28"/>
                      <w:szCs w:val="28"/>
                      <w:lang w:eastAsia="uk-UA"/>
                    </w:rPr>
                  </w:pPr>
                </w:p>
              </w:txbxContent>
            </v:textbox>
            <w10:wrap anchorx="margin"/>
          </v:rect>
        </w:pict>
      </w:r>
    </w:p>
    <w:p w:rsidR="00B255C0" w:rsidRDefault="00B255C0" w:rsidP="00B255C0">
      <w:pPr>
        <w:shd w:val="clear" w:color="auto" w:fill="FFFFFF"/>
        <w:spacing w:line="240" w:lineRule="auto"/>
        <w:jc w:val="both"/>
        <w:textAlignment w:val="baseline"/>
        <w:rPr>
          <w:rFonts w:ascii="Times New Roman" w:hAnsi="Times New Roman"/>
          <w:color w:val="000000"/>
          <w:sz w:val="28"/>
          <w:szCs w:val="28"/>
          <w:bdr w:val="none" w:sz="0" w:space="0" w:color="auto" w:frame="1"/>
        </w:rPr>
      </w:pPr>
    </w:p>
    <w:p w:rsidR="0063039F" w:rsidRDefault="0063039F" w:rsidP="000914D2">
      <w:pPr>
        <w:pStyle w:val="a3"/>
        <w:shd w:val="clear" w:color="auto" w:fill="FFFFFF"/>
        <w:spacing w:before="0" w:beforeAutospacing="0" w:after="0" w:afterAutospacing="0"/>
        <w:jc w:val="both"/>
        <w:textAlignment w:val="baseline"/>
        <w:rPr>
          <w:color w:val="000000"/>
          <w:sz w:val="28"/>
          <w:szCs w:val="28"/>
          <w:bdr w:val="none" w:sz="0" w:space="0" w:color="auto" w:frame="1"/>
        </w:rPr>
      </w:pPr>
    </w:p>
    <w:p w:rsidR="00C17FFC" w:rsidRPr="00E46F88" w:rsidRDefault="000914D2" w:rsidP="00C17FFC">
      <w:pPr>
        <w:pStyle w:val="a3"/>
        <w:shd w:val="clear" w:color="auto" w:fill="FFFFFF"/>
        <w:spacing w:before="0" w:beforeAutospacing="0" w:after="0" w:afterAutospacing="0"/>
        <w:jc w:val="both"/>
        <w:textAlignment w:val="baseline"/>
        <w:rPr>
          <w:color w:val="000000"/>
        </w:rPr>
      </w:pPr>
      <w:proofErr w:type="spellStart"/>
      <w:r w:rsidRPr="00014D29">
        <w:rPr>
          <w:color w:val="000000"/>
          <w:bdr w:val="none" w:sz="0" w:space="0" w:color="auto" w:frame="1"/>
        </w:rPr>
        <w:t>Турківський</w:t>
      </w:r>
      <w:proofErr w:type="spellEnd"/>
      <w:r w:rsidR="006C29DB" w:rsidRPr="00014D29">
        <w:rPr>
          <w:color w:val="000000"/>
          <w:bdr w:val="none" w:sz="0" w:space="0" w:color="auto" w:frame="1"/>
        </w:rPr>
        <w:t xml:space="preserve"> сектор обслуговування </w:t>
      </w:r>
      <w:r w:rsidR="00204878" w:rsidRPr="00014D29">
        <w:rPr>
          <w:color w:val="000000"/>
          <w:bdr w:val="none" w:sz="0" w:space="0" w:color="auto" w:frame="1"/>
        </w:rPr>
        <w:t>Самбірськ</w:t>
      </w:r>
      <w:r w:rsidR="006C29DB" w:rsidRPr="00014D29">
        <w:rPr>
          <w:color w:val="000000"/>
          <w:bdr w:val="none" w:sz="0" w:space="0" w:color="auto" w:frame="1"/>
        </w:rPr>
        <w:t>ої</w:t>
      </w:r>
      <w:r w:rsidR="00204878" w:rsidRPr="00014D29">
        <w:rPr>
          <w:color w:val="000000"/>
          <w:bdr w:val="none" w:sz="0" w:space="0" w:color="auto" w:frame="1"/>
        </w:rPr>
        <w:t xml:space="preserve"> ДПІ Головного управління ДПС в Львівській області </w:t>
      </w:r>
      <w:r w:rsidR="00C17FFC">
        <w:rPr>
          <w:color w:val="000000"/>
        </w:rPr>
        <w:t>інформує</w:t>
      </w:r>
      <w:r w:rsidRPr="00014D29">
        <w:rPr>
          <w:color w:val="000000"/>
        </w:rPr>
        <w:t>,</w:t>
      </w:r>
      <w:r w:rsidR="00C17FFC">
        <w:rPr>
          <w:color w:val="000000"/>
        </w:rPr>
        <w:t>з</w:t>
      </w:r>
      <w:r w:rsidR="00C17FFC" w:rsidRPr="00E46F88">
        <w:rPr>
          <w:color w:val="000000"/>
        </w:rPr>
        <w:t>гідно з частиною першою ст. 210 Цивільного Кодексу України правочин підлягає державній реєстрації лише у випадках, встановлених законом. Такий правочин є вчиненим з моменту його державної реєстрації.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Відповідно до ст. 125 – 126 Земельного кодексу України в 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Право власності, користування земельною ділянкою оформлюється відповідно до Закону України від 01 липня 2004 року № 1952-IV «Про державну реєстрацію речових прав на нерухоме майно та їх обтяжень» (зі змінами та доповненнями) (далі – Закон № 1952).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 xml:space="preserve">Підпунктами 1 та 2 </w:t>
      </w:r>
      <w:proofErr w:type="spellStart"/>
      <w:r w:rsidRPr="00E46F88">
        <w:rPr>
          <w:color w:val="000000"/>
        </w:rPr>
        <w:t>п.п</w:t>
      </w:r>
      <w:proofErr w:type="spellEnd"/>
      <w:r w:rsidRPr="00E46F88">
        <w:rPr>
          <w:color w:val="000000"/>
        </w:rPr>
        <w:t>. 1 п. 1 ст. 2 Закону № 1952 визначено, що державна реєстрація речових прав на нерухоме майно та їх обтяжень – офіційне визнання і підтвердження державою фактів набуття, зміни або припинення речових прав на нерухоме майно, обтяжень таких прав шляхом внесення відповідних відомостей до Державного реєстру речових прав на нерухоме майно.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Державний реєстр речових прав на нерухоме майно – єдина державна інформаційна система, що забезпечує обробку, збереження та надання відомостей про зареєстровані речові права на нерухоме майно та їх обтяження.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Отже, право оренди земельної ділянки виникає з моменту державної реєстрації такого права в Державному реєстрі речових прав на нерухоме майно.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 xml:space="preserve">Порядок визначення мінімального податкового зобов’язання (далі – МПЗ) встановлено ст. 38 прим. 1 Податкового кодексу України (далі – ПКУ), згідно з </w:t>
      </w:r>
      <w:proofErr w:type="spellStart"/>
      <w:r w:rsidRPr="00E46F88">
        <w:rPr>
          <w:color w:val="000000"/>
        </w:rPr>
        <w:t>п.п</w:t>
      </w:r>
      <w:proofErr w:type="spellEnd"/>
      <w:r w:rsidRPr="00E46F88">
        <w:rPr>
          <w:color w:val="000000"/>
        </w:rPr>
        <w:t>. 38 прим. 1.1.4 якого МПЗ визначається за період володіння (користування) земельною ділянкою, який припадає на відповідний податковий (звітний) рік.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У разі передачі земельних ділянок в оренду (суборенду), емфітевзис або інше користування МПЗ визначається для орендарів, користувачів на інших умовах таких земельних ділянок у порядку, визначеному ПКУ (п. 38 прим. 1.3 ст. 38 прим. 1 ПКУ).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У разі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 емфітевзису) протягом календарного року та за умови державної реєстрації такого права відповідно до законодавства, МПЗ щодо такої земельної ділянки визначається для попереднього власника, орендаря, користувача на інших умовах (в тому числі на умовах емфітевзису) за період з 1 січня такого календарного року до початку місяця, в якому припинилося право власності на таку земельну ділянку, або в якому така земельна ділянка передана в користування (оренду, суборенду, емфітевзис), а для нового власника, орендаря або користувача на інших умовах (в тому числі на умовах емфітевзису) – починаючи з місяця, в якому він набув право власності або право користування, у тому числі оренди, емфітевзису, суборенди на таку земельну ділянку, та враховується у складі загального МПЗ кожного з таких власників або користувачів (абзац перший п. 38 прим. 1.4 ст. 38 прим. 1 ПКУ).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Особливості визначення загального МПЗ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 визначені п. 170.14 ст. 170 ПКУ.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Підпунктом 170.14.1 п. 170.14 ст. 170 ПКУ передбачено, що для платників податку – власників, орендарів, користувачів на інших умовах (в тому числі на умовах емфітевзису) земельних ділянок, віднесених до сільськогосподарських угідь, не переданих такими особами в оренду (суборенду), емфітевзис або інше користування на підставі договорів, укладених та зареєстрованих відповідно до законодавства, загальне МПЗ визначається контролюючим органом. </w:t>
      </w:r>
    </w:p>
    <w:p w:rsidR="00C17FFC" w:rsidRPr="00E46F88" w:rsidRDefault="00E010B5" w:rsidP="00C17FFC">
      <w:pPr>
        <w:pStyle w:val="a3"/>
        <w:shd w:val="clear" w:color="auto" w:fill="FFFFFF"/>
        <w:spacing w:before="0" w:beforeAutospacing="0" w:after="0" w:afterAutospacing="0"/>
        <w:jc w:val="both"/>
        <w:textAlignment w:val="baseline"/>
        <w:rPr>
          <w:color w:val="000000"/>
        </w:rPr>
      </w:pPr>
      <w:r>
        <w:rPr>
          <w:noProof/>
          <w:color w:val="000000"/>
        </w:rPr>
        <w:lastRenderedPageBreak/>
        <w:pict>
          <v:roundrect id="_x0000_s1031" style="position:absolute;left:0;text-align:left;margin-left:20.55pt;margin-top:-10.25pt;width:559.2pt;height:808.5pt;z-index:251660288;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r w:rsidR="00C17FFC" w:rsidRPr="00E46F88">
        <w:rPr>
          <w:color w:val="000000"/>
        </w:rPr>
        <w:t>У разі передачі таких земельних ділянок в оренду (суборенду), емфітевзис або інше користування на підставі договорів, укладених та зареєстрованих відповідно до законодавства, їх розмір враховується при визначенні загального МПЗ орендарів, користувачів на інших умовах (в тому числі на умовах емфітевзису) таких земельних ділянок у порядку, встановленому ПКУ (</w:t>
      </w:r>
      <w:proofErr w:type="spellStart"/>
      <w:r w:rsidR="00C17FFC" w:rsidRPr="00E46F88">
        <w:rPr>
          <w:color w:val="000000"/>
        </w:rPr>
        <w:t>п.п</w:t>
      </w:r>
      <w:proofErr w:type="spellEnd"/>
      <w:r w:rsidR="00C17FFC" w:rsidRPr="00E46F88">
        <w:rPr>
          <w:color w:val="000000"/>
        </w:rPr>
        <w:t>. 170.14.2 п. 170.14 ст. 170 ПКУ).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 xml:space="preserve">Згідно з </w:t>
      </w:r>
      <w:proofErr w:type="spellStart"/>
      <w:r w:rsidRPr="00E46F88">
        <w:rPr>
          <w:color w:val="000000"/>
        </w:rPr>
        <w:t>п.п</w:t>
      </w:r>
      <w:proofErr w:type="spellEnd"/>
      <w:r w:rsidRPr="00E46F88">
        <w:rPr>
          <w:color w:val="000000"/>
        </w:rPr>
        <w:t>. 170.14.3 п. 170.14 ст. 170 ПКУ визначення загального МПЗ фізичним особам здійснюється контролюючими органами за податковою адресою таких осіб.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r w:rsidRPr="00E46F88">
        <w:rPr>
          <w:color w:val="000000"/>
        </w:rPr>
        <w:t>МПЗ обчислюється контролюючим органом на підставі даних Державного реєстру речових прав на нерухоме майно, Державного земельного кадастру та/або на підставі оригіналів чи належним чином засвідчених копій відповідних документів платника податків, зокрема, документів, що підтверджують право власності/користування. </w:t>
      </w:r>
    </w:p>
    <w:p w:rsidR="00C17FFC" w:rsidRPr="00E46F88" w:rsidRDefault="00C17FFC" w:rsidP="00C17FFC">
      <w:pPr>
        <w:pStyle w:val="a3"/>
        <w:shd w:val="clear" w:color="auto" w:fill="FFFFFF"/>
        <w:spacing w:before="0" w:beforeAutospacing="0" w:after="0" w:afterAutospacing="0"/>
        <w:jc w:val="both"/>
        <w:textAlignment w:val="baseline"/>
        <w:rPr>
          <w:color w:val="000000"/>
        </w:rPr>
      </w:pPr>
      <w:bookmarkStart w:id="0" w:name="_GoBack"/>
      <w:bookmarkEnd w:id="0"/>
      <w:r w:rsidRPr="00E46F88">
        <w:rPr>
          <w:color w:val="000000"/>
        </w:rPr>
        <w:t>Таким чином, при визначені загального МПЗ для фізичної особи у разі передачі земельної ділянки в оренду визначальною є дата реєстрації укладеного договору оренди в Державному реєстрі речових прав на нерухоме майно. </w:t>
      </w:r>
    </w:p>
    <w:p w:rsidR="00C17FFC" w:rsidRPr="00E46F88" w:rsidRDefault="00C17FFC" w:rsidP="00C17FFC">
      <w:pPr>
        <w:spacing w:after="0"/>
        <w:rPr>
          <w:rFonts w:ascii="Times New Roman" w:hAnsi="Times New Roman"/>
          <w:sz w:val="24"/>
          <w:szCs w:val="24"/>
        </w:rPr>
      </w:pPr>
    </w:p>
    <w:p w:rsidR="00014D29" w:rsidRPr="00014D29" w:rsidRDefault="00014D29" w:rsidP="00C17FFC">
      <w:pPr>
        <w:shd w:val="clear" w:color="auto" w:fill="FFFFFF"/>
        <w:spacing w:after="0" w:line="240" w:lineRule="auto"/>
        <w:jc w:val="both"/>
        <w:textAlignment w:val="baseline"/>
        <w:rPr>
          <w:rFonts w:ascii="Times New Roman" w:eastAsia="Times New Roman" w:hAnsi="Times New Roman"/>
          <w:color w:val="000000"/>
          <w:lang w:eastAsia="uk-UA"/>
        </w:rPr>
      </w:pPr>
    </w:p>
    <w:p w:rsidR="007505A0" w:rsidRPr="00014D29" w:rsidRDefault="007505A0" w:rsidP="006F76BF">
      <w:pPr>
        <w:pStyle w:val="a3"/>
        <w:shd w:val="clear" w:color="auto" w:fill="FFFFFF"/>
        <w:spacing w:before="0" w:beforeAutospacing="0" w:after="0" w:afterAutospacing="0"/>
        <w:jc w:val="both"/>
        <w:textAlignment w:val="baseline"/>
        <w:rPr>
          <w:color w:val="000000"/>
          <w:sz w:val="22"/>
          <w:szCs w:val="22"/>
        </w:rPr>
      </w:pPr>
    </w:p>
    <w:sectPr w:rsidR="007505A0" w:rsidRPr="00014D29" w:rsidSect="006F76BF">
      <w:pgSz w:w="11906" w:h="16838"/>
      <w:pgMar w:top="850"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773643"/>
    <w:rsid w:val="000054AE"/>
    <w:rsid w:val="00012C39"/>
    <w:rsid w:val="00014D29"/>
    <w:rsid w:val="000664AC"/>
    <w:rsid w:val="000758F5"/>
    <w:rsid w:val="000914D2"/>
    <w:rsid w:val="000956DC"/>
    <w:rsid w:val="000A0B1B"/>
    <w:rsid w:val="000E2499"/>
    <w:rsid w:val="0010756D"/>
    <w:rsid w:val="00125A28"/>
    <w:rsid w:val="0013571F"/>
    <w:rsid w:val="00157C2E"/>
    <w:rsid w:val="0019224D"/>
    <w:rsid w:val="00194AD2"/>
    <w:rsid w:val="00197792"/>
    <w:rsid w:val="001B0C7D"/>
    <w:rsid w:val="001D5F41"/>
    <w:rsid w:val="001D669A"/>
    <w:rsid w:val="001D7FBB"/>
    <w:rsid w:val="001F2060"/>
    <w:rsid w:val="00203F79"/>
    <w:rsid w:val="00204878"/>
    <w:rsid w:val="00210CF3"/>
    <w:rsid w:val="002139D9"/>
    <w:rsid w:val="00265979"/>
    <w:rsid w:val="00292E56"/>
    <w:rsid w:val="002C5B6B"/>
    <w:rsid w:val="002D66A0"/>
    <w:rsid w:val="00323D28"/>
    <w:rsid w:val="00350E6B"/>
    <w:rsid w:val="00353D2D"/>
    <w:rsid w:val="003609D3"/>
    <w:rsid w:val="00371349"/>
    <w:rsid w:val="003C57DA"/>
    <w:rsid w:val="003D07DE"/>
    <w:rsid w:val="00405E4F"/>
    <w:rsid w:val="0041581B"/>
    <w:rsid w:val="0044142E"/>
    <w:rsid w:val="004539F9"/>
    <w:rsid w:val="00455177"/>
    <w:rsid w:val="004907EF"/>
    <w:rsid w:val="004D301E"/>
    <w:rsid w:val="004F6D40"/>
    <w:rsid w:val="00506F76"/>
    <w:rsid w:val="005169B2"/>
    <w:rsid w:val="00534597"/>
    <w:rsid w:val="00542B28"/>
    <w:rsid w:val="00553759"/>
    <w:rsid w:val="005B5B0B"/>
    <w:rsid w:val="005D47ED"/>
    <w:rsid w:val="005E718B"/>
    <w:rsid w:val="00625028"/>
    <w:rsid w:val="00625FAF"/>
    <w:rsid w:val="00626D57"/>
    <w:rsid w:val="0063039F"/>
    <w:rsid w:val="00651A77"/>
    <w:rsid w:val="0067667D"/>
    <w:rsid w:val="006B030F"/>
    <w:rsid w:val="006B14AE"/>
    <w:rsid w:val="006C29DB"/>
    <w:rsid w:val="006C46A8"/>
    <w:rsid w:val="006D5E11"/>
    <w:rsid w:val="006F76BF"/>
    <w:rsid w:val="0072004A"/>
    <w:rsid w:val="00736DEE"/>
    <w:rsid w:val="0074073F"/>
    <w:rsid w:val="00744E9F"/>
    <w:rsid w:val="007505A0"/>
    <w:rsid w:val="0075210B"/>
    <w:rsid w:val="00757CCC"/>
    <w:rsid w:val="0077109C"/>
    <w:rsid w:val="00773643"/>
    <w:rsid w:val="00781896"/>
    <w:rsid w:val="007B7B78"/>
    <w:rsid w:val="007F0202"/>
    <w:rsid w:val="00807AE2"/>
    <w:rsid w:val="00830890"/>
    <w:rsid w:val="008A0452"/>
    <w:rsid w:val="008C022C"/>
    <w:rsid w:val="008C6AF8"/>
    <w:rsid w:val="008F2E7A"/>
    <w:rsid w:val="008F391D"/>
    <w:rsid w:val="00917751"/>
    <w:rsid w:val="00965971"/>
    <w:rsid w:val="009B41E8"/>
    <w:rsid w:val="009C46B2"/>
    <w:rsid w:val="009E17AA"/>
    <w:rsid w:val="009F35C3"/>
    <w:rsid w:val="00A35952"/>
    <w:rsid w:val="00AB3F6E"/>
    <w:rsid w:val="00AB6E31"/>
    <w:rsid w:val="00AE65BD"/>
    <w:rsid w:val="00B162AA"/>
    <w:rsid w:val="00B255C0"/>
    <w:rsid w:val="00B5427F"/>
    <w:rsid w:val="00B665DF"/>
    <w:rsid w:val="00B745DB"/>
    <w:rsid w:val="00C17FFC"/>
    <w:rsid w:val="00C42171"/>
    <w:rsid w:val="00C67E62"/>
    <w:rsid w:val="00C72E0B"/>
    <w:rsid w:val="00C82BCC"/>
    <w:rsid w:val="00CC490C"/>
    <w:rsid w:val="00CC4EDC"/>
    <w:rsid w:val="00CD5423"/>
    <w:rsid w:val="00D124BC"/>
    <w:rsid w:val="00D17710"/>
    <w:rsid w:val="00D23F57"/>
    <w:rsid w:val="00D40272"/>
    <w:rsid w:val="00D4533B"/>
    <w:rsid w:val="00D50CB2"/>
    <w:rsid w:val="00D860CE"/>
    <w:rsid w:val="00D93C05"/>
    <w:rsid w:val="00D95FFD"/>
    <w:rsid w:val="00DA60AD"/>
    <w:rsid w:val="00DC168C"/>
    <w:rsid w:val="00DE5E75"/>
    <w:rsid w:val="00E010B5"/>
    <w:rsid w:val="00E11100"/>
    <w:rsid w:val="00E1192A"/>
    <w:rsid w:val="00E11E95"/>
    <w:rsid w:val="00E6112B"/>
    <w:rsid w:val="00E720E5"/>
    <w:rsid w:val="00E75D2F"/>
    <w:rsid w:val="00EC10AC"/>
    <w:rsid w:val="00F02E07"/>
    <w:rsid w:val="00F33D5B"/>
    <w:rsid w:val="00F44C77"/>
    <w:rsid w:val="00F74BE6"/>
    <w:rsid w:val="00F75FB3"/>
    <w:rsid w:val="00F956E1"/>
    <w:rsid w:val="00FE7EF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20"/>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10444023">
      <w:bodyDiv w:val="1"/>
      <w:marLeft w:val="0"/>
      <w:marRight w:val="0"/>
      <w:marTop w:val="0"/>
      <w:marBottom w:val="0"/>
      <w:divBdr>
        <w:top w:val="none" w:sz="0" w:space="0" w:color="auto"/>
        <w:left w:val="none" w:sz="0" w:space="0" w:color="auto"/>
        <w:bottom w:val="none" w:sz="0" w:space="0" w:color="auto"/>
        <w:right w:val="none" w:sz="0" w:space="0" w:color="auto"/>
      </w:divBdr>
    </w:div>
    <w:div w:id="214892905">
      <w:bodyDiv w:val="1"/>
      <w:marLeft w:val="0"/>
      <w:marRight w:val="0"/>
      <w:marTop w:val="0"/>
      <w:marBottom w:val="0"/>
      <w:divBdr>
        <w:top w:val="none" w:sz="0" w:space="0" w:color="auto"/>
        <w:left w:val="none" w:sz="0" w:space="0" w:color="auto"/>
        <w:bottom w:val="none" w:sz="0" w:space="0" w:color="auto"/>
        <w:right w:val="none" w:sz="0" w:space="0" w:color="auto"/>
      </w:divBdr>
    </w:div>
    <w:div w:id="558058149">
      <w:bodyDiv w:val="1"/>
      <w:marLeft w:val="0"/>
      <w:marRight w:val="0"/>
      <w:marTop w:val="0"/>
      <w:marBottom w:val="0"/>
      <w:divBdr>
        <w:top w:val="none" w:sz="0" w:space="0" w:color="auto"/>
        <w:left w:val="none" w:sz="0" w:space="0" w:color="auto"/>
        <w:bottom w:val="none" w:sz="0" w:space="0" w:color="auto"/>
        <w:right w:val="none" w:sz="0" w:space="0" w:color="auto"/>
      </w:divBdr>
    </w:div>
    <w:div w:id="661743283">
      <w:bodyDiv w:val="1"/>
      <w:marLeft w:val="0"/>
      <w:marRight w:val="0"/>
      <w:marTop w:val="0"/>
      <w:marBottom w:val="0"/>
      <w:divBdr>
        <w:top w:val="none" w:sz="0" w:space="0" w:color="auto"/>
        <w:left w:val="none" w:sz="0" w:space="0" w:color="auto"/>
        <w:bottom w:val="none" w:sz="0" w:space="0" w:color="auto"/>
        <w:right w:val="none" w:sz="0" w:space="0" w:color="auto"/>
      </w:divBdr>
    </w:div>
    <w:div w:id="1214732196">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4835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3198</Words>
  <Characters>1823</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2026-05-25T08:56:00Z</dcterms:created>
  <dcterms:modified xsi:type="dcterms:W3CDTF">2026-05-25T08:56:00Z</dcterms:modified>
</cp:coreProperties>
</file>