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ACD" w:rsidRPr="00E44476" w:rsidRDefault="00173ACD" w:rsidP="00D74B48">
      <w:pPr>
        <w:ind w:left="567"/>
        <w:jc w:val="center"/>
        <w:rPr>
          <w:b/>
          <w:sz w:val="28"/>
          <w:szCs w:val="28"/>
          <w:lang w:val="uk-UA"/>
        </w:rPr>
      </w:pPr>
      <w:r w:rsidRPr="00E44476">
        <w:rPr>
          <w:b/>
          <w:bCs/>
          <w:sz w:val="28"/>
          <w:lang w:val="uk-UA"/>
        </w:rPr>
        <w:t>Узагальнена інформація</w:t>
      </w:r>
      <w:r w:rsidRPr="00E44476">
        <w:rPr>
          <w:b/>
          <w:sz w:val="28"/>
          <w:szCs w:val="28"/>
          <w:lang w:val="uk-UA"/>
        </w:rPr>
        <w:t xml:space="preserve"> </w:t>
      </w:r>
    </w:p>
    <w:p w:rsidR="00A87732" w:rsidRDefault="00173ACD" w:rsidP="00BE547B">
      <w:pPr>
        <w:ind w:left="567"/>
        <w:jc w:val="center"/>
        <w:rPr>
          <w:b/>
          <w:bCs/>
          <w:sz w:val="28"/>
          <w:lang w:val="uk-UA"/>
        </w:rPr>
      </w:pPr>
      <w:r w:rsidRPr="00E44476">
        <w:rPr>
          <w:b/>
          <w:bCs/>
          <w:sz w:val="28"/>
          <w:lang w:val="uk-UA"/>
        </w:rPr>
        <w:t xml:space="preserve">щодо наданих пропозицій та зауважень до </w:t>
      </w:r>
      <w:r w:rsidR="00BD061F" w:rsidRPr="00E44476">
        <w:rPr>
          <w:b/>
          <w:bCs/>
          <w:sz w:val="28"/>
          <w:lang w:val="uk-UA"/>
        </w:rPr>
        <w:t>про</w:t>
      </w:r>
      <w:r w:rsidR="001F635D" w:rsidRPr="00E44476">
        <w:rPr>
          <w:b/>
          <w:bCs/>
          <w:sz w:val="28"/>
          <w:lang w:val="uk-UA"/>
        </w:rPr>
        <w:t>є</w:t>
      </w:r>
      <w:r w:rsidR="00BD061F" w:rsidRPr="00E44476">
        <w:rPr>
          <w:b/>
          <w:bCs/>
          <w:sz w:val="28"/>
          <w:lang w:val="uk-UA"/>
        </w:rPr>
        <w:t>кту постанови Кабінету Міністрів України «Про</w:t>
      </w:r>
      <w:r w:rsidR="001F635D" w:rsidRPr="00E44476">
        <w:rPr>
          <w:b/>
          <w:bCs/>
          <w:sz w:val="28"/>
          <w:lang w:val="uk-UA"/>
        </w:rPr>
        <w:t xml:space="preserve"> </w:t>
      </w:r>
      <w:r w:rsidR="00BD3A68" w:rsidRPr="00E44476">
        <w:rPr>
          <w:b/>
          <w:bCs/>
          <w:sz w:val="28"/>
          <w:lang w:val="uk-UA"/>
        </w:rPr>
        <w:t xml:space="preserve">внесення змін до </w:t>
      </w:r>
      <w:r w:rsidR="00D74B48" w:rsidRPr="00E44476">
        <w:rPr>
          <w:b/>
          <w:sz w:val="28"/>
          <w:szCs w:val="28"/>
          <w:lang w:val="uk-UA"/>
        </w:rPr>
        <w:t>Порядку зупинення реєстрації податкової накладної / розрахунку коригування в Єдиному реєстрі податкових накладних</w:t>
      </w:r>
      <w:r w:rsidR="00935B2C" w:rsidRPr="00E44476">
        <w:rPr>
          <w:b/>
          <w:bCs/>
          <w:sz w:val="28"/>
          <w:lang w:val="uk-UA"/>
        </w:rPr>
        <w:t>»</w:t>
      </w:r>
      <w:r w:rsidR="00885A56" w:rsidRPr="00E44476">
        <w:rPr>
          <w:b/>
          <w:bCs/>
          <w:sz w:val="28"/>
          <w:lang w:val="uk-UA"/>
        </w:rPr>
        <w:t xml:space="preserve"> </w:t>
      </w:r>
    </w:p>
    <w:p w:rsidR="00E44476" w:rsidRPr="00E44476" w:rsidRDefault="00E44476" w:rsidP="00BE547B">
      <w:pPr>
        <w:ind w:left="567"/>
        <w:jc w:val="center"/>
        <w:rPr>
          <w:b/>
          <w:bCs/>
          <w:sz w:val="28"/>
          <w:lang w:val="uk-UA"/>
        </w:rPr>
      </w:pPr>
    </w:p>
    <w:tbl>
      <w:tblPr>
        <w:tblW w:w="146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2693"/>
        <w:gridCol w:w="1418"/>
        <w:gridCol w:w="1701"/>
      </w:tblGrid>
      <w:tr w:rsidR="002318E7" w:rsidRPr="0061534D" w:rsidTr="003113A0">
        <w:tc>
          <w:tcPr>
            <w:tcW w:w="4395" w:type="dxa"/>
          </w:tcPr>
          <w:p w:rsidR="002318E7" w:rsidRPr="0061534D" w:rsidRDefault="002318E7" w:rsidP="001F635D">
            <w:pPr>
              <w:jc w:val="center"/>
              <w:rPr>
                <w:b/>
                <w:sz w:val="22"/>
                <w:szCs w:val="28"/>
                <w:lang w:val="uk-UA"/>
              </w:rPr>
            </w:pPr>
            <w:r w:rsidRPr="0061534D">
              <w:rPr>
                <w:b/>
                <w:sz w:val="22"/>
                <w:szCs w:val="28"/>
                <w:lang w:val="uk-UA"/>
              </w:rPr>
              <w:t>Текст проєкту</w:t>
            </w:r>
          </w:p>
        </w:tc>
        <w:tc>
          <w:tcPr>
            <w:tcW w:w="4394" w:type="dxa"/>
          </w:tcPr>
          <w:p w:rsidR="002318E7" w:rsidRPr="0061534D" w:rsidRDefault="002318E7" w:rsidP="00AB47A9">
            <w:pPr>
              <w:jc w:val="center"/>
              <w:rPr>
                <w:b/>
                <w:sz w:val="22"/>
                <w:szCs w:val="28"/>
                <w:lang w:val="uk-UA"/>
              </w:rPr>
            </w:pPr>
            <w:r w:rsidRPr="0061534D">
              <w:rPr>
                <w:b/>
                <w:sz w:val="22"/>
                <w:szCs w:val="28"/>
                <w:lang w:val="uk-UA"/>
              </w:rPr>
              <w:t>Пропозиції та зауваження</w:t>
            </w:r>
          </w:p>
        </w:tc>
        <w:tc>
          <w:tcPr>
            <w:tcW w:w="2693" w:type="dxa"/>
          </w:tcPr>
          <w:p w:rsidR="002318E7" w:rsidRPr="0061534D" w:rsidRDefault="002318E7" w:rsidP="00AB47A9">
            <w:pPr>
              <w:jc w:val="center"/>
              <w:rPr>
                <w:b/>
                <w:sz w:val="22"/>
                <w:szCs w:val="28"/>
                <w:lang w:val="uk-UA"/>
              </w:rPr>
            </w:pPr>
            <w:r w:rsidRPr="0061534D">
              <w:rPr>
                <w:b/>
                <w:sz w:val="22"/>
                <w:szCs w:val="28"/>
                <w:lang w:val="uk-UA"/>
              </w:rPr>
              <w:t>Автор</w:t>
            </w:r>
          </w:p>
        </w:tc>
        <w:tc>
          <w:tcPr>
            <w:tcW w:w="1418" w:type="dxa"/>
          </w:tcPr>
          <w:p w:rsidR="002318E7" w:rsidRPr="0061534D" w:rsidRDefault="002318E7" w:rsidP="000D4175">
            <w:pPr>
              <w:jc w:val="center"/>
              <w:rPr>
                <w:b/>
                <w:sz w:val="22"/>
                <w:szCs w:val="28"/>
                <w:lang w:val="uk-UA"/>
              </w:rPr>
            </w:pPr>
            <w:r w:rsidRPr="0061534D">
              <w:rPr>
                <w:b/>
                <w:sz w:val="22"/>
                <w:szCs w:val="28"/>
                <w:lang w:val="uk-UA"/>
              </w:rPr>
              <w:t>Враховано/не враховано</w:t>
            </w:r>
          </w:p>
        </w:tc>
        <w:tc>
          <w:tcPr>
            <w:tcW w:w="1701" w:type="dxa"/>
          </w:tcPr>
          <w:p w:rsidR="002318E7" w:rsidRPr="0061534D" w:rsidRDefault="002318E7" w:rsidP="000D4175">
            <w:pPr>
              <w:jc w:val="center"/>
              <w:rPr>
                <w:b/>
                <w:sz w:val="22"/>
                <w:szCs w:val="28"/>
                <w:lang w:val="uk-UA"/>
              </w:rPr>
            </w:pPr>
            <w:r w:rsidRPr="0061534D">
              <w:rPr>
                <w:b/>
                <w:sz w:val="22"/>
                <w:szCs w:val="28"/>
                <w:lang w:val="uk-UA"/>
              </w:rPr>
              <w:t xml:space="preserve">Примітка </w:t>
            </w:r>
          </w:p>
        </w:tc>
      </w:tr>
      <w:tr w:rsidR="00441889" w:rsidRPr="0061534D" w:rsidTr="00254110">
        <w:trPr>
          <w:trHeight w:val="334"/>
        </w:trPr>
        <w:tc>
          <w:tcPr>
            <w:tcW w:w="14601" w:type="dxa"/>
            <w:gridSpan w:val="5"/>
          </w:tcPr>
          <w:p w:rsidR="00441889" w:rsidRPr="0061534D" w:rsidRDefault="00441889" w:rsidP="00AB47A9">
            <w:pPr>
              <w:jc w:val="center"/>
              <w:rPr>
                <w:b/>
                <w:sz w:val="22"/>
                <w:szCs w:val="28"/>
                <w:lang w:val="uk-UA"/>
              </w:rPr>
            </w:pPr>
            <w:r w:rsidRPr="0061534D">
              <w:rPr>
                <w:b/>
                <w:sz w:val="22"/>
                <w:szCs w:val="28"/>
                <w:lang w:val="uk-UA"/>
              </w:rPr>
              <w:t>Загальні пропозиції та зауваження</w:t>
            </w:r>
          </w:p>
        </w:tc>
      </w:tr>
      <w:tr w:rsidR="002318E7" w:rsidRPr="0061534D" w:rsidTr="003113A0">
        <w:tc>
          <w:tcPr>
            <w:tcW w:w="4395" w:type="dxa"/>
          </w:tcPr>
          <w:p w:rsidR="002318E7" w:rsidRPr="0061534D" w:rsidRDefault="002318E7" w:rsidP="00AB47A9">
            <w:pPr>
              <w:jc w:val="center"/>
              <w:rPr>
                <w:sz w:val="22"/>
                <w:szCs w:val="28"/>
                <w:lang w:val="uk-UA"/>
              </w:rPr>
            </w:pPr>
            <w:r w:rsidRPr="0061534D">
              <w:rPr>
                <w:sz w:val="22"/>
                <w:szCs w:val="28"/>
                <w:lang w:val="uk-UA"/>
              </w:rPr>
              <w:t>1</w:t>
            </w:r>
          </w:p>
        </w:tc>
        <w:tc>
          <w:tcPr>
            <w:tcW w:w="4394" w:type="dxa"/>
          </w:tcPr>
          <w:p w:rsidR="002318E7" w:rsidRPr="0061534D" w:rsidRDefault="002318E7" w:rsidP="00AB47A9">
            <w:pPr>
              <w:jc w:val="center"/>
              <w:rPr>
                <w:sz w:val="22"/>
                <w:szCs w:val="28"/>
                <w:lang w:val="uk-UA"/>
              </w:rPr>
            </w:pPr>
            <w:r w:rsidRPr="0061534D">
              <w:rPr>
                <w:sz w:val="22"/>
                <w:szCs w:val="28"/>
                <w:lang w:val="uk-UA"/>
              </w:rPr>
              <w:t>2</w:t>
            </w:r>
          </w:p>
        </w:tc>
        <w:tc>
          <w:tcPr>
            <w:tcW w:w="2693" w:type="dxa"/>
          </w:tcPr>
          <w:p w:rsidR="002318E7" w:rsidRPr="0061534D" w:rsidRDefault="002318E7" w:rsidP="00AB47A9">
            <w:pPr>
              <w:jc w:val="center"/>
              <w:rPr>
                <w:sz w:val="22"/>
                <w:szCs w:val="28"/>
                <w:lang w:val="uk-UA"/>
              </w:rPr>
            </w:pPr>
            <w:r w:rsidRPr="0061534D">
              <w:rPr>
                <w:sz w:val="22"/>
                <w:szCs w:val="28"/>
                <w:lang w:val="uk-UA"/>
              </w:rPr>
              <w:t>3</w:t>
            </w:r>
          </w:p>
        </w:tc>
        <w:tc>
          <w:tcPr>
            <w:tcW w:w="1418" w:type="dxa"/>
          </w:tcPr>
          <w:p w:rsidR="002318E7" w:rsidRPr="0061534D" w:rsidRDefault="002318E7" w:rsidP="00AB47A9">
            <w:pPr>
              <w:jc w:val="center"/>
              <w:rPr>
                <w:sz w:val="22"/>
                <w:szCs w:val="28"/>
                <w:lang w:val="uk-UA"/>
              </w:rPr>
            </w:pPr>
            <w:r w:rsidRPr="0061534D">
              <w:rPr>
                <w:sz w:val="22"/>
                <w:szCs w:val="28"/>
                <w:lang w:val="uk-UA"/>
              </w:rPr>
              <w:t>4</w:t>
            </w:r>
          </w:p>
        </w:tc>
        <w:tc>
          <w:tcPr>
            <w:tcW w:w="1701" w:type="dxa"/>
          </w:tcPr>
          <w:p w:rsidR="002318E7" w:rsidRPr="0061534D" w:rsidRDefault="002318E7" w:rsidP="00AB47A9">
            <w:pPr>
              <w:jc w:val="center"/>
              <w:rPr>
                <w:sz w:val="22"/>
                <w:szCs w:val="28"/>
                <w:lang w:val="uk-UA"/>
              </w:rPr>
            </w:pPr>
          </w:p>
        </w:tc>
      </w:tr>
      <w:tr w:rsidR="00DC5355" w:rsidRPr="0061534D" w:rsidTr="00A90C5A">
        <w:tc>
          <w:tcPr>
            <w:tcW w:w="4395" w:type="dxa"/>
          </w:tcPr>
          <w:p w:rsidR="005B35F6" w:rsidRPr="0061534D" w:rsidRDefault="005B35F6" w:rsidP="005B35F6">
            <w:pPr>
              <w:jc w:val="center"/>
              <w:rPr>
                <w:sz w:val="22"/>
                <w:szCs w:val="28"/>
                <w:lang w:val="uk-UA"/>
              </w:rPr>
            </w:pPr>
            <w:r w:rsidRPr="00A30E13">
              <w:rPr>
                <w:sz w:val="22"/>
                <w:szCs w:val="28"/>
                <w:lang w:val="uk-UA"/>
              </w:rPr>
              <w:t>–</w:t>
            </w:r>
          </w:p>
        </w:tc>
        <w:tc>
          <w:tcPr>
            <w:tcW w:w="4394" w:type="dxa"/>
            <w:vAlign w:val="center"/>
          </w:tcPr>
          <w:p w:rsidR="00DC5355" w:rsidRPr="00591A7D" w:rsidRDefault="00591A7D" w:rsidP="00591A7D">
            <w:pPr>
              <w:pStyle w:val="a5"/>
              <w:spacing w:before="0" w:beforeAutospacing="0" w:after="0" w:afterAutospacing="0"/>
              <w:jc w:val="both"/>
              <w:rPr>
                <w:sz w:val="22"/>
                <w:szCs w:val="28"/>
                <w:lang w:val="uk-UA"/>
              </w:rPr>
            </w:pPr>
            <w:r w:rsidRPr="00591A7D">
              <w:rPr>
                <w:sz w:val="22"/>
                <w:szCs w:val="28"/>
                <w:lang w:val="uk-UA"/>
              </w:rPr>
              <w:t>Внесення змін до пунктів 25 Порядку зупинення реєстрації податкової накладної / розрахунку коригування в Єдиному реєстрі податкових накладних, затверджених постановою Кабінету Міністрів України від 11 грудня 2019 року № 1165 (зі змінами)</w:t>
            </w:r>
            <w:r w:rsidR="002D463A">
              <w:rPr>
                <w:sz w:val="22"/>
                <w:szCs w:val="28"/>
                <w:lang w:val="uk-UA"/>
              </w:rPr>
              <w:t xml:space="preserve"> (далі – Порядок зупинення)</w:t>
            </w:r>
            <w:r w:rsidRPr="00591A7D">
              <w:rPr>
                <w:sz w:val="22"/>
                <w:szCs w:val="28"/>
                <w:lang w:val="uk-UA"/>
              </w:rPr>
              <w:t xml:space="preserve">, </w:t>
            </w:r>
            <w:r>
              <w:rPr>
                <w:sz w:val="22"/>
                <w:szCs w:val="28"/>
                <w:lang w:val="uk-UA"/>
              </w:rPr>
              <w:t>в частині прийняття рішень про врахування/неврахування Таблиці даних платника податку на додану вартість виключно Комісіями регіонального рівня, а ДПС України розглядала б тільки Скарги про неврахування Таблиць даних платника податку на додану вартість (адміністративне оскарження).</w:t>
            </w:r>
          </w:p>
        </w:tc>
        <w:tc>
          <w:tcPr>
            <w:tcW w:w="2693" w:type="dxa"/>
          </w:tcPr>
          <w:p w:rsidR="00DC5355" w:rsidRDefault="00591A7D" w:rsidP="001769A4">
            <w:pPr>
              <w:jc w:val="center"/>
            </w:pPr>
            <w:r>
              <w:rPr>
                <w:sz w:val="22"/>
                <w:szCs w:val="28"/>
                <w:lang w:val="uk-UA"/>
              </w:rPr>
              <w:t>ВГО «Асоціація платників податків України»</w:t>
            </w:r>
          </w:p>
        </w:tc>
        <w:tc>
          <w:tcPr>
            <w:tcW w:w="1418" w:type="dxa"/>
          </w:tcPr>
          <w:p w:rsidR="00DC5355" w:rsidRDefault="00591A7D" w:rsidP="001769A4">
            <w:pPr>
              <w:jc w:val="center"/>
            </w:pPr>
            <w:r w:rsidRPr="00E44476">
              <w:rPr>
                <w:sz w:val="22"/>
                <w:szCs w:val="28"/>
                <w:lang w:val="uk-UA"/>
              </w:rPr>
              <w:t>не враховано</w:t>
            </w:r>
          </w:p>
        </w:tc>
        <w:tc>
          <w:tcPr>
            <w:tcW w:w="1701" w:type="dxa"/>
          </w:tcPr>
          <w:p w:rsidR="00DC5355" w:rsidRDefault="00DC5355" w:rsidP="001769A4">
            <w:pPr>
              <w:jc w:val="center"/>
            </w:pPr>
            <w:r w:rsidRPr="00A30E13">
              <w:rPr>
                <w:sz w:val="22"/>
                <w:szCs w:val="28"/>
                <w:lang w:val="uk-UA"/>
              </w:rPr>
              <w:t>–</w:t>
            </w:r>
          </w:p>
        </w:tc>
      </w:tr>
      <w:tr w:rsidR="002D463A" w:rsidRPr="0061534D" w:rsidTr="00A90C5A">
        <w:tc>
          <w:tcPr>
            <w:tcW w:w="4395" w:type="dxa"/>
          </w:tcPr>
          <w:p w:rsidR="002D463A" w:rsidRPr="00A30E13" w:rsidRDefault="002D463A" w:rsidP="002D463A">
            <w:pPr>
              <w:jc w:val="center"/>
              <w:rPr>
                <w:sz w:val="22"/>
                <w:szCs w:val="28"/>
                <w:lang w:val="uk-UA"/>
              </w:rPr>
            </w:pPr>
            <w:r w:rsidRPr="00A30E13">
              <w:rPr>
                <w:sz w:val="22"/>
                <w:szCs w:val="28"/>
                <w:lang w:val="uk-UA"/>
              </w:rPr>
              <w:t>–</w:t>
            </w:r>
          </w:p>
        </w:tc>
        <w:tc>
          <w:tcPr>
            <w:tcW w:w="4394" w:type="dxa"/>
            <w:vAlign w:val="center"/>
          </w:tcPr>
          <w:p w:rsidR="002D463A" w:rsidRDefault="002D463A" w:rsidP="002D463A">
            <w:pPr>
              <w:pStyle w:val="a5"/>
              <w:spacing w:before="0" w:beforeAutospacing="0" w:after="0" w:afterAutospacing="0"/>
              <w:jc w:val="both"/>
              <w:rPr>
                <w:sz w:val="22"/>
                <w:szCs w:val="28"/>
                <w:lang w:val="uk-UA"/>
              </w:rPr>
            </w:pPr>
            <w:r>
              <w:rPr>
                <w:sz w:val="22"/>
                <w:szCs w:val="28"/>
                <w:lang w:val="uk-UA"/>
              </w:rPr>
              <w:t>Пропозиції до редагування пункту 2 додатку 3 до Порядку зупинення:</w:t>
            </w:r>
          </w:p>
          <w:p w:rsidR="004F3510" w:rsidRDefault="004F3510" w:rsidP="002D463A">
            <w:pPr>
              <w:pStyle w:val="a5"/>
              <w:spacing w:before="0" w:beforeAutospacing="0" w:after="0" w:afterAutospacing="0"/>
              <w:jc w:val="both"/>
              <w:rPr>
                <w:sz w:val="22"/>
                <w:szCs w:val="28"/>
                <w:lang w:val="uk-UA"/>
              </w:rPr>
            </w:pPr>
          </w:p>
          <w:p w:rsidR="002D463A" w:rsidRPr="00591A7D" w:rsidRDefault="002D463A" w:rsidP="002D463A">
            <w:pPr>
              <w:pStyle w:val="a5"/>
              <w:spacing w:before="0" w:beforeAutospacing="0" w:after="0" w:afterAutospacing="0"/>
              <w:jc w:val="both"/>
              <w:rPr>
                <w:sz w:val="22"/>
                <w:szCs w:val="28"/>
                <w:lang w:val="uk-UA"/>
              </w:rPr>
            </w:pPr>
            <w:r>
              <w:rPr>
                <w:sz w:val="22"/>
                <w:szCs w:val="28"/>
                <w:lang w:val="uk-UA"/>
              </w:rPr>
              <w:t xml:space="preserve">«У разі анулювання (зупинення) ліцензій виданих органами ліцензування, які засвідчують право платника податку на виробництво, експорт, імпорт </w:t>
            </w:r>
            <w:r w:rsidR="004F3510">
              <w:rPr>
                <w:sz w:val="22"/>
                <w:szCs w:val="28"/>
                <w:lang w:val="uk-UA"/>
              </w:rPr>
              <w:t>і оптову торгівлю підакцизними товарами (продукцією), ризиковою визнається тільки та операція, яка безпосередньо здійснювалася за відповідним видом діяльності після анулювання (зупинення) ліцензії. Якщо платник податку на дату складання податкової накладної / розрахунку коригування має інші чинні ліцензії та здійснює господарську діяльність за ними, такі операції не підпадають під ризикову ознаку, визначену пунктом 2 Додатку 3.»</w:t>
            </w:r>
          </w:p>
        </w:tc>
        <w:tc>
          <w:tcPr>
            <w:tcW w:w="2693" w:type="dxa"/>
          </w:tcPr>
          <w:p w:rsidR="002D463A" w:rsidRDefault="002D463A" w:rsidP="002D463A">
            <w:pPr>
              <w:jc w:val="center"/>
              <w:rPr>
                <w:sz w:val="22"/>
                <w:szCs w:val="28"/>
                <w:lang w:val="uk-UA"/>
              </w:rPr>
            </w:pPr>
            <w:r>
              <w:rPr>
                <w:sz w:val="22"/>
                <w:szCs w:val="28"/>
                <w:lang w:val="uk-UA"/>
              </w:rPr>
              <w:t>ТОВ «ТОМОЙЛ ЛОДЖІСТІК ЕНД ТРЕЙДИНГ»</w:t>
            </w:r>
          </w:p>
        </w:tc>
        <w:tc>
          <w:tcPr>
            <w:tcW w:w="1418" w:type="dxa"/>
          </w:tcPr>
          <w:p w:rsidR="002D463A" w:rsidRPr="004F3510" w:rsidRDefault="002D463A" w:rsidP="002D463A">
            <w:pPr>
              <w:jc w:val="center"/>
              <w:rPr>
                <w:highlight w:val="yellow"/>
              </w:rPr>
            </w:pPr>
            <w:r w:rsidRPr="00D02E1B">
              <w:rPr>
                <w:sz w:val="22"/>
                <w:szCs w:val="28"/>
                <w:lang w:val="uk-UA"/>
              </w:rPr>
              <w:t>не враховано</w:t>
            </w:r>
          </w:p>
        </w:tc>
        <w:tc>
          <w:tcPr>
            <w:tcW w:w="1701" w:type="dxa"/>
          </w:tcPr>
          <w:p w:rsidR="002D463A" w:rsidRDefault="002D463A" w:rsidP="002D463A">
            <w:pPr>
              <w:jc w:val="center"/>
            </w:pPr>
            <w:r w:rsidRPr="00A30E13">
              <w:rPr>
                <w:sz w:val="22"/>
                <w:szCs w:val="28"/>
                <w:lang w:val="uk-UA"/>
              </w:rPr>
              <w:t>–</w:t>
            </w:r>
          </w:p>
        </w:tc>
      </w:tr>
      <w:tr w:rsidR="004F3510" w:rsidRPr="0061534D" w:rsidTr="00A90C5A">
        <w:tc>
          <w:tcPr>
            <w:tcW w:w="4395" w:type="dxa"/>
          </w:tcPr>
          <w:p w:rsidR="004F3510" w:rsidRDefault="004F3510" w:rsidP="004F3510">
            <w:pPr>
              <w:jc w:val="center"/>
            </w:pPr>
            <w:r w:rsidRPr="009D17AD">
              <w:rPr>
                <w:sz w:val="22"/>
                <w:szCs w:val="28"/>
                <w:lang w:val="uk-UA"/>
              </w:rPr>
              <w:t>–</w:t>
            </w:r>
          </w:p>
        </w:tc>
        <w:tc>
          <w:tcPr>
            <w:tcW w:w="4394" w:type="dxa"/>
            <w:vAlign w:val="center"/>
          </w:tcPr>
          <w:p w:rsidR="004F3510" w:rsidRPr="004F3510" w:rsidRDefault="004F3510" w:rsidP="004F3510">
            <w:pPr>
              <w:pStyle w:val="a5"/>
              <w:spacing w:before="0" w:beforeAutospacing="0" w:after="0" w:afterAutospacing="0"/>
              <w:jc w:val="both"/>
              <w:rPr>
                <w:sz w:val="22"/>
                <w:szCs w:val="28"/>
                <w:lang w:val="uk-UA"/>
              </w:rPr>
            </w:pPr>
            <w:r>
              <w:rPr>
                <w:sz w:val="22"/>
                <w:szCs w:val="28"/>
                <w:lang w:val="uk-UA"/>
              </w:rPr>
              <w:t>Уточнити процедуру інформування: при анулюванні ліцензії система інформує платника податків про конкретний перелік операцій, що вважаються ризиковими, із зазначенням дат, контрагентів та номерів податкових накладних.</w:t>
            </w:r>
          </w:p>
        </w:tc>
        <w:tc>
          <w:tcPr>
            <w:tcW w:w="2693" w:type="dxa"/>
          </w:tcPr>
          <w:p w:rsidR="004F3510" w:rsidRDefault="004F3510" w:rsidP="004F3510">
            <w:pPr>
              <w:jc w:val="center"/>
              <w:rPr>
                <w:sz w:val="22"/>
                <w:szCs w:val="28"/>
                <w:lang w:val="uk-UA"/>
              </w:rPr>
            </w:pPr>
            <w:r>
              <w:rPr>
                <w:sz w:val="22"/>
                <w:szCs w:val="28"/>
                <w:lang w:val="uk-UA"/>
              </w:rPr>
              <w:t>ТОВ «ТОМОЙЛ ЛОДЖІСТІК ЕНД ТРЕЙДИНГ»</w:t>
            </w:r>
          </w:p>
        </w:tc>
        <w:tc>
          <w:tcPr>
            <w:tcW w:w="1418" w:type="dxa"/>
          </w:tcPr>
          <w:p w:rsidR="004F3510" w:rsidRPr="00D02E1B" w:rsidRDefault="004F3510" w:rsidP="004F3510">
            <w:pPr>
              <w:jc w:val="center"/>
            </w:pPr>
            <w:r w:rsidRPr="00D02E1B">
              <w:rPr>
                <w:sz w:val="22"/>
                <w:szCs w:val="28"/>
                <w:lang w:val="uk-UA"/>
              </w:rPr>
              <w:t>не враховано</w:t>
            </w:r>
          </w:p>
        </w:tc>
        <w:tc>
          <w:tcPr>
            <w:tcW w:w="1701" w:type="dxa"/>
          </w:tcPr>
          <w:p w:rsidR="004F3510" w:rsidRDefault="004F3510" w:rsidP="004F3510">
            <w:pPr>
              <w:jc w:val="center"/>
            </w:pPr>
            <w:r w:rsidRPr="00A30E13">
              <w:rPr>
                <w:sz w:val="22"/>
                <w:szCs w:val="28"/>
                <w:lang w:val="uk-UA"/>
              </w:rPr>
              <w:t>–</w:t>
            </w:r>
          </w:p>
        </w:tc>
      </w:tr>
      <w:tr w:rsidR="004F3510" w:rsidRPr="0061534D" w:rsidTr="00A90C5A">
        <w:tc>
          <w:tcPr>
            <w:tcW w:w="4395" w:type="dxa"/>
          </w:tcPr>
          <w:p w:rsidR="004F3510" w:rsidRDefault="004F3510" w:rsidP="004F3510">
            <w:pPr>
              <w:jc w:val="center"/>
            </w:pPr>
            <w:r w:rsidRPr="009D17AD">
              <w:rPr>
                <w:sz w:val="22"/>
                <w:szCs w:val="28"/>
                <w:lang w:val="uk-UA"/>
              </w:rPr>
              <w:t>–</w:t>
            </w:r>
          </w:p>
        </w:tc>
        <w:tc>
          <w:tcPr>
            <w:tcW w:w="4394" w:type="dxa"/>
            <w:vAlign w:val="center"/>
          </w:tcPr>
          <w:p w:rsidR="004F3510" w:rsidRDefault="004F3510" w:rsidP="004F3510">
            <w:pPr>
              <w:pStyle w:val="a5"/>
              <w:spacing w:before="0" w:beforeAutospacing="0" w:after="0" w:afterAutospacing="0"/>
              <w:jc w:val="both"/>
              <w:rPr>
                <w:sz w:val="22"/>
                <w:szCs w:val="28"/>
                <w:lang w:val="uk-UA"/>
              </w:rPr>
            </w:pPr>
            <w:r>
              <w:rPr>
                <w:sz w:val="22"/>
                <w:szCs w:val="28"/>
                <w:lang w:val="uk-UA"/>
              </w:rPr>
              <w:t>Гарантувати право на захист: рішення Комісії з оскарження повинно містити чіткий перелік документів, що вимагаються для підтвердження відсутності ризикових операцій, із посиланням на конкретні номери та суми операцій.</w:t>
            </w:r>
          </w:p>
        </w:tc>
        <w:tc>
          <w:tcPr>
            <w:tcW w:w="2693" w:type="dxa"/>
          </w:tcPr>
          <w:p w:rsidR="004F3510" w:rsidRDefault="004F3510" w:rsidP="004F3510">
            <w:pPr>
              <w:jc w:val="center"/>
              <w:rPr>
                <w:sz w:val="22"/>
                <w:szCs w:val="28"/>
                <w:lang w:val="uk-UA"/>
              </w:rPr>
            </w:pPr>
            <w:r>
              <w:rPr>
                <w:sz w:val="22"/>
                <w:szCs w:val="28"/>
                <w:lang w:val="uk-UA"/>
              </w:rPr>
              <w:t>ТОВ «ТОМОЙЛ ЛОДЖІСТІК ЕНД ТРЕЙДИНГ»</w:t>
            </w:r>
          </w:p>
        </w:tc>
        <w:tc>
          <w:tcPr>
            <w:tcW w:w="1418" w:type="dxa"/>
          </w:tcPr>
          <w:p w:rsidR="004F3510" w:rsidRPr="00D02E1B" w:rsidRDefault="004F3510" w:rsidP="004F3510">
            <w:pPr>
              <w:jc w:val="center"/>
            </w:pPr>
            <w:r w:rsidRPr="00D02E1B">
              <w:rPr>
                <w:sz w:val="22"/>
                <w:szCs w:val="28"/>
                <w:lang w:val="uk-UA"/>
              </w:rPr>
              <w:t>не враховано</w:t>
            </w:r>
          </w:p>
        </w:tc>
        <w:tc>
          <w:tcPr>
            <w:tcW w:w="1701" w:type="dxa"/>
          </w:tcPr>
          <w:p w:rsidR="004F3510" w:rsidRDefault="004F3510" w:rsidP="004F3510">
            <w:pPr>
              <w:jc w:val="center"/>
            </w:pPr>
            <w:r w:rsidRPr="00A30E13">
              <w:rPr>
                <w:sz w:val="22"/>
                <w:szCs w:val="28"/>
                <w:lang w:val="uk-UA"/>
              </w:rPr>
              <w:t>–</w:t>
            </w:r>
          </w:p>
        </w:tc>
      </w:tr>
      <w:tr w:rsidR="004F3510" w:rsidRPr="0061534D" w:rsidTr="007A17EF">
        <w:tc>
          <w:tcPr>
            <w:tcW w:w="14601" w:type="dxa"/>
            <w:gridSpan w:val="5"/>
          </w:tcPr>
          <w:p w:rsidR="004F3510" w:rsidRPr="0061534D" w:rsidRDefault="004F3510" w:rsidP="004F3510">
            <w:pPr>
              <w:jc w:val="center"/>
              <w:rPr>
                <w:b/>
                <w:sz w:val="22"/>
                <w:szCs w:val="28"/>
                <w:lang w:val="uk-UA"/>
              </w:rPr>
            </w:pPr>
            <w:r w:rsidRPr="0061534D">
              <w:rPr>
                <w:b/>
                <w:sz w:val="22"/>
                <w:szCs w:val="28"/>
                <w:lang w:val="uk-UA"/>
              </w:rPr>
              <w:t>Пропозиції та зауваження до окремих статей (пунктів):</w:t>
            </w:r>
          </w:p>
        </w:tc>
      </w:tr>
      <w:tr w:rsidR="004F3510" w:rsidRPr="0061534D" w:rsidTr="00A90C5A">
        <w:trPr>
          <w:trHeight w:val="70"/>
        </w:trPr>
        <w:tc>
          <w:tcPr>
            <w:tcW w:w="4395" w:type="dxa"/>
            <w:vAlign w:val="center"/>
          </w:tcPr>
          <w:p w:rsidR="004F3510" w:rsidRPr="00304F4C" w:rsidRDefault="004F3510" w:rsidP="004F3510">
            <w:pPr>
              <w:pStyle w:val="a5"/>
              <w:spacing w:before="0" w:beforeAutospacing="0" w:after="0" w:afterAutospacing="0"/>
              <w:ind w:right="113"/>
              <w:jc w:val="both"/>
              <w:rPr>
                <w:sz w:val="22"/>
                <w:szCs w:val="28"/>
                <w:lang w:val="uk-UA"/>
              </w:rPr>
            </w:pPr>
            <w:r w:rsidRPr="00304F4C">
              <w:rPr>
                <w:sz w:val="22"/>
                <w:szCs w:val="28"/>
                <w:lang w:val="uk-UA"/>
              </w:rPr>
              <w:t>4. У пункті 3:</w:t>
            </w:r>
          </w:p>
          <w:p w:rsidR="004F3510" w:rsidRPr="00304F4C" w:rsidRDefault="004F3510" w:rsidP="004F3510">
            <w:pPr>
              <w:ind w:right="113"/>
              <w:rPr>
                <w:sz w:val="22"/>
                <w:lang w:val="uk-UA"/>
              </w:rPr>
            </w:pPr>
          </w:p>
          <w:p w:rsidR="004F3510" w:rsidRPr="00304F4C" w:rsidRDefault="004F3510" w:rsidP="004F3510">
            <w:pPr>
              <w:pStyle w:val="a5"/>
              <w:spacing w:before="0" w:beforeAutospacing="0" w:after="0" w:afterAutospacing="0"/>
              <w:ind w:right="113"/>
              <w:jc w:val="both"/>
              <w:rPr>
                <w:sz w:val="22"/>
                <w:lang w:val="uk-UA"/>
              </w:rPr>
            </w:pPr>
            <w:r w:rsidRPr="00304F4C">
              <w:rPr>
                <w:sz w:val="22"/>
                <w:lang w:val="uk-UA"/>
              </w:rPr>
              <w:t>підпункти 2 та 3 викласти в такій редакції:</w:t>
            </w:r>
          </w:p>
          <w:p w:rsidR="004F3510" w:rsidRPr="00304F4C" w:rsidRDefault="004F3510" w:rsidP="004F3510">
            <w:pPr>
              <w:rPr>
                <w:sz w:val="22"/>
                <w:lang w:val="uk-UA"/>
              </w:rPr>
            </w:pPr>
          </w:p>
          <w:p w:rsidR="004F3510" w:rsidRDefault="004F3510" w:rsidP="004F3510">
            <w:pPr>
              <w:pStyle w:val="a5"/>
              <w:spacing w:before="0" w:beforeAutospacing="0" w:after="0" w:afterAutospacing="0"/>
              <w:ind w:right="113"/>
              <w:jc w:val="both"/>
              <w:rPr>
                <w:sz w:val="22"/>
                <w:lang w:val="uk-UA"/>
              </w:rPr>
            </w:pPr>
            <w:r w:rsidRPr="00304F4C">
              <w:rPr>
                <w:rFonts w:eastAsia="Calibri"/>
                <w:sz w:val="22"/>
                <w:lang w:val="uk-UA"/>
              </w:rPr>
              <w:t>«</w:t>
            </w:r>
            <w:r w:rsidRPr="00304F4C">
              <w:rPr>
                <w:sz w:val="22"/>
                <w:lang w:val="uk-UA"/>
              </w:rPr>
              <w:t>2) для платника податку, яким складено податкові</w:t>
            </w:r>
            <w:r>
              <w:rPr>
                <w:sz w:val="22"/>
                <w:lang w:val="uk-UA"/>
              </w:rPr>
              <w:t xml:space="preserve"> </w:t>
            </w:r>
            <w:r w:rsidRPr="00304F4C">
              <w:rPr>
                <w:sz w:val="22"/>
                <w:lang w:val="uk-UA"/>
              </w:rPr>
              <w:t>накладні / розрахунки коригування, одночасно виконуються такі умови:</w:t>
            </w:r>
          </w:p>
          <w:p w:rsidR="004F3510" w:rsidRPr="00304F4C" w:rsidRDefault="004F3510" w:rsidP="004F3510">
            <w:pPr>
              <w:pStyle w:val="a5"/>
              <w:spacing w:before="0" w:beforeAutospacing="0" w:after="0" w:afterAutospacing="0"/>
              <w:ind w:right="113"/>
              <w:jc w:val="both"/>
              <w:rPr>
                <w:sz w:val="22"/>
                <w:lang w:val="uk-UA"/>
              </w:rPr>
            </w:pPr>
          </w:p>
          <w:p w:rsidR="004F3510" w:rsidRDefault="004F3510" w:rsidP="004F3510">
            <w:pPr>
              <w:pStyle w:val="a5"/>
              <w:spacing w:before="0" w:beforeAutospacing="0" w:after="0" w:afterAutospacing="0"/>
              <w:ind w:right="113"/>
              <w:jc w:val="both"/>
              <w:rPr>
                <w:sz w:val="22"/>
                <w:lang w:val="uk-UA"/>
              </w:rPr>
            </w:pPr>
            <w:r w:rsidRPr="00304F4C">
              <w:rPr>
                <w:sz w:val="22"/>
                <w:lang w:val="uk-UA"/>
              </w:rPr>
              <w:t>обсяг постачання, зазначений таким платником податку в податкових накладних / розрахунках коригування (крім розрахунків коригування, поданих для реєстрації в іншому місяці, ніж місяць, у якому вони складені), зареєстрованих у Реєстрі в поточному місяці, з урахуванням поданої для реєстрації в Реєстрі податкової накладної / розрахунку коригування, становить менше ніж 1 млн гривень;</w:t>
            </w:r>
          </w:p>
          <w:p w:rsidR="004F3510" w:rsidRPr="00304F4C" w:rsidRDefault="004F3510" w:rsidP="004F3510">
            <w:pPr>
              <w:pStyle w:val="a5"/>
              <w:spacing w:before="0" w:beforeAutospacing="0" w:after="0" w:afterAutospacing="0"/>
              <w:ind w:right="113"/>
              <w:jc w:val="both"/>
              <w:rPr>
                <w:sz w:val="22"/>
                <w:lang w:val="uk-UA"/>
              </w:rPr>
            </w:pPr>
          </w:p>
          <w:p w:rsidR="004F3510" w:rsidRDefault="004F3510" w:rsidP="004F3510">
            <w:pPr>
              <w:pStyle w:val="a5"/>
              <w:spacing w:before="0" w:beforeAutospacing="0" w:after="0" w:afterAutospacing="0"/>
              <w:ind w:right="113"/>
              <w:jc w:val="both"/>
              <w:rPr>
                <w:sz w:val="22"/>
                <w:lang w:val="uk-UA"/>
              </w:rPr>
            </w:pPr>
            <w:r w:rsidRPr="00304F4C">
              <w:rPr>
                <w:sz w:val="22"/>
                <w:lang w:val="uk-UA"/>
              </w:rPr>
              <w:t>обсяг постачання, зазначений таким платником податку в податкових накладних / розрахунках коригування (крім розрахунків коригування, поданих для реєстрації в іншому місяці, ніж місяць, у якому вони складені), зареєстрованих у Реєстрі в поточному місяці, з урахуванням поданої для реєстрації в Реєстрі податкової накладної / розрахунку коригування за операціями з одним отримувачем – платником податку, не перевищує 100 тис. гривень;</w:t>
            </w:r>
          </w:p>
          <w:p w:rsidR="004F3510" w:rsidRDefault="004F3510" w:rsidP="004F3510">
            <w:pPr>
              <w:pStyle w:val="a5"/>
              <w:spacing w:before="0" w:beforeAutospacing="0" w:after="0" w:afterAutospacing="0"/>
              <w:ind w:right="113"/>
              <w:jc w:val="center"/>
              <w:rPr>
                <w:sz w:val="22"/>
                <w:lang w:val="uk-UA"/>
              </w:rPr>
            </w:pPr>
            <w:r w:rsidRPr="00304F4C">
              <w:rPr>
                <w:sz w:val="22"/>
                <w:lang w:val="uk-UA"/>
              </w:rPr>
              <w:t>…</w:t>
            </w:r>
          </w:p>
          <w:p w:rsidR="004F3510" w:rsidRDefault="004F3510" w:rsidP="004F3510">
            <w:pPr>
              <w:pStyle w:val="a5"/>
              <w:spacing w:before="0" w:beforeAutospacing="0" w:after="0" w:afterAutospacing="0"/>
              <w:ind w:right="113"/>
              <w:jc w:val="both"/>
              <w:rPr>
                <w:sz w:val="22"/>
                <w:lang w:val="uk-UA"/>
              </w:rPr>
            </w:pPr>
            <w:r w:rsidRPr="00A90C5A">
              <w:rPr>
                <w:sz w:val="22"/>
                <w:lang w:val="uk-UA"/>
              </w:rPr>
              <w:t>3) одночасно виконуються такі умови:</w:t>
            </w:r>
          </w:p>
          <w:p w:rsidR="004F3510" w:rsidRPr="00A90C5A" w:rsidRDefault="004F3510" w:rsidP="004F3510">
            <w:pPr>
              <w:pStyle w:val="a5"/>
              <w:spacing w:before="0" w:beforeAutospacing="0" w:after="0" w:afterAutospacing="0"/>
              <w:ind w:right="113"/>
              <w:jc w:val="both"/>
              <w:rPr>
                <w:sz w:val="22"/>
                <w:lang w:val="uk-UA"/>
              </w:rPr>
            </w:pPr>
          </w:p>
          <w:p w:rsidR="004F3510" w:rsidRDefault="004F3510" w:rsidP="004F3510">
            <w:pPr>
              <w:pStyle w:val="a5"/>
              <w:spacing w:before="0" w:beforeAutospacing="0" w:after="0" w:afterAutospacing="0"/>
              <w:ind w:right="113"/>
              <w:jc w:val="both"/>
              <w:rPr>
                <w:sz w:val="22"/>
                <w:lang w:val="uk-UA"/>
              </w:rPr>
            </w:pPr>
            <w:r w:rsidRPr="00A90C5A">
              <w:rPr>
                <w:sz w:val="22"/>
                <w:lang w:val="uk-UA"/>
              </w:rPr>
              <w:t>загальна сума податку на додану вартість з вироблених в Україні товарів (робіт, послуг), сплачена платником податку впродовж 12 календарних місяців, що передують місяцю, у якому прийнято для реєстрації в Реєстрі податкову накладну / розрахунок коригування, становить більше ніж 10  млн  гривень;</w:t>
            </w:r>
          </w:p>
          <w:p w:rsidR="004F3510" w:rsidRPr="00A90C5A" w:rsidRDefault="004F3510" w:rsidP="004F3510">
            <w:pPr>
              <w:pStyle w:val="a5"/>
              <w:spacing w:before="0" w:beforeAutospacing="0" w:after="0" w:afterAutospacing="0"/>
              <w:ind w:right="113"/>
              <w:jc w:val="both"/>
              <w:rPr>
                <w:sz w:val="22"/>
                <w:lang w:val="uk-UA"/>
              </w:rPr>
            </w:pPr>
          </w:p>
          <w:p w:rsidR="004F3510" w:rsidRPr="00A90C5A" w:rsidRDefault="004F3510" w:rsidP="004F3510">
            <w:pPr>
              <w:pStyle w:val="a5"/>
              <w:spacing w:before="0" w:beforeAutospacing="0" w:after="0" w:afterAutospacing="0"/>
              <w:ind w:right="113"/>
              <w:jc w:val="both"/>
              <w:rPr>
                <w:sz w:val="22"/>
                <w:lang w:val="uk-UA"/>
              </w:rPr>
            </w:pPr>
            <w:r w:rsidRPr="00A90C5A">
              <w:rPr>
                <w:sz w:val="22"/>
                <w:lang w:val="uk-UA"/>
              </w:rPr>
              <w:t>загальна сума податку на додану вартість, задекларована платником податку за останні 12 звітних (податкових) періодів, за який настав граничний строк сплати, становить більше ніж 10 млн гривень;</w:t>
            </w:r>
          </w:p>
        </w:tc>
        <w:tc>
          <w:tcPr>
            <w:tcW w:w="4394" w:type="dxa"/>
          </w:tcPr>
          <w:p w:rsidR="004F3510" w:rsidRDefault="004F3510" w:rsidP="004F3510">
            <w:pPr>
              <w:pStyle w:val="a5"/>
              <w:spacing w:before="0" w:beforeAutospacing="0" w:after="0" w:afterAutospacing="0"/>
              <w:ind w:right="113"/>
              <w:jc w:val="both"/>
              <w:rPr>
                <w:sz w:val="22"/>
                <w:szCs w:val="28"/>
                <w:lang w:val="uk-UA"/>
              </w:rPr>
            </w:pPr>
            <w:r w:rsidRPr="00304F4C">
              <w:rPr>
                <w:sz w:val="22"/>
                <w:szCs w:val="28"/>
                <w:lang w:val="uk-UA"/>
              </w:rPr>
              <w:t>4. У пункті 3:</w:t>
            </w:r>
          </w:p>
          <w:p w:rsidR="004F3510" w:rsidRPr="00304F4C" w:rsidRDefault="004F3510" w:rsidP="004F3510">
            <w:pPr>
              <w:pStyle w:val="a5"/>
              <w:spacing w:before="0" w:beforeAutospacing="0" w:after="0" w:afterAutospacing="0"/>
              <w:ind w:right="113"/>
              <w:jc w:val="both"/>
              <w:rPr>
                <w:sz w:val="22"/>
                <w:szCs w:val="28"/>
                <w:lang w:val="uk-UA"/>
              </w:rPr>
            </w:pPr>
          </w:p>
          <w:p w:rsidR="004F3510" w:rsidRDefault="004F3510" w:rsidP="004F3510">
            <w:pPr>
              <w:pStyle w:val="a5"/>
              <w:spacing w:before="0" w:beforeAutospacing="0" w:after="0" w:afterAutospacing="0"/>
              <w:ind w:right="113"/>
              <w:jc w:val="both"/>
              <w:rPr>
                <w:sz w:val="22"/>
                <w:szCs w:val="28"/>
                <w:lang w:val="uk-UA"/>
              </w:rPr>
            </w:pPr>
            <w:r w:rsidRPr="00304F4C">
              <w:rPr>
                <w:sz w:val="22"/>
                <w:szCs w:val="28"/>
                <w:lang w:val="uk-UA"/>
              </w:rPr>
              <w:t>підпункти 2 та 3 викласти в такій редакції:</w:t>
            </w:r>
          </w:p>
          <w:p w:rsidR="004F3510" w:rsidRPr="00304F4C" w:rsidRDefault="004F3510" w:rsidP="004F3510">
            <w:pPr>
              <w:pStyle w:val="a5"/>
              <w:spacing w:before="0" w:beforeAutospacing="0" w:after="0" w:afterAutospacing="0"/>
              <w:ind w:right="113"/>
              <w:jc w:val="both"/>
              <w:rPr>
                <w:sz w:val="22"/>
                <w:szCs w:val="28"/>
                <w:lang w:val="uk-UA"/>
              </w:rPr>
            </w:pPr>
          </w:p>
          <w:p w:rsidR="004F3510" w:rsidRPr="00304F4C" w:rsidRDefault="004F3510" w:rsidP="004F3510">
            <w:pPr>
              <w:pStyle w:val="a5"/>
              <w:spacing w:before="0" w:beforeAutospacing="0" w:after="0" w:afterAutospacing="0"/>
              <w:ind w:right="113"/>
              <w:jc w:val="both"/>
              <w:rPr>
                <w:sz w:val="22"/>
                <w:szCs w:val="28"/>
                <w:lang w:val="uk-UA"/>
              </w:rPr>
            </w:pPr>
            <w:r w:rsidRPr="00304F4C">
              <w:rPr>
                <w:sz w:val="22"/>
                <w:szCs w:val="28"/>
                <w:lang w:val="uk-UA"/>
              </w:rPr>
              <w:t>«2) для платника податку, яким складено</w:t>
            </w:r>
          </w:p>
          <w:p w:rsidR="004F3510" w:rsidRDefault="004F3510" w:rsidP="004F3510">
            <w:pPr>
              <w:pStyle w:val="a5"/>
              <w:spacing w:before="0" w:beforeAutospacing="0" w:after="0" w:afterAutospacing="0"/>
              <w:ind w:right="113"/>
              <w:jc w:val="both"/>
              <w:rPr>
                <w:sz w:val="22"/>
                <w:szCs w:val="28"/>
                <w:lang w:val="uk-UA"/>
              </w:rPr>
            </w:pPr>
            <w:r w:rsidRPr="00304F4C">
              <w:rPr>
                <w:sz w:val="22"/>
                <w:szCs w:val="28"/>
                <w:lang w:val="uk-UA"/>
              </w:rPr>
              <w:t>податкові накладні / розрахунки коригування,</w:t>
            </w:r>
            <w:r>
              <w:rPr>
                <w:sz w:val="22"/>
                <w:szCs w:val="28"/>
                <w:lang w:val="uk-UA"/>
              </w:rPr>
              <w:t xml:space="preserve"> </w:t>
            </w:r>
            <w:r w:rsidRPr="00304F4C">
              <w:rPr>
                <w:sz w:val="22"/>
                <w:szCs w:val="28"/>
                <w:lang w:val="uk-UA"/>
              </w:rPr>
              <w:t>одночасно виконуються такі умови:</w:t>
            </w:r>
          </w:p>
          <w:p w:rsidR="004F3510" w:rsidRPr="00304F4C" w:rsidRDefault="004F3510" w:rsidP="004F3510">
            <w:pPr>
              <w:pStyle w:val="a5"/>
              <w:spacing w:before="0" w:beforeAutospacing="0" w:after="0" w:afterAutospacing="0"/>
              <w:ind w:right="113"/>
              <w:jc w:val="both"/>
              <w:rPr>
                <w:sz w:val="22"/>
                <w:szCs w:val="28"/>
                <w:lang w:val="uk-UA"/>
              </w:rPr>
            </w:pPr>
          </w:p>
          <w:p w:rsidR="004F3510" w:rsidRPr="00304F4C" w:rsidRDefault="004F3510" w:rsidP="004F3510">
            <w:pPr>
              <w:pStyle w:val="a5"/>
              <w:spacing w:before="0" w:beforeAutospacing="0" w:after="0" w:afterAutospacing="0"/>
              <w:ind w:right="113"/>
              <w:jc w:val="both"/>
              <w:rPr>
                <w:sz w:val="22"/>
                <w:szCs w:val="28"/>
                <w:lang w:val="uk-UA"/>
              </w:rPr>
            </w:pPr>
            <w:r w:rsidRPr="00304F4C">
              <w:rPr>
                <w:sz w:val="22"/>
                <w:szCs w:val="28"/>
                <w:lang w:val="uk-UA"/>
              </w:rPr>
              <w:t>обсяг постачання, зазначений таким платником</w:t>
            </w:r>
            <w:r>
              <w:rPr>
                <w:sz w:val="22"/>
                <w:szCs w:val="28"/>
                <w:lang w:val="uk-UA"/>
              </w:rPr>
              <w:t xml:space="preserve"> </w:t>
            </w:r>
            <w:r w:rsidRPr="00304F4C">
              <w:rPr>
                <w:sz w:val="22"/>
                <w:szCs w:val="28"/>
                <w:lang w:val="uk-UA"/>
              </w:rPr>
              <w:t>податку в податкових накладних / розрахунках</w:t>
            </w:r>
            <w:r>
              <w:rPr>
                <w:sz w:val="22"/>
                <w:szCs w:val="28"/>
                <w:lang w:val="uk-UA"/>
              </w:rPr>
              <w:t xml:space="preserve"> </w:t>
            </w:r>
            <w:r w:rsidRPr="00304F4C">
              <w:rPr>
                <w:sz w:val="22"/>
                <w:szCs w:val="28"/>
                <w:lang w:val="uk-UA"/>
              </w:rPr>
              <w:t>коригування (крім розрахунків коригування,</w:t>
            </w:r>
            <w:r>
              <w:rPr>
                <w:sz w:val="22"/>
                <w:szCs w:val="28"/>
                <w:lang w:val="uk-UA"/>
              </w:rPr>
              <w:t xml:space="preserve"> </w:t>
            </w:r>
            <w:r w:rsidRPr="00304F4C">
              <w:rPr>
                <w:sz w:val="22"/>
                <w:szCs w:val="28"/>
                <w:lang w:val="uk-UA"/>
              </w:rPr>
              <w:t>поданих для реєстрації в іншому місяці, ніж місяць,</w:t>
            </w:r>
          </w:p>
          <w:p w:rsidR="004F3510" w:rsidRDefault="004F3510" w:rsidP="004F3510">
            <w:pPr>
              <w:pStyle w:val="a5"/>
              <w:spacing w:before="0" w:beforeAutospacing="0" w:after="0" w:afterAutospacing="0"/>
              <w:ind w:right="113"/>
              <w:jc w:val="both"/>
              <w:rPr>
                <w:sz w:val="22"/>
                <w:szCs w:val="28"/>
                <w:lang w:val="uk-UA"/>
              </w:rPr>
            </w:pPr>
            <w:r w:rsidRPr="00304F4C">
              <w:rPr>
                <w:sz w:val="22"/>
                <w:szCs w:val="28"/>
                <w:lang w:val="uk-UA"/>
              </w:rPr>
              <w:t>у якому вони складені), зареєстрованих у Реєстрі в</w:t>
            </w:r>
            <w:r>
              <w:rPr>
                <w:sz w:val="22"/>
                <w:szCs w:val="28"/>
                <w:lang w:val="uk-UA"/>
              </w:rPr>
              <w:t xml:space="preserve"> </w:t>
            </w:r>
            <w:r w:rsidRPr="00304F4C">
              <w:rPr>
                <w:sz w:val="22"/>
                <w:szCs w:val="28"/>
                <w:lang w:val="uk-UA"/>
              </w:rPr>
              <w:t>поточному місяці, з урахуванням поданої для</w:t>
            </w:r>
            <w:r>
              <w:rPr>
                <w:sz w:val="22"/>
                <w:szCs w:val="28"/>
                <w:lang w:val="uk-UA"/>
              </w:rPr>
              <w:t xml:space="preserve"> </w:t>
            </w:r>
            <w:r w:rsidRPr="00304F4C">
              <w:rPr>
                <w:sz w:val="22"/>
                <w:szCs w:val="28"/>
                <w:lang w:val="uk-UA"/>
              </w:rPr>
              <w:t>реєстрації в Реєстрі податкової накладної /</w:t>
            </w:r>
            <w:r>
              <w:rPr>
                <w:sz w:val="22"/>
                <w:szCs w:val="28"/>
                <w:lang w:val="uk-UA"/>
              </w:rPr>
              <w:t xml:space="preserve"> </w:t>
            </w:r>
            <w:r w:rsidRPr="00304F4C">
              <w:rPr>
                <w:sz w:val="22"/>
                <w:szCs w:val="28"/>
                <w:lang w:val="uk-UA"/>
              </w:rPr>
              <w:t>розрахунку коригування, становить менше ніж 3</w:t>
            </w:r>
            <w:r>
              <w:rPr>
                <w:sz w:val="22"/>
                <w:szCs w:val="28"/>
                <w:lang w:val="uk-UA"/>
              </w:rPr>
              <w:t xml:space="preserve"> </w:t>
            </w:r>
            <w:r w:rsidRPr="00304F4C">
              <w:rPr>
                <w:sz w:val="22"/>
                <w:szCs w:val="28"/>
                <w:lang w:val="uk-UA"/>
              </w:rPr>
              <w:t>млн гривень;</w:t>
            </w:r>
          </w:p>
          <w:p w:rsidR="004F3510" w:rsidRPr="00304F4C" w:rsidRDefault="004F3510" w:rsidP="004F3510">
            <w:pPr>
              <w:pStyle w:val="a5"/>
              <w:spacing w:before="0" w:beforeAutospacing="0" w:after="0" w:afterAutospacing="0"/>
              <w:ind w:right="113"/>
              <w:jc w:val="both"/>
              <w:rPr>
                <w:sz w:val="22"/>
                <w:szCs w:val="28"/>
                <w:lang w:val="uk-UA"/>
              </w:rPr>
            </w:pPr>
          </w:p>
          <w:p w:rsidR="004F3510" w:rsidRPr="00304F4C" w:rsidRDefault="004F3510" w:rsidP="004F3510">
            <w:pPr>
              <w:pStyle w:val="a5"/>
              <w:spacing w:before="0" w:beforeAutospacing="0" w:after="0" w:afterAutospacing="0"/>
              <w:ind w:right="113"/>
              <w:jc w:val="both"/>
              <w:rPr>
                <w:sz w:val="22"/>
                <w:szCs w:val="28"/>
                <w:lang w:val="uk-UA"/>
              </w:rPr>
            </w:pPr>
            <w:r w:rsidRPr="00304F4C">
              <w:rPr>
                <w:sz w:val="22"/>
                <w:szCs w:val="28"/>
                <w:lang w:val="uk-UA"/>
              </w:rPr>
              <w:t>обсяг постачання, зазначений таким платником</w:t>
            </w:r>
            <w:r>
              <w:rPr>
                <w:sz w:val="22"/>
                <w:szCs w:val="28"/>
                <w:lang w:val="uk-UA"/>
              </w:rPr>
              <w:t xml:space="preserve"> </w:t>
            </w:r>
            <w:r w:rsidRPr="00304F4C">
              <w:rPr>
                <w:sz w:val="22"/>
                <w:szCs w:val="28"/>
                <w:lang w:val="uk-UA"/>
              </w:rPr>
              <w:t>податку в податкових накладних / розрахунках</w:t>
            </w:r>
            <w:r>
              <w:rPr>
                <w:sz w:val="22"/>
                <w:szCs w:val="28"/>
                <w:lang w:val="uk-UA"/>
              </w:rPr>
              <w:t xml:space="preserve"> </w:t>
            </w:r>
            <w:r w:rsidRPr="00304F4C">
              <w:rPr>
                <w:sz w:val="22"/>
                <w:szCs w:val="28"/>
                <w:lang w:val="uk-UA"/>
              </w:rPr>
              <w:t>коригування (крім розрахунків коригування,</w:t>
            </w:r>
            <w:r>
              <w:rPr>
                <w:sz w:val="22"/>
                <w:szCs w:val="28"/>
                <w:lang w:val="uk-UA"/>
              </w:rPr>
              <w:t xml:space="preserve"> </w:t>
            </w:r>
            <w:r w:rsidRPr="00304F4C">
              <w:rPr>
                <w:sz w:val="22"/>
                <w:szCs w:val="28"/>
                <w:lang w:val="uk-UA"/>
              </w:rPr>
              <w:t>поданих для реєстрації в іншому місяці, ніж місяць,</w:t>
            </w:r>
          </w:p>
          <w:p w:rsidR="004F3510" w:rsidRDefault="004F3510" w:rsidP="004F3510">
            <w:pPr>
              <w:pStyle w:val="a5"/>
              <w:spacing w:before="0" w:beforeAutospacing="0" w:after="0" w:afterAutospacing="0"/>
              <w:ind w:right="113"/>
              <w:jc w:val="both"/>
              <w:rPr>
                <w:sz w:val="22"/>
                <w:szCs w:val="28"/>
                <w:lang w:val="uk-UA"/>
              </w:rPr>
            </w:pPr>
            <w:r w:rsidRPr="00304F4C">
              <w:rPr>
                <w:sz w:val="22"/>
                <w:szCs w:val="28"/>
                <w:lang w:val="uk-UA"/>
              </w:rPr>
              <w:t>у якому вони складені), зареєстрованих у Реєстрі в</w:t>
            </w:r>
            <w:r>
              <w:rPr>
                <w:sz w:val="22"/>
                <w:szCs w:val="28"/>
                <w:lang w:val="uk-UA"/>
              </w:rPr>
              <w:t xml:space="preserve"> </w:t>
            </w:r>
            <w:r w:rsidRPr="00304F4C">
              <w:rPr>
                <w:sz w:val="22"/>
                <w:szCs w:val="28"/>
                <w:lang w:val="uk-UA"/>
              </w:rPr>
              <w:t>поточному місяці, з урахуванням поданої для</w:t>
            </w:r>
            <w:r>
              <w:rPr>
                <w:sz w:val="22"/>
                <w:szCs w:val="28"/>
                <w:lang w:val="uk-UA"/>
              </w:rPr>
              <w:t xml:space="preserve"> </w:t>
            </w:r>
            <w:r w:rsidRPr="00304F4C">
              <w:rPr>
                <w:sz w:val="22"/>
                <w:szCs w:val="28"/>
                <w:lang w:val="uk-UA"/>
              </w:rPr>
              <w:t>реєстрації в Реєстрі податкової накладної /</w:t>
            </w:r>
            <w:r>
              <w:rPr>
                <w:sz w:val="22"/>
                <w:szCs w:val="28"/>
                <w:lang w:val="uk-UA"/>
              </w:rPr>
              <w:t xml:space="preserve"> </w:t>
            </w:r>
            <w:r w:rsidRPr="00304F4C">
              <w:rPr>
                <w:sz w:val="22"/>
                <w:szCs w:val="28"/>
                <w:lang w:val="uk-UA"/>
              </w:rPr>
              <w:t>розрахунку коригування за операціями з одним</w:t>
            </w:r>
            <w:r>
              <w:rPr>
                <w:sz w:val="22"/>
                <w:szCs w:val="28"/>
                <w:lang w:val="uk-UA"/>
              </w:rPr>
              <w:t xml:space="preserve"> </w:t>
            </w:r>
            <w:r w:rsidRPr="00304F4C">
              <w:rPr>
                <w:sz w:val="22"/>
                <w:szCs w:val="28"/>
                <w:lang w:val="uk-UA"/>
              </w:rPr>
              <w:t>отримувачем – платником податку, не</w:t>
            </w:r>
            <w:r>
              <w:rPr>
                <w:sz w:val="22"/>
                <w:szCs w:val="28"/>
                <w:lang w:val="uk-UA"/>
              </w:rPr>
              <w:t xml:space="preserve"> </w:t>
            </w:r>
            <w:r w:rsidRPr="00304F4C">
              <w:rPr>
                <w:sz w:val="22"/>
                <w:szCs w:val="28"/>
                <w:lang w:val="uk-UA"/>
              </w:rPr>
              <w:t>перевищує 500 тис. гривень;</w:t>
            </w:r>
          </w:p>
          <w:p w:rsidR="004F3510" w:rsidRDefault="004F3510" w:rsidP="004F3510">
            <w:pPr>
              <w:pStyle w:val="a5"/>
              <w:spacing w:before="0" w:beforeAutospacing="0" w:after="0" w:afterAutospacing="0"/>
              <w:ind w:right="113"/>
              <w:jc w:val="center"/>
              <w:rPr>
                <w:sz w:val="22"/>
                <w:lang w:val="uk-UA"/>
              </w:rPr>
            </w:pPr>
            <w:r w:rsidRPr="00304F4C">
              <w:rPr>
                <w:sz w:val="22"/>
                <w:lang w:val="uk-UA"/>
              </w:rPr>
              <w:t>…</w:t>
            </w:r>
          </w:p>
          <w:p w:rsidR="004F3510" w:rsidRDefault="004F3510" w:rsidP="004F3510">
            <w:pPr>
              <w:pStyle w:val="a5"/>
              <w:spacing w:before="0" w:beforeAutospacing="0" w:after="0" w:afterAutospacing="0"/>
              <w:ind w:right="113"/>
              <w:jc w:val="both"/>
              <w:rPr>
                <w:sz w:val="22"/>
                <w:lang w:val="uk-UA"/>
              </w:rPr>
            </w:pPr>
            <w:r w:rsidRPr="00A90C5A">
              <w:rPr>
                <w:sz w:val="22"/>
                <w:lang w:val="uk-UA"/>
              </w:rPr>
              <w:t>3) одночасно виконуються такі умови:</w:t>
            </w:r>
          </w:p>
          <w:p w:rsidR="004F3510" w:rsidRDefault="004F3510" w:rsidP="004F3510">
            <w:pPr>
              <w:pStyle w:val="a5"/>
              <w:spacing w:before="0" w:beforeAutospacing="0" w:after="0" w:afterAutospacing="0"/>
              <w:ind w:right="113"/>
              <w:jc w:val="both"/>
              <w:rPr>
                <w:sz w:val="22"/>
                <w:lang w:val="uk-UA"/>
              </w:rPr>
            </w:pPr>
          </w:p>
          <w:p w:rsidR="004F3510" w:rsidRPr="00A90C5A" w:rsidRDefault="004F3510" w:rsidP="004F3510">
            <w:pPr>
              <w:pStyle w:val="a5"/>
              <w:spacing w:before="0" w:beforeAutospacing="0" w:after="0" w:afterAutospacing="0"/>
              <w:ind w:right="113"/>
              <w:jc w:val="both"/>
              <w:rPr>
                <w:sz w:val="22"/>
                <w:szCs w:val="28"/>
                <w:lang w:val="uk-UA"/>
              </w:rPr>
            </w:pPr>
            <w:r w:rsidRPr="00A90C5A">
              <w:rPr>
                <w:sz w:val="22"/>
                <w:szCs w:val="28"/>
                <w:lang w:val="uk-UA"/>
              </w:rPr>
              <w:t>загальна сума податку на додану вартість з</w:t>
            </w:r>
          </w:p>
          <w:p w:rsidR="004F3510" w:rsidRDefault="004F3510" w:rsidP="004F3510">
            <w:pPr>
              <w:pStyle w:val="a5"/>
              <w:spacing w:before="0" w:beforeAutospacing="0" w:after="0" w:afterAutospacing="0"/>
              <w:ind w:right="113"/>
              <w:jc w:val="both"/>
              <w:rPr>
                <w:sz w:val="22"/>
                <w:szCs w:val="28"/>
                <w:lang w:val="uk-UA"/>
              </w:rPr>
            </w:pPr>
            <w:r w:rsidRPr="00A90C5A">
              <w:rPr>
                <w:sz w:val="22"/>
                <w:szCs w:val="28"/>
                <w:lang w:val="uk-UA"/>
              </w:rPr>
              <w:t>вироблених в Україні товарів (робіт, послуг),</w:t>
            </w:r>
            <w:r>
              <w:rPr>
                <w:sz w:val="22"/>
                <w:szCs w:val="28"/>
                <w:lang w:val="uk-UA"/>
              </w:rPr>
              <w:t xml:space="preserve"> </w:t>
            </w:r>
            <w:r w:rsidRPr="00A90C5A">
              <w:rPr>
                <w:sz w:val="22"/>
                <w:szCs w:val="28"/>
                <w:lang w:val="uk-UA"/>
              </w:rPr>
              <w:t>сплачена платником податку впродовж 12</w:t>
            </w:r>
            <w:r>
              <w:rPr>
                <w:sz w:val="22"/>
                <w:szCs w:val="28"/>
                <w:lang w:val="uk-UA"/>
              </w:rPr>
              <w:t xml:space="preserve"> </w:t>
            </w:r>
            <w:r w:rsidRPr="00A90C5A">
              <w:rPr>
                <w:sz w:val="22"/>
                <w:szCs w:val="28"/>
                <w:lang w:val="uk-UA"/>
              </w:rPr>
              <w:t>календарних місяців, що передують місяцю, у</w:t>
            </w:r>
            <w:r>
              <w:rPr>
                <w:sz w:val="22"/>
                <w:szCs w:val="28"/>
                <w:lang w:val="uk-UA"/>
              </w:rPr>
              <w:t xml:space="preserve"> </w:t>
            </w:r>
            <w:r w:rsidRPr="00A90C5A">
              <w:rPr>
                <w:sz w:val="22"/>
                <w:szCs w:val="28"/>
                <w:lang w:val="uk-UA"/>
              </w:rPr>
              <w:t>якому прийнято для реєстрації в Реєстрі податкову</w:t>
            </w:r>
            <w:r>
              <w:rPr>
                <w:sz w:val="22"/>
                <w:szCs w:val="28"/>
                <w:lang w:val="uk-UA"/>
              </w:rPr>
              <w:t xml:space="preserve"> </w:t>
            </w:r>
            <w:r w:rsidRPr="00A90C5A">
              <w:rPr>
                <w:sz w:val="22"/>
                <w:szCs w:val="28"/>
                <w:lang w:val="uk-UA"/>
              </w:rPr>
              <w:t>накладну / розрахунок коригування, становить</w:t>
            </w:r>
            <w:r>
              <w:rPr>
                <w:sz w:val="22"/>
                <w:szCs w:val="28"/>
                <w:lang w:val="uk-UA"/>
              </w:rPr>
              <w:t xml:space="preserve"> </w:t>
            </w:r>
            <w:r w:rsidRPr="00A90C5A">
              <w:rPr>
                <w:sz w:val="22"/>
                <w:szCs w:val="28"/>
                <w:lang w:val="uk-UA"/>
              </w:rPr>
              <w:t>більше ніж 500 тис. гривень;</w:t>
            </w:r>
          </w:p>
          <w:p w:rsidR="004F3510" w:rsidRPr="00A90C5A" w:rsidRDefault="004F3510" w:rsidP="004F3510">
            <w:pPr>
              <w:pStyle w:val="a5"/>
              <w:spacing w:before="0" w:beforeAutospacing="0" w:after="0" w:afterAutospacing="0"/>
              <w:ind w:right="113"/>
              <w:jc w:val="both"/>
              <w:rPr>
                <w:sz w:val="22"/>
                <w:szCs w:val="28"/>
                <w:lang w:val="uk-UA"/>
              </w:rPr>
            </w:pPr>
          </w:p>
          <w:p w:rsidR="004F3510" w:rsidRPr="00A90C5A" w:rsidRDefault="004F3510" w:rsidP="004F3510">
            <w:pPr>
              <w:pStyle w:val="a5"/>
              <w:spacing w:before="0" w:beforeAutospacing="0" w:after="0" w:afterAutospacing="0"/>
              <w:ind w:right="113"/>
              <w:jc w:val="both"/>
              <w:rPr>
                <w:sz w:val="22"/>
                <w:szCs w:val="28"/>
                <w:lang w:val="uk-UA"/>
              </w:rPr>
            </w:pPr>
            <w:r w:rsidRPr="00A90C5A">
              <w:rPr>
                <w:sz w:val="22"/>
                <w:szCs w:val="28"/>
                <w:lang w:val="uk-UA"/>
              </w:rPr>
              <w:t>загальна сума податку на додану вартість,</w:t>
            </w:r>
          </w:p>
          <w:p w:rsidR="004F3510" w:rsidRPr="00591A7D" w:rsidRDefault="004F3510" w:rsidP="004F3510">
            <w:pPr>
              <w:pStyle w:val="a5"/>
              <w:spacing w:before="0" w:beforeAutospacing="0" w:after="0" w:afterAutospacing="0"/>
              <w:ind w:right="113"/>
              <w:jc w:val="both"/>
              <w:rPr>
                <w:sz w:val="22"/>
                <w:szCs w:val="28"/>
                <w:lang w:val="uk-UA"/>
              </w:rPr>
            </w:pPr>
            <w:r w:rsidRPr="00A90C5A">
              <w:rPr>
                <w:sz w:val="22"/>
                <w:szCs w:val="28"/>
                <w:lang w:val="uk-UA"/>
              </w:rPr>
              <w:t>задекларована платником податку за останні 12</w:t>
            </w:r>
            <w:r>
              <w:rPr>
                <w:sz w:val="22"/>
                <w:szCs w:val="28"/>
                <w:lang w:val="uk-UA"/>
              </w:rPr>
              <w:t xml:space="preserve"> </w:t>
            </w:r>
            <w:r w:rsidRPr="00A90C5A">
              <w:rPr>
                <w:sz w:val="22"/>
                <w:szCs w:val="28"/>
                <w:lang w:val="uk-UA"/>
              </w:rPr>
              <w:t>звітних (податкових) періодів, за який настав</w:t>
            </w:r>
            <w:r>
              <w:rPr>
                <w:sz w:val="22"/>
                <w:szCs w:val="28"/>
                <w:lang w:val="uk-UA"/>
              </w:rPr>
              <w:t xml:space="preserve"> </w:t>
            </w:r>
            <w:r w:rsidRPr="00A90C5A">
              <w:rPr>
                <w:sz w:val="22"/>
                <w:szCs w:val="28"/>
                <w:lang w:val="uk-UA"/>
              </w:rPr>
              <w:t>граничний строк сплати, становить більше ніж 500</w:t>
            </w:r>
            <w:r>
              <w:rPr>
                <w:sz w:val="22"/>
                <w:szCs w:val="28"/>
                <w:lang w:val="uk-UA"/>
              </w:rPr>
              <w:t xml:space="preserve"> </w:t>
            </w:r>
            <w:r w:rsidRPr="00A90C5A">
              <w:rPr>
                <w:sz w:val="22"/>
                <w:szCs w:val="28"/>
                <w:lang w:val="uk-UA"/>
              </w:rPr>
              <w:t>тис. гривень;</w:t>
            </w:r>
          </w:p>
        </w:tc>
        <w:tc>
          <w:tcPr>
            <w:tcW w:w="2693" w:type="dxa"/>
          </w:tcPr>
          <w:p w:rsidR="004F3510" w:rsidRPr="00304F4C" w:rsidRDefault="004F3510" w:rsidP="004F3510">
            <w:pPr>
              <w:jc w:val="center"/>
              <w:rPr>
                <w:lang w:val="uk-UA"/>
              </w:rPr>
            </w:pPr>
            <w:r w:rsidRPr="00A90C5A">
              <w:rPr>
                <w:sz w:val="22"/>
                <w:lang w:val="uk-UA"/>
              </w:rPr>
              <w:t>Американська торгівельна палата в Україні</w:t>
            </w:r>
          </w:p>
        </w:tc>
        <w:tc>
          <w:tcPr>
            <w:tcW w:w="1418" w:type="dxa"/>
          </w:tcPr>
          <w:p w:rsidR="004F3510" w:rsidRDefault="004F3510" w:rsidP="004F3510">
            <w:pPr>
              <w:jc w:val="center"/>
            </w:pPr>
            <w:r w:rsidRPr="00E44476">
              <w:rPr>
                <w:sz w:val="22"/>
                <w:szCs w:val="28"/>
                <w:lang w:val="uk-UA"/>
              </w:rPr>
              <w:t>не враховано</w:t>
            </w:r>
          </w:p>
        </w:tc>
        <w:tc>
          <w:tcPr>
            <w:tcW w:w="1701" w:type="dxa"/>
          </w:tcPr>
          <w:p w:rsidR="004F3510" w:rsidRDefault="004F3510" w:rsidP="004F3510">
            <w:pPr>
              <w:jc w:val="center"/>
            </w:pPr>
            <w:r w:rsidRPr="00A30E13">
              <w:rPr>
                <w:sz w:val="22"/>
                <w:szCs w:val="28"/>
                <w:lang w:val="uk-UA"/>
              </w:rPr>
              <w:t>–</w:t>
            </w:r>
          </w:p>
        </w:tc>
      </w:tr>
      <w:tr w:rsidR="007444A6" w:rsidRPr="0061534D" w:rsidTr="00A90C5A">
        <w:trPr>
          <w:trHeight w:val="70"/>
        </w:trPr>
        <w:tc>
          <w:tcPr>
            <w:tcW w:w="4395" w:type="dxa"/>
            <w:vAlign w:val="center"/>
          </w:tcPr>
          <w:p w:rsidR="007444A6" w:rsidRPr="00A90C5A" w:rsidRDefault="007444A6" w:rsidP="007444A6">
            <w:pPr>
              <w:pStyle w:val="a5"/>
              <w:spacing w:before="0" w:beforeAutospacing="0" w:after="0" w:afterAutospacing="0"/>
              <w:jc w:val="both"/>
              <w:rPr>
                <w:sz w:val="22"/>
                <w:szCs w:val="28"/>
                <w:lang w:val="uk-UA"/>
              </w:rPr>
            </w:pPr>
            <w:r w:rsidRPr="00A90C5A">
              <w:rPr>
                <w:sz w:val="22"/>
                <w:szCs w:val="28"/>
                <w:lang w:val="uk-UA"/>
              </w:rPr>
              <w:t>підпункти 6 та 7 викласти в такій редакції:</w:t>
            </w:r>
          </w:p>
          <w:p w:rsidR="007444A6" w:rsidRPr="00A90C5A" w:rsidRDefault="007444A6" w:rsidP="007444A6">
            <w:pPr>
              <w:rPr>
                <w:sz w:val="22"/>
                <w:szCs w:val="28"/>
                <w:lang w:val="uk-UA"/>
              </w:rPr>
            </w:pPr>
          </w:p>
          <w:p w:rsidR="007444A6" w:rsidRPr="00A90C5A" w:rsidRDefault="007444A6" w:rsidP="007444A6">
            <w:pPr>
              <w:jc w:val="both"/>
              <w:rPr>
                <w:sz w:val="22"/>
                <w:szCs w:val="28"/>
                <w:lang w:val="uk-UA"/>
              </w:rPr>
            </w:pPr>
            <w:r w:rsidRPr="00A90C5A">
              <w:rPr>
                <w:sz w:val="22"/>
                <w:szCs w:val="28"/>
                <w:lang w:val="uk-UA"/>
              </w:rPr>
              <w:t xml:space="preserve">«6) обсяг постачання, зазначений у поданій для реєстрації в Реєстрі податковій накладній, яка підлягає наданню отримувачу (покупцю), </w:t>
            </w:r>
            <w:r w:rsidRPr="00A90C5A">
              <w:rPr>
                <w:sz w:val="22"/>
                <w:szCs w:val="28"/>
                <w:lang w:val="uk-UA"/>
              </w:rPr>
              <w:br/>
              <w:t>не перевищує 10 тис. грн за умови, що стосовно платника податку немає чинного рішення про відповідність платника податку критеріям ризиковості платника податку та керівник – посадова особа такого платника податку є особою, яка займає аналогічну посаду не більше ніж у п’яти (включно) платників податків;</w:t>
            </w:r>
          </w:p>
          <w:p w:rsidR="007444A6" w:rsidRPr="00A90C5A" w:rsidRDefault="007444A6" w:rsidP="007444A6">
            <w:pPr>
              <w:rPr>
                <w:sz w:val="22"/>
                <w:szCs w:val="28"/>
                <w:lang w:val="uk-UA"/>
              </w:rPr>
            </w:pPr>
          </w:p>
          <w:p w:rsidR="007444A6" w:rsidRPr="00A90C5A" w:rsidRDefault="007444A6" w:rsidP="007444A6">
            <w:pPr>
              <w:jc w:val="both"/>
              <w:rPr>
                <w:sz w:val="22"/>
                <w:szCs w:val="28"/>
                <w:lang w:val="uk-UA"/>
              </w:rPr>
            </w:pPr>
            <w:r w:rsidRPr="00A90C5A">
              <w:rPr>
                <w:sz w:val="22"/>
                <w:szCs w:val="28"/>
                <w:lang w:val="uk-UA"/>
              </w:rPr>
              <w:t>7) загальна сума абсолютних значень коригування на зменшення суми компенсації вартості товару / послуги їхньому постачальнику та/або загальна сума абсолютних значень коригування на збільшення суми компенсації вартості товару / послуги їхньому постачальнику, зазначених платником податку в поданому для реєстрації Реєстрі розрахунку коригування до податкової накладної, не перевищує 10  тис.  грн за умови, що стосовно платника податку, який склав та / або подав для реєстрації розрахунок коригування, немає чинного рішення про відповідність платника податку критеріям ризиковості платника податку та керівник – посадова особа такого платника податку є особою, яка займає аналогічну посаду не більше ніж у п’яти (включно) платників податків.</w:t>
            </w:r>
          </w:p>
          <w:p w:rsidR="007444A6" w:rsidRPr="00A90C5A" w:rsidRDefault="007444A6" w:rsidP="007444A6">
            <w:pPr>
              <w:jc w:val="center"/>
              <w:rPr>
                <w:sz w:val="22"/>
                <w:szCs w:val="28"/>
                <w:lang w:val="uk-UA"/>
              </w:rPr>
            </w:pPr>
            <w:r>
              <w:rPr>
                <w:sz w:val="22"/>
                <w:szCs w:val="28"/>
                <w:lang w:val="uk-UA"/>
              </w:rPr>
              <w:t>…»</w:t>
            </w:r>
          </w:p>
        </w:tc>
        <w:tc>
          <w:tcPr>
            <w:tcW w:w="4394" w:type="dxa"/>
          </w:tcPr>
          <w:p w:rsidR="007444A6" w:rsidRPr="00A90C5A" w:rsidRDefault="007444A6" w:rsidP="007444A6">
            <w:pPr>
              <w:pStyle w:val="a5"/>
              <w:ind w:right="113"/>
              <w:jc w:val="both"/>
              <w:rPr>
                <w:sz w:val="22"/>
                <w:szCs w:val="28"/>
                <w:lang w:val="uk-UA"/>
              </w:rPr>
            </w:pPr>
            <w:r w:rsidRPr="00A90C5A">
              <w:rPr>
                <w:sz w:val="22"/>
                <w:szCs w:val="28"/>
                <w:lang w:val="uk-UA"/>
              </w:rPr>
              <w:t>підпункти 6 та 7 викласти в такій редакції:</w:t>
            </w:r>
          </w:p>
          <w:p w:rsidR="007444A6" w:rsidRDefault="007444A6" w:rsidP="007444A6">
            <w:pPr>
              <w:pStyle w:val="a5"/>
              <w:ind w:right="113"/>
              <w:jc w:val="both"/>
              <w:rPr>
                <w:sz w:val="22"/>
                <w:szCs w:val="28"/>
                <w:lang w:val="uk-UA"/>
              </w:rPr>
            </w:pPr>
            <w:r w:rsidRPr="00A90C5A">
              <w:rPr>
                <w:sz w:val="22"/>
                <w:szCs w:val="28"/>
                <w:lang w:val="uk-UA"/>
              </w:rPr>
              <w:t>«6) обсяг постачання, зазначений у поданій для</w:t>
            </w:r>
            <w:r>
              <w:rPr>
                <w:sz w:val="22"/>
                <w:szCs w:val="28"/>
                <w:lang w:val="uk-UA"/>
              </w:rPr>
              <w:t xml:space="preserve"> </w:t>
            </w:r>
            <w:r w:rsidRPr="00A90C5A">
              <w:rPr>
                <w:sz w:val="22"/>
                <w:szCs w:val="28"/>
                <w:lang w:val="uk-UA"/>
              </w:rPr>
              <w:t>реєстрації в Реєстрі податковій накладній, яка</w:t>
            </w:r>
            <w:r>
              <w:rPr>
                <w:sz w:val="22"/>
                <w:szCs w:val="28"/>
                <w:lang w:val="uk-UA"/>
              </w:rPr>
              <w:t xml:space="preserve"> </w:t>
            </w:r>
            <w:r w:rsidRPr="00A90C5A">
              <w:rPr>
                <w:sz w:val="22"/>
                <w:szCs w:val="28"/>
                <w:lang w:val="uk-UA"/>
              </w:rPr>
              <w:t>підлягає наданню отримувачу (покупцю),</w:t>
            </w:r>
            <w:r>
              <w:rPr>
                <w:sz w:val="22"/>
                <w:szCs w:val="28"/>
                <w:lang w:val="uk-UA"/>
              </w:rPr>
              <w:t xml:space="preserve"> </w:t>
            </w:r>
            <w:r w:rsidRPr="00A90C5A">
              <w:rPr>
                <w:sz w:val="22"/>
                <w:szCs w:val="28"/>
                <w:lang w:val="uk-UA"/>
              </w:rPr>
              <w:t>не перевищує 100 тис. грн за умови, що</w:t>
            </w:r>
            <w:r>
              <w:rPr>
                <w:sz w:val="22"/>
                <w:szCs w:val="28"/>
                <w:lang w:val="uk-UA"/>
              </w:rPr>
              <w:t xml:space="preserve"> </w:t>
            </w:r>
            <w:r w:rsidRPr="00A90C5A">
              <w:rPr>
                <w:sz w:val="22"/>
                <w:szCs w:val="28"/>
                <w:lang w:val="uk-UA"/>
              </w:rPr>
              <w:t>стосовно платника податку немає чинного рішення</w:t>
            </w:r>
            <w:r>
              <w:rPr>
                <w:sz w:val="22"/>
                <w:szCs w:val="28"/>
                <w:lang w:val="uk-UA"/>
              </w:rPr>
              <w:t xml:space="preserve"> </w:t>
            </w:r>
            <w:r w:rsidRPr="00A90C5A">
              <w:rPr>
                <w:sz w:val="22"/>
                <w:szCs w:val="28"/>
                <w:lang w:val="uk-UA"/>
              </w:rPr>
              <w:t>про відповідність платника податку критеріям</w:t>
            </w:r>
            <w:r>
              <w:rPr>
                <w:sz w:val="22"/>
                <w:szCs w:val="28"/>
                <w:lang w:val="uk-UA"/>
              </w:rPr>
              <w:t xml:space="preserve"> </w:t>
            </w:r>
            <w:r w:rsidRPr="00A90C5A">
              <w:rPr>
                <w:sz w:val="22"/>
                <w:szCs w:val="28"/>
                <w:lang w:val="uk-UA"/>
              </w:rPr>
              <w:t>ризиковості платника податку та керівник –</w:t>
            </w:r>
            <w:r>
              <w:rPr>
                <w:sz w:val="22"/>
                <w:szCs w:val="28"/>
                <w:lang w:val="uk-UA"/>
              </w:rPr>
              <w:t xml:space="preserve"> </w:t>
            </w:r>
            <w:r w:rsidRPr="00A90C5A">
              <w:rPr>
                <w:sz w:val="22"/>
                <w:szCs w:val="28"/>
                <w:lang w:val="uk-UA"/>
              </w:rPr>
              <w:t>посадова особа такого платника податку є особою,</w:t>
            </w:r>
            <w:r>
              <w:rPr>
                <w:sz w:val="22"/>
                <w:szCs w:val="28"/>
                <w:lang w:val="uk-UA"/>
              </w:rPr>
              <w:t xml:space="preserve"> </w:t>
            </w:r>
            <w:r w:rsidRPr="00A90C5A">
              <w:rPr>
                <w:sz w:val="22"/>
                <w:szCs w:val="28"/>
                <w:lang w:val="uk-UA"/>
              </w:rPr>
              <w:t>яка займає аналогічну посаду не більше ніж у</w:t>
            </w:r>
            <w:r>
              <w:rPr>
                <w:sz w:val="22"/>
                <w:szCs w:val="28"/>
                <w:lang w:val="uk-UA"/>
              </w:rPr>
              <w:t xml:space="preserve"> </w:t>
            </w:r>
            <w:r w:rsidRPr="00A90C5A">
              <w:rPr>
                <w:sz w:val="22"/>
                <w:szCs w:val="28"/>
                <w:lang w:val="uk-UA"/>
              </w:rPr>
              <w:t>п’яти (включно) платників податків;</w:t>
            </w:r>
          </w:p>
          <w:p w:rsidR="007444A6" w:rsidRPr="00304F4C" w:rsidRDefault="007444A6" w:rsidP="007444A6">
            <w:pPr>
              <w:pStyle w:val="a5"/>
              <w:ind w:right="113"/>
              <w:jc w:val="both"/>
              <w:rPr>
                <w:sz w:val="22"/>
                <w:szCs w:val="28"/>
                <w:lang w:val="uk-UA"/>
              </w:rPr>
            </w:pPr>
            <w:r w:rsidRPr="00A90C5A">
              <w:rPr>
                <w:sz w:val="22"/>
                <w:szCs w:val="28"/>
                <w:lang w:val="uk-UA"/>
              </w:rPr>
              <w:t>7) загальна сума абсолютних значень</w:t>
            </w:r>
            <w:r>
              <w:rPr>
                <w:sz w:val="22"/>
                <w:szCs w:val="28"/>
                <w:lang w:val="uk-UA"/>
              </w:rPr>
              <w:t xml:space="preserve"> </w:t>
            </w:r>
            <w:r w:rsidRPr="00A90C5A">
              <w:rPr>
                <w:sz w:val="22"/>
                <w:szCs w:val="28"/>
                <w:lang w:val="uk-UA"/>
              </w:rPr>
              <w:t>коригування на зменшення суми компенсації</w:t>
            </w:r>
            <w:r>
              <w:rPr>
                <w:sz w:val="22"/>
                <w:szCs w:val="28"/>
                <w:lang w:val="uk-UA"/>
              </w:rPr>
              <w:t xml:space="preserve"> </w:t>
            </w:r>
            <w:r w:rsidRPr="00A90C5A">
              <w:rPr>
                <w:sz w:val="22"/>
                <w:szCs w:val="28"/>
                <w:lang w:val="uk-UA"/>
              </w:rPr>
              <w:t>вартості товару / послуги їхньому постачальнику</w:t>
            </w:r>
            <w:r>
              <w:rPr>
                <w:sz w:val="22"/>
                <w:szCs w:val="28"/>
                <w:lang w:val="uk-UA"/>
              </w:rPr>
              <w:t xml:space="preserve"> </w:t>
            </w:r>
            <w:r w:rsidRPr="00A90C5A">
              <w:rPr>
                <w:sz w:val="22"/>
                <w:szCs w:val="28"/>
                <w:lang w:val="uk-UA"/>
              </w:rPr>
              <w:t>та/або загальна сума абсолютних значень</w:t>
            </w:r>
            <w:r>
              <w:rPr>
                <w:sz w:val="22"/>
                <w:szCs w:val="28"/>
                <w:lang w:val="uk-UA"/>
              </w:rPr>
              <w:t xml:space="preserve"> </w:t>
            </w:r>
            <w:r w:rsidRPr="00A90C5A">
              <w:rPr>
                <w:sz w:val="22"/>
                <w:szCs w:val="28"/>
                <w:lang w:val="uk-UA"/>
              </w:rPr>
              <w:t>коригування на збільшення суми компенсації</w:t>
            </w:r>
            <w:r>
              <w:rPr>
                <w:sz w:val="22"/>
                <w:szCs w:val="28"/>
                <w:lang w:val="uk-UA"/>
              </w:rPr>
              <w:t xml:space="preserve"> </w:t>
            </w:r>
            <w:r w:rsidRPr="00A90C5A">
              <w:rPr>
                <w:sz w:val="22"/>
                <w:szCs w:val="28"/>
                <w:lang w:val="uk-UA"/>
              </w:rPr>
              <w:t>вартості товару / послуги їхньому постачальнику,</w:t>
            </w:r>
            <w:r>
              <w:rPr>
                <w:sz w:val="22"/>
                <w:szCs w:val="28"/>
                <w:lang w:val="uk-UA"/>
              </w:rPr>
              <w:t xml:space="preserve"> </w:t>
            </w:r>
            <w:r w:rsidRPr="00A90C5A">
              <w:rPr>
                <w:sz w:val="22"/>
                <w:szCs w:val="28"/>
                <w:lang w:val="uk-UA"/>
              </w:rPr>
              <w:t>зазначених платником податку в поданому для</w:t>
            </w:r>
            <w:r>
              <w:rPr>
                <w:sz w:val="22"/>
                <w:szCs w:val="28"/>
                <w:lang w:val="uk-UA"/>
              </w:rPr>
              <w:t xml:space="preserve"> </w:t>
            </w:r>
            <w:r w:rsidRPr="00A90C5A">
              <w:rPr>
                <w:sz w:val="22"/>
                <w:szCs w:val="28"/>
                <w:lang w:val="uk-UA"/>
              </w:rPr>
              <w:t>реєстрації Реєстрі розрахунку коригування до</w:t>
            </w:r>
            <w:r>
              <w:rPr>
                <w:sz w:val="22"/>
                <w:szCs w:val="28"/>
                <w:lang w:val="uk-UA"/>
              </w:rPr>
              <w:t xml:space="preserve"> </w:t>
            </w:r>
            <w:r w:rsidRPr="00A90C5A">
              <w:rPr>
                <w:sz w:val="22"/>
                <w:szCs w:val="28"/>
                <w:lang w:val="uk-UA"/>
              </w:rPr>
              <w:t>податкової накладної, не перевищує 100 тис. грн</w:t>
            </w:r>
            <w:r>
              <w:rPr>
                <w:sz w:val="22"/>
                <w:szCs w:val="28"/>
                <w:lang w:val="uk-UA"/>
              </w:rPr>
              <w:t xml:space="preserve"> </w:t>
            </w:r>
            <w:r w:rsidRPr="00A90C5A">
              <w:rPr>
                <w:sz w:val="22"/>
                <w:szCs w:val="28"/>
                <w:lang w:val="uk-UA"/>
              </w:rPr>
              <w:t>за умови, що стосовно платника податку, який</w:t>
            </w:r>
            <w:r>
              <w:rPr>
                <w:sz w:val="22"/>
                <w:szCs w:val="28"/>
                <w:lang w:val="uk-UA"/>
              </w:rPr>
              <w:t xml:space="preserve"> </w:t>
            </w:r>
            <w:r w:rsidRPr="00A90C5A">
              <w:rPr>
                <w:sz w:val="22"/>
                <w:szCs w:val="28"/>
                <w:lang w:val="uk-UA"/>
              </w:rPr>
              <w:t>склав та / або подав для реєстрації розрахунок</w:t>
            </w:r>
            <w:r>
              <w:rPr>
                <w:sz w:val="22"/>
                <w:szCs w:val="28"/>
                <w:lang w:val="uk-UA"/>
              </w:rPr>
              <w:t xml:space="preserve"> </w:t>
            </w:r>
            <w:r w:rsidRPr="00A90C5A">
              <w:rPr>
                <w:sz w:val="22"/>
                <w:szCs w:val="28"/>
                <w:lang w:val="uk-UA"/>
              </w:rPr>
              <w:t>коригування, немає чинного рішення про</w:t>
            </w:r>
            <w:r>
              <w:rPr>
                <w:sz w:val="22"/>
                <w:szCs w:val="28"/>
                <w:lang w:val="uk-UA"/>
              </w:rPr>
              <w:t xml:space="preserve"> </w:t>
            </w:r>
            <w:r w:rsidRPr="00A90C5A">
              <w:rPr>
                <w:sz w:val="22"/>
                <w:szCs w:val="28"/>
                <w:lang w:val="uk-UA"/>
              </w:rPr>
              <w:t>відповідність платника податку критеріям</w:t>
            </w:r>
            <w:r>
              <w:rPr>
                <w:sz w:val="22"/>
                <w:szCs w:val="28"/>
                <w:lang w:val="uk-UA"/>
              </w:rPr>
              <w:t xml:space="preserve"> </w:t>
            </w:r>
            <w:r w:rsidRPr="00A90C5A">
              <w:rPr>
                <w:sz w:val="22"/>
                <w:szCs w:val="28"/>
                <w:lang w:val="uk-UA"/>
              </w:rPr>
              <w:t>ризиковості платника податку та керівник –</w:t>
            </w:r>
            <w:r>
              <w:rPr>
                <w:sz w:val="22"/>
                <w:szCs w:val="28"/>
                <w:lang w:val="uk-UA"/>
              </w:rPr>
              <w:t xml:space="preserve"> </w:t>
            </w:r>
            <w:r w:rsidRPr="00A90C5A">
              <w:rPr>
                <w:sz w:val="22"/>
                <w:szCs w:val="28"/>
                <w:lang w:val="uk-UA"/>
              </w:rPr>
              <w:t>посадова особа такого платника податку є особою,</w:t>
            </w:r>
            <w:r>
              <w:rPr>
                <w:sz w:val="22"/>
                <w:szCs w:val="28"/>
                <w:lang w:val="uk-UA"/>
              </w:rPr>
              <w:t xml:space="preserve"> </w:t>
            </w:r>
            <w:r w:rsidRPr="00A90C5A">
              <w:rPr>
                <w:sz w:val="22"/>
                <w:szCs w:val="28"/>
                <w:lang w:val="uk-UA"/>
              </w:rPr>
              <w:t>яка займає аналогічну посаду не більше ніж у</w:t>
            </w:r>
            <w:r>
              <w:rPr>
                <w:sz w:val="22"/>
                <w:szCs w:val="28"/>
                <w:lang w:val="uk-UA"/>
              </w:rPr>
              <w:t xml:space="preserve"> </w:t>
            </w:r>
            <w:r w:rsidRPr="00A90C5A">
              <w:rPr>
                <w:sz w:val="22"/>
                <w:szCs w:val="28"/>
                <w:lang w:val="uk-UA"/>
              </w:rPr>
              <w:t>п’яти (включно) платників податків.</w:t>
            </w:r>
          </w:p>
        </w:tc>
        <w:tc>
          <w:tcPr>
            <w:tcW w:w="2693" w:type="dxa"/>
          </w:tcPr>
          <w:p w:rsidR="007444A6" w:rsidRPr="00D02E1B" w:rsidRDefault="007444A6" w:rsidP="007444A6">
            <w:pPr>
              <w:jc w:val="center"/>
              <w:rPr>
                <w:lang w:val="uk-UA"/>
              </w:rPr>
            </w:pPr>
            <w:r w:rsidRPr="00D02E1B">
              <w:rPr>
                <w:sz w:val="22"/>
                <w:lang w:val="uk-UA"/>
              </w:rPr>
              <w:t>Американська торгівельна палата в Україні</w:t>
            </w:r>
          </w:p>
        </w:tc>
        <w:tc>
          <w:tcPr>
            <w:tcW w:w="1418" w:type="dxa"/>
          </w:tcPr>
          <w:p w:rsidR="007444A6" w:rsidRPr="00D02E1B" w:rsidRDefault="007444A6" w:rsidP="007444A6">
            <w:pPr>
              <w:jc w:val="center"/>
            </w:pPr>
            <w:r w:rsidRPr="00D02E1B">
              <w:rPr>
                <w:sz w:val="22"/>
                <w:szCs w:val="28"/>
                <w:lang w:val="uk-UA"/>
              </w:rPr>
              <w:t>не враховано</w:t>
            </w:r>
          </w:p>
        </w:tc>
        <w:tc>
          <w:tcPr>
            <w:tcW w:w="1701" w:type="dxa"/>
          </w:tcPr>
          <w:p w:rsidR="007444A6" w:rsidRDefault="007444A6" w:rsidP="007444A6">
            <w:pPr>
              <w:jc w:val="center"/>
            </w:pPr>
            <w:r w:rsidRPr="00A30E13">
              <w:rPr>
                <w:sz w:val="22"/>
                <w:szCs w:val="28"/>
                <w:lang w:val="uk-UA"/>
              </w:rPr>
              <w:t>–</w:t>
            </w:r>
          </w:p>
        </w:tc>
      </w:tr>
      <w:tr w:rsidR="007444A6" w:rsidRPr="0061534D" w:rsidTr="00A90C5A">
        <w:trPr>
          <w:trHeight w:val="70"/>
        </w:trPr>
        <w:tc>
          <w:tcPr>
            <w:tcW w:w="4395" w:type="dxa"/>
            <w:vAlign w:val="center"/>
          </w:tcPr>
          <w:p w:rsidR="007444A6" w:rsidRPr="00B022E0" w:rsidRDefault="007444A6" w:rsidP="007444A6">
            <w:pPr>
              <w:pStyle w:val="a5"/>
              <w:spacing w:before="0" w:beforeAutospacing="0" w:after="0" w:afterAutospacing="0"/>
              <w:jc w:val="both"/>
              <w:rPr>
                <w:sz w:val="22"/>
                <w:szCs w:val="28"/>
                <w:lang w:val="uk-UA"/>
              </w:rPr>
            </w:pPr>
            <w:r w:rsidRPr="00B022E0">
              <w:rPr>
                <w:sz w:val="22"/>
                <w:szCs w:val="28"/>
                <w:lang w:val="uk-UA"/>
              </w:rPr>
              <w:t>5. У пункті 3</w:t>
            </w:r>
            <w:r w:rsidRPr="00B022E0">
              <w:rPr>
                <w:sz w:val="22"/>
                <w:szCs w:val="28"/>
                <w:vertAlign w:val="superscript"/>
                <w:lang w:val="uk-UA"/>
              </w:rPr>
              <w:t>1</w:t>
            </w:r>
            <w:r w:rsidRPr="00B022E0">
              <w:rPr>
                <w:sz w:val="22"/>
                <w:szCs w:val="28"/>
                <w:lang w:val="uk-UA"/>
              </w:rPr>
              <w:t>:</w:t>
            </w:r>
          </w:p>
          <w:p w:rsidR="007444A6" w:rsidRPr="00B022E0" w:rsidRDefault="007444A6" w:rsidP="007444A6">
            <w:pPr>
              <w:pStyle w:val="a5"/>
              <w:spacing w:before="0" w:beforeAutospacing="0" w:after="0" w:afterAutospacing="0"/>
              <w:jc w:val="both"/>
              <w:rPr>
                <w:sz w:val="22"/>
                <w:szCs w:val="28"/>
                <w:lang w:val="uk-UA"/>
              </w:rPr>
            </w:pPr>
          </w:p>
          <w:p w:rsidR="007444A6" w:rsidRPr="00B022E0" w:rsidRDefault="007444A6" w:rsidP="007444A6">
            <w:pPr>
              <w:pStyle w:val="a5"/>
              <w:spacing w:before="0" w:beforeAutospacing="0" w:after="0" w:afterAutospacing="0"/>
              <w:jc w:val="both"/>
              <w:rPr>
                <w:sz w:val="22"/>
                <w:szCs w:val="28"/>
                <w:lang w:val="uk-UA"/>
              </w:rPr>
            </w:pPr>
            <w:r w:rsidRPr="00B022E0">
              <w:rPr>
                <w:sz w:val="22"/>
                <w:szCs w:val="28"/>
                <w:lang w:val="uk-UA"/>
              </w:rPr>
              <w:t>в абзаці першому слова «вважаються такими, що відповідають» замінити словами «перевіряються щодо відповідності таким»;</w:t>
            </w:r>
          </w:p>
          <w:p w:rsidR="007444A6" w:rsidRPr="00B022E0" w:rsidRDefault="007444A6" w:rsidP="007444A6">
            <w:pPr>
              <w:pStyle w:val="a5"/>
              <w:spacing w:before="0" w:beforeAutospacing="0" w:after="0" w:afterAutospacing="0"/>
              <w:jc w:val="both"/>
              <w:rPr>
                <w:sz w:val="22"/>
                <w:szCs w:val="28"/>
                <w:lang w:val="uk-UA"/>
              </w:rPr>
            </w:pPr>
          </w:p>
          <w:p w:rsidR="007444A6" w:rsidRDefault="007444A6" w:rsidP="007444A6">
            <w:pPr>
              <w:pStyle w:val="a5"/>
              <w:spacing w:before="0" w:beforeAutospacing="0" w:after="0" w:afterAutospacing="0"/>
              <w:jc w:val="both"/>
              <w:rPr>
                <w:sz w:val="22"/>
                <w:szCs w:val="28"/>
                <w:lang w:val="uk-UA"/>
              </w:rPr>
            </w:pPr>
            <w:r w:rsidRPr="00B022E0">
              <w:rPr>
                <w:sz w:val="22"/>
                <w:szCs w:val="28"/>
                <w:lang w:val="uk-UA"/>
              </w:rPr>
              <w:t>абзац п’ятий підпункту 1 та абзац четвертий підпункту 2 викласти в такій редакції:</w:t>
            </w:r>
          </w:p>
          <w:p w:rsidR="007444A6" w:rsidRPr="00B022E0" w:rsidRDefault="007444A6" w:rsidP="007444A6">
            <w:pPr>
              <w:pStyle w:val="a5"/>
              <w:spacing w:before="0" w:beforeAutospacing="0" w:after="0" w:afterAutospacing="0"/>
              <w:jc w:val="both"/>
              <w:rPr>
                <w:sz w:val="22"/>
                <w:szCs w:val="28"/>
                <w:lang w:val="uk-UA"/>
              </w:rPr>
            </w:pPr>
          </w:p>
          <w:p w:rsidR="007444A6" w:rsidRPr="00B022E0" w:rsidRDefault="007444A6" w:rsidP="007444A6">
            <w:pPr>
              <w:pStyle w:val="a5"/>
              <w:spacing w:before="0" w:beforeAutospacing="0" w:after="0" w:afterAutospacing="0"/>
              <w:jc w:val="both"/>
              <w:rPr>
                <w:sz w:val="22"/>
                <w:szCs w:val="28"/>
                <w:lang w:val="uk-UA"/>
              </w:rPr>
            </w:pPr>
            <w:r w:rsidRPr="00B022E0">
              <w:rPr>
                <w:sz w:val="22"/>
                <w:szCs w:val="28"/>
                <w:lang w:val="uk-UA"/>
              </w:rPr>
              <w:t>«на дату прийняття податкової накладної / розрахунку коригування для реєстрації в Реєстрі платник податку зареєстрований (основне місце обліку) на території, яку не включено до переліку територій, на яких ведуться (велися) бойові дії або тимчасово окупованих російською федерацією, затвердженого Мінрозвитку (за винятком переліку територій можливих бойових дій), або щодо цієї території наявний запис у такому переліку та зазначено дату завершення бойових дій та/або дату завершення тимчасової окупації;»;</w:t>
            </w:r>
          </w:p>
          <w:p w:rsidR="007444A6" w:rsidRPr="00B022E0" w:rsidRDefault="007444A6" w:rsidP="007444A6">
            <w:pPr>
              <w:pStyle w:val="a5"/>
              <w:spacing w:before="0" w:beforeAutospacing="0" w:after="0" w:afterAutospacing="0"/>
              <w:jc w:val="both"/>
              <w:rPr>
                <w:sz w:val="22"/>
                <w:szCs w:val="28"/>
                <w:lang w:val="uk-UA"/>
              </w:rPr>
            </w:pPr>
          </w:p>
          <w:p w:rsidR="007444A6" w:rsidRPr="00B022E0" w:rsidRDefault="007444A6" w:rsidP="007444A6">
            <w:pPr>
              <w:pStyle w:val="a5"/>
              <w:spacing w:before="0" w:beforeAutospacing="0" w:after="0" w:afterAutospacing="0"/>
              <w:jc w:val="both"/>
              <w:rPr>
                <w:sz w:val="22"/>
                <w:szCs w:val="28"/>
                <w:lang w:val="uk-UA"/>
              </w:rPr>
            </w:pPr>
            <w:r w:rsidRPr="00B022E0">
              <w:rPr>
                <w:sz w:val="22"/>
                <w:szCs w:val="28"/>
                <w:lang w:val="uk-UA"/>
              </w:rPr>
              <w:t>доповнити підпунктом 4 такого змісту:</w:t>
            </w:r>
          </w:p>
          <w:p w:rsidR="007444A6" w:rsidRPr="00B022E0" w:rsidRDefault="007444A6" w:rsidP="007444A6">
            <w:pPr>
              <w:pStyle w:val="a5"/>
              <w:spacing w:before="0" w:beforeAutospacing="0" w:after="0" w:afterAutospacing="0"/>
              <w:jc w:val="both"/>
              <w:rPr>
                <w:sz w:val="22"/>
                <w:szCs w:val="28"/>
                <w:lang w:val="uk-UA"/>
              </w:rPr>
            </w:pPr>
          </w:p>
          <w:p w:rsidR="007444A6" w:rsidRPr="00A90C5A" w:rsidRDefault="007444A6" w:rsidP="007444A6">
            <w:pPr>
              <w:pStyle w:val="a5"/>
              <w:spacing w:before="0" w:beforeAutospacing="0" w:after="0" w:afterAutospacing="0"/>
              <w:jc w:val="both"/>
              <w:rPr>
                <w:sz w:val="22"/>
                <w:szCs w:val="28"/>
                <w:lang w:val="uk-UA"/>
              </w:rPr>
            </w:pPr>
            <w:r w:rsidRPr="00B022E0">
              <w:rPr>
                <w:sz w:val="22"/>
                <w:szCs w:val="28"/>
                <w:lang w:val="uk-UA"/>
              </w:rPr>
              <w:t>«4) у податковій накладній / розрахунку коригування відображено винятково операцію з кодами згідно з УКТ ЗЕД товарів, до яких застосовується режим експортного забезпечення відповідно до вимог статті 19</w:t>
            </w:r>
            <w:r w:rsidRPr="00B022E0">
              <w:rPr>
                <w:sz w:val="22"/>
                <w:szCs w:val="28"/>
                <w:vertAlign w:val="superscript"/>
                <w:lang w:val="uk-UA"/>
              </w:rPr>
              <w:t>2</w:t>
            </w:r>
            <w:r w:rsidRPr="00B022E0">
              <w:rPr>
                <w:sz w:val="22"/>
                <w:szCs w:val="28"/>
                <w:lang w:val="uk-UA"/>
              </w:rPr>
              <w:t xml:space="preserve"> Закону України «Про зовнішньоекономічну діяльність» і які зазначено у врахованій таблиці даних платника податку, за умови, що стосовно платника податку, який подав такі податкову накладну / розрахунок коригування для реєстрації в Реєстрі, немає чинного рішення про відповідність платника податку критеріям ризиковості платника податку.».</w:t>
            </w:r>
          </w:p>
        </w:tc>
        <w:tc>
          <w:tcPr>
            <w:tcW w:w="4394" w:type="dxa"/>
          </w:tcPr>
          <w:p w:rsidR="007444A6" w:rsidRPr="00A90C5A" w:rsidRDefault="007444A6" w:rsidP="007444A6">
            <w:pPr>
              <w:pStyle w:val="a5"/>
              <w:ind w:right="113"/>
              <w:jc w:val="both"/>
              <w:rPr>
                <w:sz w:val="22"/>
                <w:szCs w:val="28"/>
                <w:lang w:val="uk-UA"/>
              </w:rPr>
            </w:pPr>
            <w:r>
              <w:rPr>
                <w:sz w:val="22"/>
                <w:szCs w:val="28"/>
                <w:lang w:val="uk-UA"/>
              </w:rPr>
              <w:t>Передбачити спрощену процедуру оновлення таблиці даних для підприємств із територій бойових дій, що допоможе швидко адаптуватися до зміни асортименту продукції та ринків збуту.</w:t>
            </w:r>
          </w:p>
        </w:tc>
        <w:tc>
          <w:tcPr>
            <w:tcW w:w="2693" w:type="dxa"/>
          </w:tcPr>
          <w:p w:rsidR="007444A6" w:rsidRPr="00A90C5A" w:rsidRDefault="007444A6" w:rsidP="007444A6">
            <w:pPr>
              <w:jc w:val="center"/>
              <w:rPr>
                <w:sz w:val="22"/>
                <w:lang w:val="uk-UA"/>
              </w:rPr>
            </w:pPr>
            <w:r>
              <w:rPr>
                <w:sz w:val="22"/>
                <w:lang w:val="uk-UA"/>
              </w:rPr>
              <w:t>Асоціація «Український клуб аграрного бізнесу»</w:t>
            </w:r>
          </w:p>
        </w:tc>
        <w:tc>
          <w:tcPr>
            <w:tcW w:w="1418" w:type="dxa"/>
          </w:tcPr>
          <w:p w:rsidR="007444A6" w:rsidRPr="00D02E1B" w:rsidRDefault="007444A6" w:rsidP="007444A6">
            <w:pPr>
              <w:jc w:val="center"/>
              <w:rPr>
                <w:sz w:val="22"/>
                <w:szCs w:val="28"/>
                <w:lang w:val="uk-UA"/>
              </w:rPr>
            </w:pPr>
            <w:r w:rsidRPr="00D02E1B">
              <w:rPr>
                <w:sz w:val="22"/>
                <w:szCs w:val="28"/>
                <w:lang w:val="uk-UA"/>
              </w:rPr>
              <w:t>Не враховано</w:t>
            </w:r>
          </w:p>
        </w:tc>
        <w:tc>
          <w:tcPr>
            <w:tcW w:w="1701" w:type="dxa"/>
          </w:tcPr>
          <w:p w:rsidR="007444A6" w:rsidRPr="00D02E1B" w:rsidRDefault="007444A6" w:rsidP="007444A6">
            <w:pPr>
              <w:jc w:val="center"/>
              <w:rPr>
                <w:sz w:val="22"/>
                <w:szCs w:val="28"/>
                <w:lang w:val="uk-UA"/>
              </w:rPr>
            </w:pPr>
            <w:r w:rsidRPr="00D02E1B">
              <w:rPr>
                <w:sz w:val="22"/>
                <w:szCs w:val="28"/>
                <w:lang w:val="uk-UA"/>
              </w:rPr>
              <w:t>–</w:t>
            </w:r>
          </w:p>
        </w:tc>
      </w:tr>
      <w:tr w:rsidR="007444A6" w:rsidTr="00A90C5A">
        <w:trPr>
          <w:trHeight w:val="70"/>
        </w:trPr>
        <w:tc>
          <w:tcPr>
            <w:tcW w:w="4395" w:type="dxa"/>
            <w:vAlign w:val="center"/>
          </w:tcPr>
          <w:p w:rsidR="007444A6" w:rsidRDefault="007444A6" w:rsidP="007444A6">
            <w:pPr>
              <w:pStyle w:val="a5"/>
              <w:spacing w:before="0" w:beforeAutospacing="0" w:after="0" w:afterAutospacing="0"/>
              <w:jc w:val="both"/>
              <w:rPr>
                <w:sz w:val="22"/>
                <w:szCs w:val="28"/>
                <w:lang w:val="uk-UA"/>
              </w:rPr>
            </w:pPr>
            <w:r w:rsidRPr="005B35F6">
              <w:rPr>
                <w:sz w:val="22"/>
                <w:szCs w:val="28"/>
                <w:lang w:val="uk-UA"/>
              </w:rPr>
              <w:t>7. Абзац четвертий пункту 6</w:t>
            </w:r>
            <w:r w:rsidRPr="005B35F6">
              <w:rPr>
                <w:sz w:val="22"/>
                <w:szCs w:val="28"/>
                <w:vertAlign w:val="superscript"/>
                <w:lang w:val="uk-UA"/>
              </w:rPr>
              <w:t>1</w:t>
            </w:r>
            <w:r w:rsidRPr="005B35F6">
              <w:rPr>
                <w:sz w:val="22"/>
                <w:szCs w:val="28"/>
                <w:lang w:val="uk-UA"/>
              </w:rPr>
              <w:t xml:space="preserve"> замінити трьома абзацами такого змісту:</w:t>
            </w:r>
          </w:p>
          <w:p w:rsidR="007444A6" w:rsidRPr="005B35F6" w:rsidRDefault="007444A6" w:rsidP="007444A6">
            <w:pPr>
              <w:pStyle w:val="a5"/>
              <w:spacing w:before="0" w:beforeAutospacing="0" w:after="0" w:afterAutospacing="0"/>
              <w:jc w:val="both"/>
              <w:rPr>
                <w:sz w:val="22"/>
                <w:szCs w:val="28"/>
                <w:lang w:val="uk-UA"/>
              </w:rPr>
            </w:pPr>
          </w:p>
          <w:p w:rsidR="007444A6" w:rsidRDefault="007444A6" w:rsidP="007444A6">
            <w:pPr>
              <w:pStyle w:val="a5"/>
              <w:spacing w:before="0" w:beforeAutospacing="0" w:after="0" w:afterAutospacing="0"/>
              <w:jc w:val="both"/>
              <w:rPr>
                <w:sz w:val="22"/>
                <w:szCs w:val="28"/>
                <w:lang w:val="uk-UA"/>
              </w:rPr>
            </w:pPr>
            <w:r w:rsidRPr="005B35F6">
              <w:rPr>
                <w:sz w:val="22"/>
                <w:szCs w:val="28"/>
                <w:lang w:val="uk-UA"/>
              </w:rPr>
              <w:t>«на початок операційного дня, протягом якого здійснюється така автоматична реєстрація в Реєстрі, операції в таких податкових накладних / розрахунках коригування не відповідають критеріям ризиковості здійснення операцій згідно з додатком 3 до цього Порядку, за винятком податкових накладних / розрахунків коригування, складених платником податку, який відповідає хоча б одному показнику, за яким визначається позитивна податкова історія платника податку на додану вартість, згідно з додатком 2 до цього Порядку;</w:t>
            </w:r>
          </w:p>
          <w:p w:rsidR="007444A6" w:rsidRPr="005B35F6" w:rsidRDefault="007444A6" w:rsidP="007444A6">
            <w:pPr>
              <w:pStyle w:val="a5"/>
              <w:spacing w:before="0" w:beforeAutospacing="0" w:after="0" w:afterAutospacing="0"/>
              <w:jc w:val="both"/>
              <w:rPr>
                <w:sz w:val="22"/>
                <w:szCs w:val="28"/>
                <w:lang w:val="uk-UA"/>
              </w:rPr>
            </w:pPr>
          </w:p>
          <w:p w:rsidR="007444A6" w:rsidRDefault="007444A6" w:rsidP="007444A6">
            <w:pPr>
              <w:pStyle w:val="a5"/>
              <w:spacing w:before="0" w:beforeAutospacing="0" w:after="0" w:afterAutospacing="0"/>
              <w:jc w:val="both"/>
              <w:rPr>
                <w:sz w:val="22"/>
                <w:szCs w:val="28"/>
                <w:lang w:val="uk-UA"/>
              </w:rPr>
            </w:pPr>
            <w:r w:rsidRPr="005B35F6">
              <w:rPr>
                <w:sz w:val="22"/>
                <w:szCs w:val="28"/>
                <w:lang w:val="uk-UA"/>
              </w:rPr>
              <w:t>на початок операційного дня, протягом якого здійснюється така автоматична реєстрація в Реєстрі, стосовно платника податку, який склав та/або подав податкову накладну / розрахунок коригування для реєстрації в Реєстрі, немає чинного рішення про відповідність платника податку критеріям ризиковості платника податку;</w:t>
            </w:r>
          </w:p>
          <w:p w:rsidR="007444A6" w:rsidRPr="005B35F6" w:rsidRDefault="007444A6" w:rsidP="007444A6">
            <w:pPr>
              <w:pStyle w:val="a5"/>
              <w:spacing w:before="0" w:beforeAutospacing="0" w:after="0" w:afterAutospacing="0"/>
              <w:jc w:val="both"/>
              <w:rPr>
                <w:sz w:val="22"/>
                <w:szCs w:val="28"/>
                <w:lang w:val="uk-UA"/>
              </w:rPr>
            </w:pPr>
          </w:p>
          <w:p w:rsidR="007444A6" w:rsidRPr="001525B9" w:rsidRDefault="007444A6" w:rsidP="007444A6">
            <w:pPr>
              <w:pStyle w:val="a5"/>
              <w:spacing w:before="0" w:beforeAutospacing="0" w:after="0" w:afterAutospacing="0"/>
              <w:jc w:val="both"/>
              <w:rPr>
                <w:sz w:val="22"/>
                <w:szCs w:val="28"/>
                <w:lang w:val="uk-UA"/>
              </w:rPr>
            </w:pPr>
            <w:r w:rsidRPr="005B35F6">
              <w:rPr>
                <w:sz w:val="22"/>
                <w:szCs w:val="28"/>
                <w:lang w:val="uk-UA"/>
              </w:rPr>
              <w:t xml:space="preserve">сума податку на додану вартість, зазначена платником податку в податкових накладних / розрахунках коригування, прийнятих для реєстрації в Реєстрі, у кожному з шести останніх послідовних календарних місяців, що передують місяцю подання інформації та копій документів, поданих платником податку для підтвердження невідповідності критеріям ризиковості платника податку, у місяці, у якому подано таку інформацію та копії документів, та в місяці, у якому здійснюється така автоматична реєстрація, не перевищує значення показника </w:t>
            </w:r>
            <w:proofErr w:type="spellStart"/>
            <w:r w:rsidRPr="005B35F6">
              <w:rPr>
                <w:sz w:val="22"/>
                <w:szCs w:val="28"/>
                <w:lang w:val="uk-UA"/>
              </w:rPr>
              <w:t>Р</w:t>
            </w:r>
            <w:r w:rsidRPr="005B35F6">
              <w:rPr>
                <w:sz w:val="22"/>
                <w:szCs w:val="28"/>
                <w:vertAlign w:val="subscript"/>
                <w:lang w:val="uk-UA"/>
              </w:rPr>
              <w:t>макс</w:t>
            </w:r>
            <w:proofErr w:type="spellEnd"/>
            <w:r w:rsidRPr="005B35F6">
              <w:rPr>
                <w:sz w:val="22"/>
                <w:szCs w:val="28"/>
                <w:lang w:val="uk-UA"/>
              </w:rPr>
              <w:t xml:space="preserve"> для кожного із зазначених місяців;».</w:t>
            </w:r>
          </w:p>
        </w:tc>
        <w:tc>
          <w:tcPr>
            <w:tcW w:w="4394" w:type="dxa"/>
          </w:tcPr>
          <w:p w:rsidR="007444A6" w:rsidRPr="001525B9" w:rsidRDefault="007444A6" w:rsidP="007444A6">
            <w:pPr>
              <w:pStyle w:val="a5"/>
              <w:spacing w:before="0" w:beforeAutospacing="0" w:after="0" w:afterAutospacing="0"/>
              <w:jc w:val="both"/>
              <w:rPr>
                <w:lang w:val="uk-UA"/>
              </w:rPr>
            </w:pPr>
            <w:r w:rsidRPr="001525B9">
              <w:rPr>
                <w:sz w:val="22"/>
                <w:szCs w:val="28"/>
                <w:lang w:val="uk-UA"/>
              </w:rPr>
              <w:t xml:space="preserve">Одним із Критеріїв безумовної реєстрації ПН / РК після виведення підприємства з категорії </w:t>
            </w:r>
            <w:r>
              <w:rPr>
                <w:sz w:val="22"/>
                <w:szCs w:val="28"/>
                <w:lang w:val="uk-UA"/>
              </w:rPr>
              <w:t>«</w:t>
            </w:r>
            <w:r w:rsidRPr="001525B9">
              <w:rPr>
                <w:sz w:val="22"/>
                <w:szCs w:val="28"/>
                <w:lang w:val="uk-UA"/>
              </w:rPr>
              <w:t>ризикових</w:t>
            </w:r>
            <w:r>
              <w:rPr>
                <w:sz w:val="22"/>
                <w:szCs w:val="28"/>
                <w:lang w:val="uk-UA"/>
              </w:rPr>
              <w:t xml:space="preserve">» є відсутність значного зростання ПДВ у кожному з шести послідовних місяців, що передують даті подання платником податку інформації та копій документів, які можуть свідчити про невідповідність платника податку критеріям ризиковості платника податку, місяці, в якому подано такі документи та місяці, в якому здійснюється така автоматична реєстрація. Однак, якщо підприємство нещодавно розпочало проводити господарську діяльність або має сезонні збільшення обсягів товарів/послуг, в таких випадках йому не уникнути надання Повідомлення з поясненням, включаючи Таблицю даних платника. </w:t>
            </w:r>
          </w:p>
        </w:tc>
        <w:tc>
          <w:tcPr>
            <w:tcW w:w="2693" w:type="dxa"/>
          </w:tcPr>
          <w:p w:rsidR="007444A6" w:rsidRPr="00E44476" w:rsidRDefault="007444A6" w:rsidP="007444A6">
            <w:pPr>
              <w:jc w:val="center"/>
              <w:rPr>
                <w:lang w:val="uk-UA"/>
              </w:rPr>
            </w:pPr>
            <w:r>
              <w:rPr>
                <w:sz w:val="22"/>
                <w:szCs w:val="28"/>
                <w:lang w:val="uk-UA"/>
              </w:rPr>
              <w:t>ВГО «Асоціація платників податків України»</w:t>
            </w:r>
          </w:p>
        </w:tc>
        <w:tc>
          <w:tcPr>
            <w:tcW w:w="1418" w:type="dxa"/>
          </w:tcPr>
          <w:p w:rsidR="007444A6" w:rsidRPr="00E44476" w:rsidRDefault="007444A6" w:rsidP="007444A6">
            <w:pPr>
              <w:jc w:val="center"/>
              <w:rPr>
                <w:sz w:val="22"/>
                <w:szCs w:val="28"/>
                <w:lang w:val="uk-UA"/>
              </w:rPr>
            </w:pPr>
            <w:r w:rsidRPr="00E44476">
              <w:rPr>
                <w:sz w:val="22"/>
                <w:szCs w:val="28"/>
                <w:lang w:val="uk-UA"/>
              </w:rPr>
              <w:t>не враховано</w:t>
            </w:r>
          </w:p>
        </w:tc>
        <w:tc>
          <w:tcPr>
            <w:tcW w:w="1701" w:type="dxa"/>
          </w:tcPr>
          <w:p w:rsidR="007444A6" w:rsidRDefault="007444A6" w:rsidP="007444A6">
            <w:pPr>
              <w:jc w:val="center"/>
            </w:pPr>
            <w:r w:rsidRPr="00A30E13">
              <w:rPr>
                <w:sz w:val="22"/>
                <w:szCs w:val="28"/>
                <w:lang w:val="uk-UA"/>
              </w:rPr>
              <w:t>–</w:t>
            </w:r>
          </w:p>
        </w:tc>
      </w:tr>
      <w:tr w:rsidR="007444A6" w:rsidTr="00A90C5A">
        <w:trPr>
          <w:trHeight w:val="70"/>
        </w:trPr>
        <w:tc>
          <w:tcPr>
            <w:tcW w:w="4395" w:type="dxa"/>
            <w:vAlign w:val="center"/>
          </w:tcPr>
          <w:p w:rsidR="007444A6" w:rsidRDefault="007444A6" w:rsidP="007444A6">
            <w:pPr>
              <w:pStyle w:val="a5"/>
              <w:spacing w:before="0" w:beforeAutospacing="0" w:after="0" w:afterAutospacing="0"/>
              <w:jc w:val="both"/>
              <w:rPr>
                <w:sz w:val="22"/>
                <w:szCs w:val="28"/>
                <w:lang w:val="uk-UA"/>
              </w:rPr>
            </w:pPr>
            <w:r w:rsidRPr="005B35F6">
              <w:rPr>
                <w:sz w:val="22"/>
                <w:szCs w:val="28"/>
                <w:lang w:val="uk-UA"/>
              </w:rPr>
              <w:t>7. Абзац четвертий пункту 6</w:t>
            </w:r>
            <w:r w:rsidRPr="005B35F6">
              <w:rPr>
                <w:sz w:val="22"/>
                <w:szCs w:val="28"/>
                <w:vertAlign w:val="superscript"/>
                <w:lang w:val="uk-UA"/>
              </w:rPr>
              <w:t>1</w:t>
            </w:r>
            <w:r w:rsidRPr="005B35F6">
              <w:rPr>
                <w:sz w:val="22"/>
                <w:szCs w:val="28"/>
                <w:lang w:val="uk-UA"/>
              </w:rPr>
              <w:t xml:space="preserve"> замінити трьома абзацами такого змісту:</w:t>
            </w:r>
          </w:p>
          <w:p w:rsidR="007444A6" w:rsidRPr="005B35F6" w:rsidRDefault="007444A6" w:rsidP="007444A6">
            <w:pPr>
              <w:pStyle w:val="a5"/>
              <w:spacing w:before="0" w:beforeAutospacing="0" w:after="0" w:afterAutospacing="0"/>
              <w:jc w:val="both"/>
              <w:rPr>
                <w:sz w:val="22"/>
                <w:szCs w:val="28"/>
                <w:lang w:val="uk-UA"/>
              </w:rPr>
            </w:pPr>
          </w:p>
          <w:p w:rsidR="007444A6" w:rsidRDefault="007444A6" w:rsidP="007444A6">
            <w:pPr>
              <w:pStyle w:val="a5"/>
              <w:spacing w:before="0" w:beforeAutospacing="0" w:after="0" w:afterAutospacing="0"/>
              <w:jc w:val="both"/>
              <w:rPr>
                <w:sz w:val="22"/>
                <w:szCs w:val="28"/>
                <w:lang w:val="uk-UA"/>
              </w:rPr>
            </w:pPr>
            <w:r w:rsidRPr="005B35F6">
              <w:rPr>
                <w:sz w:val="22"/>
                <w:szCs w:val="28"/>
                <w:lang w:val="uk-UA"/>
              </w:rPr>
              <w:t>«на початок операційного дня, протягом якого здійснюється така автоматична реєстрація в Реєстрі, операції в таких податкових накладних / розрахунках коригування не відповідають критеріям ризиковості здійснення операцій згідно з додатком 3 до цього Порядку, за винятком податкових накладних / розрахунків коригування, складених платником податку, який відповідає хоча б одному показнику, за яким визначається позитивна податкова історія платника податку на додану вартість, згідно з додатком 2 до цього Порядку;</w:t>
            </w:r>
          </w:p>
          <w:p w:rsidR="007444A6" w:rsidRPr="005B35F6" w:rsidRDefault="007444A6" w:rsidP="007444A6">
            <w:pPr>
              <w:pStyle w:val="a5"/>
              <w:spacing w:before="0" w:beforeAutospacing="0" w:after="0" w:afterAutospacing="0"/>
              <w:jc w:val="both"/>
              <w:rPr>
                <w:sz w:val="22"/>
                <w:szCs w:val="28"/>
                <w:lang w:val="uk-UA"/>
              </w:rPr>
            </w:pPr>
          </w:p>
          <w:p w:rsidR="007444A6" w:rsidRDefault="007444A6" w:rsidP="007444A6">
            <w:pPr>
              <w:pStyle w:val="a5"/>
              <w:spacing w:before="0" w:beforeAutospacing="0" w:after="0" w:afterAutospacing="0"/>
              <w:jc w:val="both"/>
              <w:rPr>
                <w:sz w:val="22"/>
                <w:szCs w:val="28"/>
                <w:lang w:val="uk-UA"/>
              </w:rPr>
            </w:pPr>
            <w:r w:rsidRPr="005B35F6">
              <w:rPr>
                <w:sz w:val="22"/>
                <w:szCs w:val="28"/>
                <w:lang w:val="uk-UA"/>
              </w:rPr>
              <w:t>на початок операційного дня, протягом якого здійснюється така автоматична реєстрація в Реєстрі, стосовно платника податку, який склав та/або подав податкову накладну / розрахунок коригування для реєстрації в Реєстрі, немає чинного рішення про відповідність платника податку критеріям ризиковості платника податку;</w:t>
            </w:r>
          </w:p>
          <w:p w:rsidR="007444A6" w:rsidRPr="005B35F6" w:rsidRDefault="007444A6" w:rsidP="007444A6">
            <w:pPr>
              <w:pStyle w:val="a5"/>
              <w:spacing w:before="0" w:beforeAutospacing="0" w:after="0" w:afterAutospacing="0"/>
              <w:jc w:val="both"/>
              <w:rPr>
                <w:sz w:val="22"/>
                <w:szCs w:val="28"/>
                <w:lang w:val="uk-UA"/>
              </w:rPr>
            </w:pPr>
          </w:p>
          <w:p w:rsidR="007444A6" w:rsidRPr="001525B9" w:rsidRDefault="007444A6" w:rsidP="007444A6">
            <w:pPr>
              <w:pStyle w:val="a5"/>
              <w:spacing w:before="0" w:beforeAutospacing="0" w:after="0" w:afterAutospacing="0"/>
              <w:jc w:val="both"/>
              <w:rPr>
                <w:sz w:val="22"/>
                <w:szCs w:val="28"/>
                <w:lang w:val="uk-UA"/>
              </w:rPr>
            </w:pPr>
            <w:r w:rsidRPr="005B35F6">
              <w:rPr>
                <w:sz w:val="22"/>
                <w:szCs w:val="28"/>
                <w:lang w:val="uk-UA"/>
              </w:rPr>
              <w:t xml:space="preserve">сума податку на додану вартість, зазначена платником податку в податкових накладних / розрахунках коригування, прийнятих для реєстрації в Реєстрі, у кожному з шести останніх послідовних календарних місяців, що передують місяцю подання інформації та копій документів, поданих платником податку для підтвердження невідповідності критеріям ризиковості платника податку, у місяці, у якому подано таку інформацію та копії документів, та в місяці, у якому здійснюється така автоматична реєстрація, не перевищує значення показника </w:t>
            </w:r>
            <w:proofErr w:type="spellStart"/>
            <w:r w:rsidRPr="005B35F6">
              <w:rPr>
                <w:sz w:val="22"/>
                <w:szCs w:val="28"/>
                <w:lang w:val="uk-UA"/>
              </w:rPr>
              <w:t>Р</w:t>
            </w:r>
            <w:r w:rsidRPr="005B35F6">
              <w:rPr>
                <w:sz w:val="22"/>
                <w:szCs w:val="28"/>
                <w:vertAlign w:val="subscript"/>
                <w:lang w:val="uk-UA"/>
              </w:rPr>
              <w:t>макс</w:t>
            </w:r>
            <w:proofErr w:type="spellEnd"/>
            <w:r w:rsidRPr="005B35F6">
              <w:rPr>
                <w:sz w:val="22"/>
                <w:szCs w:val="28"/>
                <w:lang w:val="uk-UA"/>
              </w:rPr>
              <w:t xml:space="preserve"> для кожного із зазначених місяців;».</w:t>
            </w:r>
          </w:p>
        </w:tc>
        <w:tc>
          <w:tcPr>
            <w:tcW w:w="4394" w:type="dxa"/>
          </w:tcPr>
          <w:p w:rsidR="007444A6" w:rsidRPr="00E17A48" w:rsidRDefault="00D67DD7" w:rsidP="007444A6">
            <w:pPr>
              <w:pStyle w:val="a5"/>
              <w:spacing w:before="0" w:beforeAutospacing="0" w:after="0" w:afterAutospacing="0"/>
              <w:jc w:val="both"/>
              <w:rPr>
                <w:sz w:val="22"/>
                <w:szCs w:val="28"/>
                <w:lang w:val="uk-UA"/>
              </w:rPr>
            </w:pPr>
            <w:r>
              <w:rPr>
                <w:sz w:val="22"/>
                <w:szCs w:val="28"/>
                <w:lang w:val="uk-UA"/>
              </w:rPr>
              <w:t>Передбачити винятки або спеціальний порядок для сезонних товарів і секторів, а також розробити формулу визначення «значного зростання» з урахуванням даних минулих років для об’єктивного порівняння.</w:t>
            </w:r>
          </w:p>
        </w:tc>
        <w:tc>
          <w:tcPr>
            <w:tcW w:w="2693" w:type="dxa"/>
          </w:tcPr>
          <w:p w:rsidR="007444A6" w:rsidRPr="00A90C5A" w:rsidRDefault="007444A6" w:rsidP="007444A6">
            <w:pPr>
              <w:jc w:val="center"/>
              <w:rPr>
                <w:sz w:val="22"/>
                <w:lang w:val="uk-UA"/>
              </w:rPr>
            </w:pPr>
            <w:r>
              <w:rPr>
                <w:sz w:val="22"/>
                <w:lang w:val="uk-UA"/>
              </w:rPr>
              <w:t>Асоціація «Український клуб аграрного бізнесу»</w:t>
            </w:r>
          </w:p>
        </w:tc>
        <w:tc>
          <w:tcPr>
            <w:tcW w:w="1418" w:type="dxa"/>
          </w:tcPr>
          <w:p w:rsidR="007444A6" w:rsidRPr="007444A6" w:rsidRDefault="007444A6" w:rsidP="007444A6">
            <w:pPr>
              <w:jc w:val="center"/>
              <w:rPr>
                <w:sz w:val="22"/>
                <w:szCs w:val="28"/>
                <w:highlight w:val="yellow"/>
                <w:lang w:val="uk-UA"/>
              </w:rPr>
            </w:pPr>
            <w:r w:rsidRPr="00D02E1B">
              <w:rPr>
                <w:sz w:val="22"/>
                <w:szCs w:val="28"/>
                <w:lang w:val="uk-UA"/>
              </w:rPr>
              <w:t>Не враховано</w:t>
            </w:r>
          </w:p>
        </w:tc>
        <w:tc>
          <w:tcPr>
            <w:tcW w:w="1701" w:type="dxa"/>
          </w:tcPr>
          <w:p w:rsidR="007444A6" w:rsidRDefault="007444A6" w:rsidP="007444A6">
            <w:pPr>
              <w:jc w:val="center"/>
            </w:pPr>
            <w:r w:rsidRPr="00A30E13">
              <w:rPr>
                <w:sz w:val="22"/>
                <w:szCs w:val="28"/>
                <w:lang w:val="uk-UA"/>
              </w:rPr>
              <w:t>–</w:t>
            </w:r>
          </w:p>
        </w:tc>
      </w:tr>
      <w:tr w:rsidR="007444A6" w:rsidRPr="0061534D" w:rsidTr="00CA24E3">
        <w:trPr>
          <w:trHeight w:val="70"/>
        </w:trPr>
        <w:tc>
          <w:tcPr>
            <w:tcW w:w="4395" w:type="dxa"/>
          </w:tcPr>
          <w:p w:rsidR="007444A6" w:rsidRPr="00215EF0" w:rsidRDefault="007444A6" w:rsidP="007444A6">
            <w:pPr>
              <w:pStyle w:val="a5"/>
              <w:spacing w:before="0" w:beforeAutospacing="0" w:after="0" w:afterAutospacing="0"/>
              <w:jc w:val="both"/>
              <w:rPr>
                <w:sz w:val="22"/>
                <w:szCs w:val="28"/>
                <w:lang w:val="uk-UA"/>
              </w:rPr>
            </w:pPr>
            <w:r w:rsidRPr="00215EF0">
              <w:rPr>
                <w:sz w:val="22"/>
                <w:szCs w:val="28"/>
                <w:lang w:val="uk-UA"/>
              </w:rPr>
              <w:t>9. Пункти 17 та 18 викласти в такій редакції:</w:t>
            </w:r>
          </w:p>
          <w:p w:rsidR="007444A6" w:rsidRPr="00215EF0" w:rsidRDefault="007444A6" w:rsidP="007444A6">
            <w:pPr>
              <w:pStyle w:val="a5"/>
              <w:spacing w:before="0" w:beforeAutospacing="0" w:after="0" w:afterAutospacing="0"/>
              <w:jc w:val="both"/>
              <w:rPr>
                <w:sz w:val="22"/>
                <w:szCs w:val="28"/>
                <w:lang w:val="uk-UA"/>
              </w:rPr>
            </w:pPr>
          </w:p>
          <w:p w:rsidR="007444A6" w:rsidRPr="00215EF0" w:rsidRDefault="007444A6" w:rsidP="007444A6">
            <w:pPr>
              <w:pStyle w:val="a5"/>
              <w:spacing w:before="0" w:beforeAutospacing="0" w:after="0" w:afterAutospacing="0"/>
              <w:jc w:val="both"/>
              <w:rPr>
                <w:sz w:val="22"/>
                <w:szCs w:val="28"/>
                <w:lang w:val="uk-UA"/>
              </w:rPr>
            </w:pPr>
            <w:r w:rsidRPr="00215EF0">
              <w:rPr>
                <w:sz w:val="22"/>
                <w:szCs w:val="28"/>
                <w:lang w:val="uk-UA"/>
              </w:rPr>
              <w:t>«17. У рішенні про неврахування таблиці даних платника податку комісія регіонального рівня обов’язково зазначає підстави такого неврахування.</w:t>
            </w:r>
          </w:p>
          <w:p w:rsidR="007444A6" w:rsidRPr="00215EF0" w:rsidRDefault="007444A6" w:rsidP="007444A6">
            <w:pPr>
              <w:pStyle w:val="a5"/>
              <w:spacing w:before="0" w:beforeAutospacing="0" w:after="0" w:afterAutospacing="0"/>
              <w:jc w:val="center"/>
              <w:rPr>
                <w:sz w:val="22"/>
                <w:szCs w:val="28"/>
                <w:lang w:val="uk-UA"/>
              </w:rPr>
            </w:pPr>
            <w:r w:rsidRPr="00215EF0">
              <w:rPr>
                <w:sz w:val="22"/>
                <w:szCs w:val="28"/>
                <w:lang w:val="uk-UA"/>
              </w:rPr>
              <w:t>…</w:t>
            </w:r>
          </w:p>
          <w:p w:rsidR="007444A6" w:rsidRPr="00215EF0" w:rsidRDefault="007444A6" w:rsidP="007444A6">
            <w:pPr>
              <w:pStyle w:val="a5"/>
              <w:spacing w:before="0" w:beforeAutospacing="0" w:after="0" w:afterAutospacing="0"/>
              <w:jc w:val="both"/>
              <w:rPr>
                <w:sz w:val="22"/>
                <w:szCs w:val="28"/>
                <w:lang w:val="uk-UA"/>
              </w:rPr>
            </w:pPr>
            <w:r w:rsidRPr="00215EF0">
              <w:rPr>
                <w:sz w:val="22"/>
                <w:szCs w:val="28"/>
                <w:lang w:val="uk-UA"/>
              </w:rPr>
              <w:t>18. Таблицю даних платника податку ДПС враховує автоматично, якщо виконується одна з умов:</w:t>
            </w:r>
          </w:p>
          <w:p w:rsidR="007444A6" w:rsidRPr="00215EF0" w:rsidRDefault="007444A6" w:rsidP="007444A6">
            <w:pPr>
              <w:pStyle w:val="a5"/>
              <w:spacing w:before="0" w:beforeAutospacing="0" w:after="0" w:afterAutospacing="0"/>
              <w:jc w:val="center"/>
              <w:rPr>
                <w:sz w:val="22"/>
                <w:szCs w:val="28"/>
                <w:lang w:val="uk-UA"/>
              </w:rPr>
            </w:pPr>
            <w:r w:rsidRPr="00215EF0">
              <w:rPr>
                <w:sz w:val="22"/>
                <w:szCs w:val="28"/>
                <w:lang w:val="uk-UA"/>
              </w:rPr>
              <w:t>…</w:t>
            </w:r>
          </w:p>
          <w:p w:rsidR="007444A6" w:rsidRPr="00215EF0" w:rsidRDefault="007444A6" w:rsidP="007444A6">
            <w:pPr>
              <w:pStyle w:val="a5"/>
              <w:spacing w:before="0" w:beforeAutospacing="0" w:after="0" w:afterAutospacing="0"/>
              <w:jc w:val="both"/>
              <w:rPr>
                <w:sz w:val="22"/>
                <w:szCs w:val="28"/>
                <w:lang w:val="uk-UA"/>
              </w:rPr>
            </w:pPr>
            <w:r w:rsidRPr="00215EF0">
              <w:rPr>
                <w:sz w:val="22"/>
                <w:szCs w:val="28"/>
                <w:lang w:val="uk-UA"/>
              </w:rPr>
              <w:t>2) таблицю даних платника податку подає платник податку, щодо якого виконуються одночасно такі умови:</w:t>
            </w:r>
          </w:p>
          <w:p w:rsidR="007444A6" w:rsidRPr="00215EF0" w:rsidRDefault="007444A6" w:rsidP="007444A6">
            <w:pPr>
              <w:pStyle w:val="a5"/>
              <w:spacing w:before="0" w:beforeAutospacing="0" w:after="0" w:afterAutospacing="0"/>
              <w:jc w:val="center"/>
              <w:rPr>
                <w:sz w:val="22"/>
                <w:szCs w:val="28"/>
                <w:lang w:val="uk-UA"/>
              </w:rPr>
            </w:pPr>
            <w:r>
              <w:rPr>
                <w:sz w:val="22"/>
                <w:szCs w:val="28"/>
                <w:lang w:val="uk-UA"/>
              </w:rPr>
              <w:t>…</w:t>
            </w:r>
          </w:p>
          <w:p w:rsidR="007444A6" w:rsidRDefault="007444A6" w:rsidP="007444A6">
            <w:pPr>
              <w:pStyle w:val="a5"/>
              <w:spacing w:before="0" w:beforeAutospacing="0" w:after="0" w:afterAutospacing="0"/>
              <w:jc w:val="both"/>
              <w:rPr>
                <w:sz w:val="22"/>
                <w:szCs w:val="28"/>
                <w:lang w:val="uk-UA"/>
              </w:rPr>
            </w:pPr>
            <w:r w:rsidRPr="00215EF0">
              <w:rPr>
                <w:sz w:val="22"/>
                <w:szCs w:val="28"/>
                <w:lang w:val="uk-UA"/>
              </w:rPr>
              <w:t>у кожному з останніх 12 календарних місяців чисельність працівників платника податку становить не менше ніж п’ять осіб;</w:t>
            </w:r>
          </w:p>
          <w:p w:rsidR="007444A6" w:rsidRPr="00215EF0" w:rsidRDefault="007444A6" w:rsidP="007444A6">
            <w:pPr>
              <w:pStyle w:val="a5"/>
              <w:spacing w:before="0" w:beforeAutospacing="0" w:after="0" w:afterAutospacing="0"/>
              <w:jc w:val="center"/>
              <w:rPr>
                <w:sz w:val="22"/>
                <w:szCs w:val="28"/>
                <w:lang w:val="uk-UA"/>
              </w:rPr>
            </w:pPr>
            <w:r>
              <w:rPr>
                <w:sz w:val="22"/>
                <w:szCs w:val="28"/>
                <w:lang w:val="uk-UA"/>
              </w:rPr>
              <w:t>…</w:t>
            </w:r>
          </w:p>
          <w:p w:rsidR="007444A6" w:rsidRPr="005B35F6" w:rsidRDefault="007444A6" w:rsidP="007444A6">
            <w:pPr>
              <w:pStyle w:val="a5"/>
              <w:spacing w:before="0" w:beforeAutospacing="0" w:after="0" w:afterAutospacing="0"/>
              <w:jc w:val="center"/>
              <w:rPr>
                <w:sz w:val="22"/>
                <w:szCs w:val="28"/>
                <w:lang w:val="uk-UA"/>
              </w:rPr>
            </w:pPr>
          </w:p>
        </w:tc>
        <w:tc>
          <w:tcPr>
            <w:tcW w:w="4394" w:type="dxa"/>
          </w:tcPr>
          <w:p w:rsidR="007444A6" w:rsidRDefault="007444A6" w:rsidP="007444A6">
            <w:pPr>
              <w:pStyle w:val="a5"/>
              <w:spacing w:before="0" w:beforeAutospacing="0" w:after="0" w:afterAutospacing="0"/>
              <w:jc w:val="both"/>
              <w:rPr>
                <w:sz w:val="22"/>
                <w:szCs w:val="28"/>
                <w:lang w:val="uk-UA"/>
              </w:rPr>
            </w:pPr>
            <w:r w:rsidRPr="00DA3299">
              <w:rPr>
                <w:sz w:val="22"/>
                <w:szCs w:val="28"/>
                <w:lang w:val="uk-UA"/>
              </w:rPr>
              <w:t>9. Пункти 17 та 18 викласти в такій редакції:</w:t>
            </w:r>
          </w:p>
          <w:p w:rsidR="007444A6" w:rsidRPr="00DA3299" w:rsidRDefault="007444A6" w:rsidP="007444A6">
            <w:pPr>
              <w:pStyle w:val="a5"/>
              <w:spacing w:before="0" w:beforeAutospacing="0" w:after="0" w:afterAutospacing="0"/>
              <w:jc w:val="both"/>
              <w:rPr>
                <w:sz w:val="22"/>
                <w:szCs w:val="28"/>
                <w:lang w:val="uk-UA"/>
              </w:rPr>
            </w:pPr>
          </w:p>
          <w:p w:rsidR="007444A6" w:rsidRPr="00DA3299" w:rsidRDefault="007444A6" w:rsidP="007444A6">
            <w:pPr>
              <w:pStyle w:val="a5"/>
              <w:spacing w:before="0" w:beforeAutospacing="0" w:after="0" w:afterAutospacing="0"/>
              <w:jc w:val="both"/>
              <w:rPr>
                <w:sz w:val="22"/>
                <w:szCs w:val="28"/>
                <w:lang w:val="uk-UA"/>
              </w:rPr>
            </w:pPr>
            <w:r>
              <w:rPr>
                <w:sz w:val="22"/>
                <w:szCs w:val="28"/>
                <w:lang w:val="uk-UA"/>
              </w:rPr>
              <w:t>«</w:t>
            </w:r>
            <w:r w:rsidRPr="00DA3299">
              <w:rPr>
                <w:sz w:val="22"/>
                <w:szCs w:val="28"/>
                <w:lang w:val="uk-UA"/>
              </w:rPr>
              <w:t>17. У рішенні про неврахування таблиці даних</w:t>
            </w:r>
            <w:r>
              <w:rPr>
                <w:sz w:val="22"/>
                <w:szCs w:val="28"/>
                <w:lang w:val="uk-UA"/>
              </w:rPr>
              <w:t xml:space="preserve"> </w:t>
            </w:r>
            <w:r w:rsidRPr="00DA3299">
              <w:rPr>
                <w:sz w:val="22"/>
                <w:szCs w:val="28"/>
                <w:lang w:val="uk-UA"/>
              </w:rPr>
              <w:t>платника податку комісія регіонального рівня</w:t>
            </w:r>
            <w:r>
              <w:rPr>
                <w:sz w:val="22"/>
                <w:szCs w:val="28"/>
                <w:lang w:val="uk-UA"/>
              </w:rPr>
              <w:t xml:space="preserve"> </w:t>
            </w:r>
            <w:r w:rsidRPr="00DA3299">
              <w:rPr>
                <w:sz w:val="22"/>
                <w:szCs w:val="28"/>
                <w:lang w:val="uk-UA"/>
              </w:rPr>
              <w:t>обов’язково зазначає підстави такого</w:t>
            </w:r>
            <w:r>
              <w:rPr>
                <w:sz w:val="22"/>
                <w:szCs w:val="28"/>
                <w:lang w:val="uk-UA"/>
              </w:rPr>
              <w:t xml:space="preserve"> </w:t>
            </w:r>
            <w:r w:rsidRPr="00DA3299">
              <w:rPr>
                <w:sz w:val="22"/>
                <w:szCs w:val="28"/>
                <w:lang w:val="uk-UA"/>
              </w:rPr>
              <w:t>неврахування.</w:t>
            </w:r>
          </w:p>
          <w:p w:rsidR="007444A6" w:rsidRPr="00DA3299" w:rsidRDefault="007444A6" w:rsidP="007444A6">
            <w:pPr>
              <w:pStyle w:val="a5"/>
              <w:spacing w:before="0" w:beforeAutospacing="0" w:after="0" w:afterAutospacing="0"/>
              <w:jc w:val="center"/>
              <w:rPr>
                <w:sz w:val="22"/>
                <w:szCs w:val="28"/>
                <w:lang w:val="uk-UA"/>
              </w:rPr>
            </w:pPr>
            <w:r w:rsidRPr="00DA3299">
              <w:rPr>
                <w:sz w:val="22"/>
                <w:szCs w:val="28"/>
                <w:lang w:val="uk-UA"/>
              </w:rPr>
              <w:t>...</w:t>
            </w:r>
          </w:p>
          <w:p w:rsidR="007444A6" w:rsidRPr="00DA3299" w:rsidRDefault="007444A6" w:rsidP="007444A6">
            <w:pPr>
              <w:pStyle w:val="a5"/>
              <w:spacing w:before="0" w:beforeAutospacing="0" w:after="0" w:afterAutospacing="0"/>
              <w:jc w:val="both"/>
              <w:rPr>
                <w:sz w:val="22"/>
                <w:szCs w:val="28"/>
                <w:lang w:val="uk-UA"/>
              </w:rPr>
            </w:pPr>
            <w:r w:rsidRPr="00DA3299">
              <w:rPr>
                <w:sz w:val="22"/>
                <w:szCs w:val="28"/>
                <w:lang w:val="uk-UA"/>
              </w:rPr>
              <w:t>18. Таблицю даних платника податку ДПС</w:t>
            </w:r>
          </w:p>
          <w:p w:rsidR="007444A6" w:rsidRPr="00DA3299" w:rsidRDefault="007444A6" w:rsidP="007444A6">
            <w:pPr>
              <w:pStyle w:val="a5"/>
              <w:spacing w:before="0" w:beforeAutospacing="0" w:after="0" w:afterAutospacing="0"/>
              <w:jc w:val="both"/>
              <w:rPr>
                <w:sz w:val="22"/>
                <w:szCs w:val="28"/>
                <w:lang w:val="uk-UA"/>
              </w:rPr>
            </w:pPr>
            <w:r w:rsidRPr="00DA3299">
              <w:rPr>
                <w:sz w:val="22"/>
                <w:szCs w:val="28"/>
                <w:lang w:val="uk-UA"/>
              </w:rPr>
              <w:t>враховує автоматично, якщо виконується одна з</w:t>
            </w:r>
            <w:r>
              <w:rPr>
                <w:sz w:val="22"/>
                <w:szCs w:val="28"/>
                <w:lang w:val="uk-UA"/>
              </w:rPr>
              <w:t xml:space="preserve"> </w:t>
            </w:r>
            <w:r w:rsidRPr="00DA3299">
              <w:rPr>
                <w:sz w:val="22"/>
                <w:szCs w:val="28"/>
                <w:lang w:val="uk-UA"/>
              </w:rPr>
              <w:t>умов:</w:t>
            </w:r>
          </w:p>
          <w:p w:rsidR="007444A6" w:rsidRPr="00DA3299" w:rsidRDefault="007444A6" w:rsidP="007444A6">
            <w:pPr>
              <w:pStyle w:val="a5"/>
              <w:spacing w:before="0" w:beforeAutospacing="0" w:after="0" w:afterAutospacing="0"/>
              <w:jc w:val="center"/>
              <w:rPr>
                <w:sz w:val="22"/>
                <w:szCs w:val="28"/>
                <w:lang w:val="uk-UA"/>
              </w:rPr>
            </w:pPr>
            <w:r w:rsidRPr="00DA3299">
              <w:rPr>
                <w:sz w:val="22"/>
                <w:szCs w:val="28"/>
                <w:lang w:val="uk-UA"/>
              </w:rPr>
              <w:t>...</w:t>
            </w:r>
          </w:p>
          <w:p w:rsidR="007444A6" w:rsidRPr="00DA3299" w:rsidRDefault="007444A6" w:rsidP="007444A6">
            <w:pPr>
              <w:pStyle w:val="a5"/>
              <w:spacing w:before="0" w:beforeAutospacing="0" w:after="0" w:afterAutospacing="0"/>
              <w:jc w:val="both"/>
              <w:rPr>
                <w:sz w:val="22"/>
                <w:szCs w:val="28"/>
                <w:lang w:val="uk-UA"/>
              </w:rPr>
            </w:pPr>
            <w:r w:rsidRPr="00DA3299">
              <w:rPr>
                <w:sz w:val="22"/>
                <w:szCs w:val="28"/>
                <w:lang w:val="uk-UA"/>
              </w:rPr>
              <w:t>2) таблицю даних платника податку подає</w:t>
            </w:r>
            <w:r>
              <w:rPr>
                <w:sz w:val="22"/>
                <w:szCs w:val="28"/>
                <w:lang w:val="uk-UA"/>
              </w:rPr>
              <w:t xml:space="preserve"> </w:t>
            </w:r>
            <w:r w:rsidRPr="00DA3299">
              <w:rPr>
                <w:sz w:val="22"/>
                <w:szCs w:val="28"/>
                <w:lang w:val="uk-UA"/>
              </w:rPr>
              <w:t>платник податку, щодо якого виконуються</w:t>
            </w:r>
          </w:p>
          <w:p w:rsidR="007444A6" w:rsidRPr="00DA3299" w:rsidRDefault="007444A6" w:rsidP="007444A6">
            <w:pPr>
              <w:pStyle w:val="a5"/>
              <w:spacing w:before="0" w:beforeAutospacing="0" w:after="0" w:afterAutospacing="0"/>
              <w:jc w:val="both"/>
              <w:rPr>
                <w:sz w:val="22"/>
                <w:szCs w:val="28"/>
                <w:lang w:val="uk-UA"/>
              </w:rPr>
            </w:pPr>
            <w:r w:rsidRPr="00DA3299">
              <w:rPr>
                <w:sz w:val="22"/>
                <w:szCs w:val="28"/>
                <w:lang w:val="uk-UA"/>
              </w:rPr>
              <w:t>одночасно такі умови:</w:t>
            </w:r>
          </w:p>
          <w:p w:rsidR="007444A6" w:rsidRPr="00DA3299" w:rsidRDefault="007444A6" w:rsidP="007444A6">
            <w:pPr>
              <w:pStyle w:val="a5"/>
              <w:spacing w:before="0" w:beforeAutospacing="0" w:after="0" w:afterAutospacing="0"/>
              <w:jc w:val="center"/>
              <w:rPr>
                <w:sz w:val="22"/>
                <w:szCs w:val="28"/>
                <w:lang w:val="uk-UA"/>
              </w:rPr>
            </w:pPr>
            <w:r w:rsidRPr="00DA3299">
              <w:rPr>
                <w:sz w:val="22"/>
                <w:szCs w:val="28"/>
                <w:lang w:val="uk-UA"/>
              </w:rPr>
              <w:t>…</w:t>
            </w:r>
          </w:p>
          <w:p w:rsidR="007444A6" w:rsidRDefault="007444A6" w:rsidP="007444A6">
            <w:pPr>
              <w:pStyle w:val="a5"/>
              <w:spacing w:before="0" w:beforeAutospacing="0" w:after="0" w:afterAutospacing="0"/>
              <w:jc w:val="both"/>
              <w:rPr>
                <w:sz w:val="22"/>
                <w:szCs w:val="28"/>
                <w:lang w:val="uk-UA"/>
              </w:rPr>
            </w:pPr>
            <w:r w:rsidRPr="00DA3299">
              <w:rPr>
                <w:sz w:val="22"/>
                <w:szCs w:val="28"/>
                <w:lang w:val="uk-UA"/>
              </w:rPr>
              <w:t>у кожному з останніх 12 календарних місяців</w:t>
            </w:r>
            <w:r>
              <w:rPr>
                <w:sz w:val="22"/>
                <w:szCs w:val="28"/>
                <w:lang w:val="uk-UA"/>
              </w:rPr>
              <w:t xml:space="preserve"> </w:t>
            </w:r>
            <w:r w:rsidRPr="00DA3299">
              <w:rPr>
                <w:sz w:val="22"/>
                <w:szCs w:val="28"/>
                <w:lang w:val="uk-UA"/>
              </w:rPr>
              <w:t>чисельність працівників платника податку</w:t>
            </w:r>
            <w:r>
              <w:rPr>
                <w:sz w:val="22"/>
                <w:szCs w:val="28"/>
                <w:lang w:val="uk-UA"/>
              </w:rPr>
              <w:t xml:space="preserve"> </w:t>
            </w:r>
            <w:r w:rsidRPr="00DA3299">
              <w:rPr>
                <w:sz w:val="22"/>
                <w:szCs w:val="28"/>
                <w:lang w:val="uk-UA"/>
              </w:rPr>
              <w:t>становить не менше трьох осіб;</w:t>
            </w:r>
          </w:p>
          <w:p w:rsidR="007444A6" w:rsidRPr="001525B9" w:rsidRDefault="007444A6" w:rsidP="007444A6">
            <w:pPr>
              <w:pStyle w:val="a5"/>
              <w:spacing w:before="0" w:beforeAutospacing="0" w:after="0" w:afterAutospacing="0"/>
              <w:jc w:val="center"/>
              <w:rPr>
                <w:sz w:val="22"/>
                <w:szCs w:val="28"/>
                <w:lang w:val="uk-UA"/>
              </w:rPr>
            </w:pPr>
            <w:r>
              <w:rPr>
                <w:sz w:val="22"/>
                <w:szCs w:val="28"/>
                <w:lang w:val="uk-UA"/>
              </w:rPr>
              <w:t>…</w:t>
            </w:r>
          </w:p>
        </w:tc>
        <w:tc>
          <w:tcPr>
            <w:tcW w:w="2693" w:type="dxa"/>
          </w:tcPr>
          <w:p w:rsidR="007444A6" w:rsidRPr="00304F4C" w:rsidRDefault="007444A6" w:rsidP="007444A6">
            <w:pPr>
              <w:jc w:val="center"/>
              <w:rPr>
                <w:lang w:val="uk-UA"/>
              </w:rPr>
            </w:pPr>
            <w:r w:rsidRPr="00A90C5A">
              <w:rPr>
                <w:sz w:val="22"/>
                <w:lang w:val="uk-UA"/>
              </w:rPr>
              <w:t>Американська торгівельна палата в Україні</w:t>
            </w:r>
          </w:p>
        </w:tc>
        <w:tc>
          <w:tcPr>
            <w:tcW w:w="1418" w:type="dxa"/>
          </w:tcPr>
          <w:p w:rsidR="007444A6" w:rsidRDefault="007444A6" w:rsidP="007444A6">
            <w:pPr>
              <w:jc w:val="center"/>
            </w:pPr>
            <w:r w:rsidRPr="00E44476">
              <w:rPr>
                <w:sz w:val="22"/>
                <w:szCs w:val="28"/>
                <w:lang w:val="uk-UA"/>
              </w:rPr>
              <w:t>не враховано</w:t>
            </w:r>
          </w:p>
        </w:tc>
        <w:tc>
          <w:tcPr>
            <w:tcW w:w="1701" w:type="dxa"/>
          </w:tcPr>
          <w:p w:rsidR="007444A6" w:rsidRDefault="007444A6" w:rsidP="007444A6">
            <w:pPr>
              <w:jc w:val="center"/>
            </w:pPr>
            <w:r w:rsidRPr="00A30E13">
              <w:rPr>
                <w:sz w:val="22"/>
                <w:szCs w:val="28"/>
                <w:lang w:val="uk-UA"/>
              </w:rPr>
              <w:t>–</w:t>
            </w:r>
          </w:p>
        </w:tc>
      </w:tr>
      <w:tr w:rsidR="00D67DD7" w:rsidRPr="0061534D" w:rsidTr="00CA24E3">
        <w:trPr>
          <w:trHeight w:val="70"/>
        </w:trPr>
        <w:tc>
          <w:tcPr>
            <w:tcW w:w="4395" w:type="dxa"/>
          </w:tcPr>
          <w:p w:rsidR="00D67DD7" w:rsidRPr="00D67DD7" w:rsidRDefault="00D67DD7" w:rsidP="00D67DD7">
            <w:pPr>
              <w:pStyle w:val="a5"/>
              <w:jc w:val="both"/>
              <w:rPr>
                <w:sz w:val="22"/>
                <w:szCs w:val="28"/>
                <w:lang w:val="uk-UA"/>
              </w:rPr>
            </w:pPr>
            <w:r w:rsidRPr="00D67DD7">
              <w:rPr>
                <w:sz w:val="22"/>
                <w:szCs w:val="28"/>
                <w:lang w:val="uk-UA"/>
              </w:rPr>
              <w:t>9. Пункти 17 та 18 викласти в такій редакції:</w:t>
            </w:r>
          </w:p>
          <w:p w:rsidR="00D67DD7" w:rsidRPr="00D67DD7" w:rsidRDefault="00D67DD7" w:rsidP="00D67DD7">
            <w:pPr>
              <w:pStyle w:val="a5"/>
              <w:spacing w:before="0" w:beforeAutospacing="0" w:after="0" w:afterAutospacing="0"/>
              <w:jc w:val="both"/>
              <w:rPr>
                <w:sz w:val="22"/>
                <w:szCs w:val="28"/>
                <w:lang w:val="uk-UA"/>
              </w:rPr>
            </w:pPr>
            <w:r w:rsidRPr="00D67DD7">
              <w:rPr>
                <w:sz w:val="22"/>
                <w:szCs w:val="28"/>
                <w:lang w:val="uk-UA"/>
              </w:rPr>
              <w:t>«17. У рішенні про неврахування таблиці даних платника податку комісія регіонального рівня обов’язково зазначає підстави такого неврахування.</w:t>
            </w:r>
          </w:p>
          <w:p w:rsidR="00D67DD7" w:rsidRPr="00D67DD7" w:rsidRDefault="00D67DD7" w:rsidP="00D67DD7">
            <w:pPr>
              <w:pStyle w:val="a5"/>
              <w:spacing w:before="0" w:beforeAutospacing="0" w:after="0" w:afterAutospacing="0"/>
              <w:jc w:val="center"/>
              <w:rPr>
                <w:sz w:val="22"/>
                <w:szCs w:val="28"/>
                <w:lang w:val="uk-UA"/>
              </w:rPr>
            </w:pPr>
            <w:r>
              <w:rPr>
                <w:sz w:val="22"/>
                <w:szCs w:val="28"/>
                <w:lang w:val="uk-UA"/>
              </w:rPr>
              <w:t>…</w:t>
            </w:r>
          </w:p>
          <w:p w:rsidR="00D67DD7" w:rsidRPr="00D67DD7" w:rsidRDefault="00D67DD7" w:rsidP="00D67DD7">
            <w:pPr>
              <w:pStyle w:val="a5"/>
              <w:spacing w:before="0" w:beforeAutospacing="0" w:after="0" w:afterAutospacing="0"/>
              <w:jc w:val="both"/>
              <w:rPr>
                <w:sz w:val="22"/>
                <w:szCs w:val="28"/>
                <w:lang w:val="uk-UA"/>
              </w:rPr>
            </w:pPr>
            <w:r w:rsidRPr="00D67DD7">
              <w:rPr>
                <w:sz w:val="22"/>
                <w:szCs w:val="28"/>
                <w:lang w:val="uk-UA"/>
              </w:rPr>
              <w:t>18. Таблицю даних платника податку ДПС враховує автоматично, якщо виконується одна з умов:</w:t>
            </w:r>
          </w:p>
          <w:p w:rsidR="00D67DD7" w:rsidRPr="00D67DD7" w:rsidRDefault="00D67DD7" w:rsidP="00D67DD7">
            <w:pPr>
              <w:pStyle w:val="a5"/>
              <w:jc w:val="both"/>
              <w:rPr>
                <w:sz w:val="22"/>
                <w:szCs w:val="28"/>
                <w:lang w:val="uk-UA"/>
              </w:rPr>
            </w:pPr>
            <w:r w:rsidRPr="00D67DD7">
              <w:rPr>
                <w:sz w:val="22"/>
                <w:szCs w:val="28"/>
                <w:lang w:val="uk-UA"/>
              </w:rPr>
              <w:t xml:space="preserve">1) таблицю даних платника податку подає платник податку, щодо якого виконуються одночасно такі умови: </w:t>
            </w:r>
          </w:p>
          <w:p w:rsidR="00D67DD7" w:rsidRPr="00D67DD7" w:rsidRDefault="00D67DD7" w:rsidP="00D67DD7">
            <w:pPr>
              <w:pStyle w:val="a5"/>
              <w:jc w:val="center"/>
              <w:rPr>
                <w:sz w:val="22"/>
                <w:szCs w:val="28"/>
                <w:lang w:val="uk-UA"/>
              </w:rPr>
            </w:pPr>
            <w:r>
              <w:rPr>
                <w:sz w:val="22"/>
                <w:szCs w:val="28"/>
                <w:lang w:val="uk-UA"/>
              </w:rPr>
              <w:t>…</w:t>
            </w:r>
          </w:p>
          <w:p w:rsidR="00D67DD7" w:rsidRPr="00D67DD7" w:rsidRDefault="00D67DD7" w:rsidP="00D67DD7">
            <w:pPr>
              <w:pStyle w:val="a5"/>
              <w:jc w:val="both"/>
              <w:rPr>
                <w:sz w:val="22"/>
                <w:szCs w:val="28"/>
                <w:lang w:val="uk-UA"/>
              </w:rPr>
            </w:pPr>
            <w:r w:rsidRPr="00D67DD7">
              <w:rPr>
                <w:sz w:val="22"/>
                <w:szCs w:val="28"/>
                <w:lang w:val="uk-UA"/>
              </w:rPr>
              <w:t>у кожному з останніх 12 календарних місяців чисельність працівників платника податку становить не менше ніж три особи;</w:t>
            </w:r>
          </w:p>
          <w:p w:rsidR="00D67DD7" w:rsidRPr="00D67DD7" w:rsidRDefault="00D67DD7" w:rsidP="00D67DD7">
            <w:pPr>
              <w:pStyle w:val="a5"/>
              <w:jc w:val="both"/>
              <w:rPr>
                <w:sz w:val="22"/>
                <w:szCs w:val="28"/>
                <w:lang w:val="uk-UA"/>
              </w:rPr>
            </w:pPr>
            <w:r w:rsidRPr="00D67DD7">
              <w:rPr>
                <w:sz w:val="22"/>
                <w:szCs w:val="28"/>
                <w:lang w:val="uk-UA"/>
              </w:rPr>
              <w:t xml:space="preserve">у таблиці даних платника податку зазначено виключно код(и) згідно з УКТ ЗЕД групи товарів, обсяг постачання за якою згідно з податковими накладними / розрахунками коригування, поданими для реєстрації та зареєстрованими в Реєстрі за останні 12 календарних місяців, що передують місяцю, у якому подано таблицю даних платника податку для розгляду, становить 25 і більше відсотків у цьому періоді та яка є однією з таких груп товарів як живі тварини (код згідно з УКТ ЗЕД 01), м’ясо та їстівні субпродукти (код згідно з УКТ ЗЕД 02), риба і ракоподібні, молюски та інші водяні безхребетні (код згідно з УКТ ЗЕД 03), молоко та молочні продукти; яйця птиці; натуральний мед; їстівні продукти тваринного походження, </w:t>
            </w:r>
            <w:r>
              <w:rPr>
                <w:sz w:val="22"/>
                <w:szCs w:val="28"/>
                <w:lang w:val="uk-UA"/>
              </w:rPr>
              <w:t xml:space="preserve"> </w:t>
            </w:r>
            <w:r w:rsidRPr="00D67DD7">
              <w:rPr>
                <w:sz w:val="22"/>
                <w:szCs w:val="28"/>
                <w:lang w:val="uk-UA"/>
              </w:rPr>
              <w:t xml:space="preserve">в іншому місці не зазначені (код згідно з УКТ ЗЕД 04), інші продукти тваринного походження, в іншому місці не зазначені (код згідно з УКТ ЗЕД  05), овочі та деякі їстівні коренеплоди і бульби (код згідно з УКТ ЗЕД 07), їстівні плоди та горіхи; шкірки цитрусових або динь (код згідно з УКТ ЗЕД 08), зернові культури (код згідно з УКТ ЗЕД 10), насіння і плоди олійних рослин; інше насіння, плоди та зерна; технічні або лікарські рослини; солома і фураж (код згідно з УКТ ЗЕД 12), жири та олії тваринного або рослинного походження; продукти їх розщеплення; готові харчові жири; воски тваринного або рослинного походження (код згідно з УКТ ЗЕД 15), залишки і відходи харчової промисловості; готові корми для тварин (код згідно з УКТ ЗЕД 23); </w:t>
            </w:r>
          </w:p>
          <w:p w:rsidR="00D67DD7" w:rsidRPr="00D67DD7" w:rsidRDefault="00D67DD7" w:rsidP="00D67DD7">
            <w:pPr>
              <w:pStyle w:val="a5"/>
              <w:jc w:val="center"/>
              <w:rPr>
                <w:sz w:val="22"/>
                <w:szCs w:val="28"/>
                <w:lang w:val="uk-UA"/>
              </w:rPr>
            </w:pPr>
            <w:r>
              <w:rPr>
                <w:sz w:val="22"/>
                <w:szCs w:val="28"/>
                <w:lang w:val="uk-UA"/>
              </w:rPr>
              <w:t>…</w:t>
            </w:r>
          </w:p>
          <w:p w:rsidR="00D67DD7" w:rsidRPr="00D67DD7" w:rsidRDefault="00D67DD7" w:rsidP="00D67DD7">
            <w:pPr>
              <w:pStyle w:val="a5"/>
              <w:jc w:val="both"/>
              <w:rPr>
                <w:sz w:val="22"/>
                <w:szCs w:val="28"/>
                <w:lang w:val="uk-UA"/>
              </w:rPr>
            </w:pPr>
            <w:r w:rsidRPr="00D67DD7">
              <w:rPr>
                <w:sz w:val="22"/>
                <w:szCs w:val="28"/>
                <w:lang w:val="uk-UA"/>
              </w:rPr>
              <w:t>2) таблицю даних платника податку подає платник податку, щодо якого виконуються одночасно такі умови:</w:t>
            </w:r>
          </w:p>
          <w:p w:rsidR="00D67DD7" w:rsidRPr="00D67DD7" w:rsidRDefault="00D67DD7" w:rsidP="00D67DD7">
            <w:pPr>
              <w:pStyle w:val="a5"/>
              <w:jc w:val="both"/>
              <w:rPr>
                <w:sz w:val="22"/>
                <w:szCs w:val="28"/>
                <w:lang w:val="uk-UA"/>
              </w:rPr>
            </w:pPr>
            <w:r w:rsidRPr="00D67DD7">
              <w:rPr>
                <w:sz w:val="22"/>
                <w:szCs w:val="28"/>
                <w:lang w:val="uk-UA"/>
              </w:rPr>
              <w:t>у таблиці даних платника податку зазначено код згідно з УКТ ЗЕД / Державним класифікатором, обсяг постачання за яким згідно з податковими накладними / розрахунками коригування, поданими для реєстрації та зареєстрованими в Реєстрі за останні 12 календарних місяців, що передують місяцю, у якому подано таблицю даних платника податку для розгляду, становить більше ніж 25 відсотків від загального обсягу постачання в цьому періоді;</w:t>
            </w:r>
          </w:p>
          <w:p w:rsidR="00D67DD7" w:rsidRPr="00D67DD7" w:rsidRDefault="00D67DD7" w:rsidP="00D67DD7">
            <w:pPr>
              <w:pStyle w:val="a5"/>
              <w:jc w:val="center"/>
              <w:rPr>
                <w:sz w:val="22"/>
                <w:szCs w:val="28"/>
                <w:lang w:val="uk-UA"/>
              </w:rPr>
            </w:pPr>
            <w:r>
              <w:rPr>
                <w:sz w:val="22"/>
                <w:szCs w:val="28"/>
                <w:lang w:val="uk-UA"/>
              </w:rPr>
              <w:t>…</w:t>
            </w:r>
          </w:p>
          <w:p w:rsidR="00D67DD7" w:rsidRPr="00D67DD7" w:rsidRDefault="00D67DD7" w:rsidP="00D67DD7">
            <w:pPr>
              <w:pStyle w:val="a5"/>
              <w:jc w:val="both"/>
              <w:rPr>
                <w:sz w:val="22"/>
                <w:szCs w:val="28"/>
                <w:lang w:val="uk-UA"/>
              </w:rPr>
            </w:pPr>
            <w:r w:rsidRPr="00D67DD7">
              <w:rPr>
                <w:sz w:val="22"/>
                <w:szCs w:val="28"/>
                <w:lang w:val="uk-UA"/>
              </w:rPr>
              <w:t>у кожному з останніх 12 календарних місяців чисельність працівників платника податку становить не менше ніж п’ять осіб;</w:t>
            </w:r>
          </w:p>
          <w:p w:rsidR="00D67DD7" w:rsidRPr="00215EF0" w:rsidRDefault="00D67DD7" w:rsidP="00D67DD7">
            <w:pPr>
              <w:pStyle w:val="a5"/>
              <w:jc w:val="center"/>
              <w:rPr>
                <w:sz w:val="22"/>
                <w:szCs w:val="28"/>
                <w:lang w:val="uk-UA"/>
              </w:rPr>
            </w:pPr>
            <w:r>
              <w:rPr>
                <w:sz w:val="22"/>
                <w:szCs w:val="28"/>
                <w:lang w:val="uk-UA"/>
              </w:rPr>
              <w:t>…</w:t>
            </w:r>
            <w:r w:rsidRPr="00D67DD7">
              <w:rPr>
                <w:sz w:val="22"/>
                <w:szCs w:val="28"/>
                <w:lang w:val="uk-UA"/>
              </w:rPr>
              <w:t>».</w:t>
            </w:r>
          </w:p>
        </w:tc>
        <w:tc>
          <w:tcPr>
            <w:tcW w:w="4394" w:type="dxa"/>
          </w:tcPr>
          <w:p w:rsidR="00D67DD7" w:rsidRPr="00DA3299" w:rsidRDefault="00D67DD7" w:rsidP="00D67DD7">
            <w:pPr>
              <w:pStyle w:val="a5"/>
              <w:spacing w:before="0" w:beforeAutospacing="0" w:after="0" w:afterAutospacing="0"/>
              <w:jc w:val="both"/>
              <w:rPr>
                <w:sz w:val="22"/>
                <w:szCs w:val="28"/>
                <w:lang w:val="uk-UA"/>
              </w:rPr>
            </w:pPr>
            <w:r>
              <w:rPr>
                <w:sz w:val="22"/>
                <w:szCs w:val="28"/>
                <w:lang w:val="uk-UA"/>
              </w:rPr>
              <w:t>Передбачити альтернативні або додаткові умови, наприклад, орієнтування на суму сплаченого ПДВ, податкову ефективність чи підтвердження економічної доцільності бізнес-моделі через документи.</w:t>
            </w:r>
          </w:p>
        </w:tc>
        <w:tc>
          <w:tcPr>
            <w:tcW w:w="2693" w:type="dxa"/>
          </w:tcPr>
          <w:p w:rsidR="00D67DD7" w:rsidRPr="00A90C5A" w:rsidRDefault="00D67DD7" w:rsidP="00D67DD7">
            <w:pPr>
              <w:jc w:val="center"/>
              <w:rPr>
                <w:sz w:val="22"/>
                <w:lang w:val="uk-UA"/>
              </w:rPr>
            </w:pPr>
            <w:r>
              <w:rPr>
                <w:sz w:val="22"/>
                <w:lang w:val="uk-UA"/>
              </w:rPr>
              <w:t>Асоціація «Український клуб аграрного бізнесу»</w:t>
            </w:r>
          </w:p>
        </w:tc>
        <w:tc>
          <w:tcPr>
            <w:tcW w:w="1418" w:type="dxa"/>
          </w:tcPr>
          <w:p w:rsidR="00D67DD7" w:rsidRPr="007444A6" w:rsidRDefault="00D67DD7" w:rsidP="00D67DD7">
            <w:pPr>
              <w:jc w:val="center"/>
              <w:rPr>
                <w:sz w:val="22"/>
                <w:szCs w:val="28"/>
                <w:highlight w:val="yellow"/>
                <w:lang w:val="uk-UA"/>
              </w:rPr>
            </w:pPr>
            <w:r w:rsidRPr="00D02E1B">
              <w:rPr>
                <w:sz w:val="22"/>
                <w:szCs w:val="28"/>
                <w:lang w:val="uk-UA"/>
              </w:rPr>
              <w:t>Не враховано</w:t>
            </w:r>
          </w:p>
        </w:tc>
        <w:tc>
          <w:tcPr>
            <w:tcW w:w="1701" w:type="dxa"/>
          </w:tcPr>
          <w:p w:rsidR="00D67DD7" w:rsidRPr="00A30E13" w:rsidRDefault="00D67DD7" w:rsidP="00D67DD7">
            <w:pPr>
              <w:jc w:val="center"/>
              <w:rPr>
                <w:sz w:val="22"/>
                <w:szCs w:val="28"/>
                <w:lang w:val="uk-UA"/>
              </w:rPr>
            </w:pPr>
            <w:r w:rsidRPr="00A30E13">
              <w:rPr>
                <w:sz w:val="22"/>
                <w:szCs w:val="28"/>
                <w:lang w:val="uk-UA"/>
              </w:rPr>
              <w:t>–</w:t>
            </w:r>
          </w:p>
        </w:tc>
      </w:tr>
      <w:tr w:rsidR="00D67DD7" w:rsidRPr="0061534D" w:rsidTr="002D463A">
        <w:trPr>
          <w:trHeight w:val="70"/>
        </w:trPr>
        <w:tc>
          <w:tcPr>
            <w:tcW w:w="4395" w:type="dxa"/>
            <w:vAlign w:val="center"/>
          </w:tcPr>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 xml:space="preserve">10. У пункті 19: </w:t>
            </w:r>
          </w:p>
          <w:p w:rsidR="00D67DD7" w:rsidRPr="005B35F6" w:rsidRDefault="00D67DD7" w:rsidP="00D67DD7">
            <w:pPr>
              <w:pStyle w:val="a5"/>
              <w:spacing w:before="0" w:beforeAutospacing="0" w:after="0" w:afterAutospacing="0"/>
              <w:jc w:val="both"/>
              <w:rPr>
                <w:sz w:val="22"/>
                <w:szCs w:val="28"/>
                <w:lang w:val="uk-UA"/>
              </w:rPr>
            </w:pPr>
          </w:p>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 xml:space="preserve">в абзаці третьому слова «до контролюючого органу надійшла» замінити словами «контролюючим органом виявлено / отримано податкову інформацію»; </w:t>
            </w:r>
          </w:p>
          <w:p w:rsidR="00D67DD7" w:rsidRPr="005B35F6" w:rsidRDefault="00D67DD7" w:rsidP="00D67DD7">
            <w:pPr>
              <w:pStyle w:val="a5"/>
              <w:spacing w:before="0" w:beforeAutospacing="0" w:after="0" w:afterAutospacing="0"/>
              <w:jc w:val="both"/>
              <w:rPr>
                <w:sz w:val="22"/>
                <w:szCs w:val="28"/>
                <w:lang w:val="uk-UA"/>
              </w:rPr>
            </w:pPr>
          </w:p>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 xml:space="preserve">абзац четвертий замінити двома абзацами такого змісту: </w:t>
            </w:r>
          </w:p>
          <w:p w:rsidR="00D67DD7" w:rsidRPr="005B35F6" w:rsidRDefault="00D67DD7" w:rsidP="00D67DD7">
            <w:pPr>
              <w:pStyle w:val="a5"/>
              <w:spacing w:before="0" w:beforeAutospacing="0" w:after="0" w:afterAutospacing="0"/>
              <w:jc w:val="both"/>
              <w:rPr>
                <w:sz w:val="22"/>
                <w:szCs w:val="28"/>
                <w:lang w:val="uk-UA"/>
              </w:rPr>
            </w:pPr>
          </w:p>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«У рішенні про неврахування таблиці даних платника податку комісія контролюючого органу обов’язково зазначає підстави такого неврахування.</w:t>
            </w:r>
          </w:p>
          <w:p w:rsidR="00D67DD7" w:rsidRPr="005B35F6" w:rsidRDefault="00D67DD7" w:rsidP="00D67DD7">
            <w:pPr>
              <w:pStyle w:val="a5"/>
              <w:spacing w:before="0" w:beforeAutospacing="0" w:after="0" w:afterAutospacing="0"/>
              <w:jc w:val="both"/>
              <w:rPr>
                <w:sz w:val="22"/>
                <w:szCs w:val="28"/>
                <w:lang w:val="uk-UA"/>
              </w:rPr>
            </w:pPr>
          </w:p>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 xml:space="preserve">У разі якщо однією з підстав для прийняття рішення про неврахування таблиці даних платника визначено наявність у контролюючих органів податкової інформації, яка свідчить, що платник податку здійснив ризикові операції, у відповідних полях рішення зазначаються тип операції (придбання / постачання), період здійснення господарської операції, код згідно з УКТ ЗЕД / Державним класифікатором / умовним кодом товару, податковий номер платника податку, задіяного в ризиковій операції, дата включення платника податку, задіяного </w:t>
            </w:r>
          </w:p>
          <w:p w:rsidR="00D67DD7" w:rsidRPr="005B35F6" w:rsidRDefault="00D67DD7" w:rsidP="00D67DD7">
            <w:pPr>
              <w:pStyle w:val="a5"/>
              <w:spacing w:before="0" w:beforeAutospacing="0" w:after="0" w:afterAutospacing="0"/>
              <w:jc w:val="both"/>
              <w:rPr>
                <w:sz w:val="22"/>
                <w:szCs w:val="28"/>
                <w:lang w:val="uk-UA"/>
              </w:rPr>
            </w:pPr>
            <w:r w:rsidRPr="005B35F6">
              <w:rPr>
                <w:sz w:val="22"/>
                <w:szCs w:val="28"/>
                <w:lang w:val="uk-UA"/>
              </w:rPr>
              <w:t>в ризиковій операції, до переліку платників, які відповідають критеріям ризиковості платника податку.».</w:t>
            </w:r>
          </w:p>
        </w:tc>
        <w:tc>
          <w:tcPr>
            <w:tcW w:w="4394" w:type="dxa"/>
          </w:tcPr>
          <w:p w:rsidR="00D67DD7" w:rsidRPr="001525B9" w:rsidRDefault="00D67DD7" w:rsidP="00D67DD7">
            <w:pPr>
              <w:pStyle w:val="a5"/>
              <w:spacing w:before="0" w:beforeAutospacing="0" w:after="0" w:afterAutospacing="0"/>
              <w:jc w:val="both"/>
              <w:rPr>
                <w:sz w:val="22"/>
                <w:szCs w:val="28"/>
                <w:lang w:val="uk-UA"/>
              </w:rPr>
            </w:pPr>
            <w:r w:rsidRPr="00591A7D">
              <w:rPr>
                <w:sz w:val="22"/>
                <w:szCs w:val="28"/>
                <w:lang w:val="uk-UA"/>
              </w:rPr>
              <w:t>Внесення змін до пункт</w:t>
            </w:r>
            <w:r>
              <w:rPr>
                <w:sz w:val="22"/>
                <w:szCs w:val="28"/>
                <w:lang w:val="uk-UA"/>
              </w:rPr>
              <w:t>у</w:t>
            </w:r>
            <w:r w:rsidRPr="00591A7D">
              <w:rPr>
                <w:sz w:val="22"/>
                <w:szCs w:val="28"/>
                <w:lang w:val="uk-UA"/>
              </w:rPr>
              <w:t xml:space="preserve"> 19 Порядку зупинення реєстрації податкової накладної / розрахунку коригування в Єдиному реєстрі податкових накладних, затверджених постановою Кабінету Міністрів України від 11 грудня 2019 року № 1165 (зі змінами), </w:t>
            </w:r>
            <w:r>
              <w:rPr>
                <w:sz w:val="22"/>
                <w:szCs w:val="28"/>
                <w:lang w:val="uk-UA"/>
              </w:rPr>
              <w:t>в частині прийняття рішень про врахування/неврахування Таблиці даних платника податку на додану вартість виключно Комісіями регіонального рівня, а ДПС України розглядала б тільки Скарги про неврахування Таблиць даних платника податку на додану вартість (адміністративне оскарження).</w:t>
            </w:r>
          </w:p>
        </w:tc>
        <w:tc>
          <w:tcPr>
            <w:tcW w:w="2693" w:type="dxa"/>
          </w:tcPr>
          <w:p w:rsidR="00D67DD7" w:rsidRPr="00E44476" w:rsidRDefault="00D67DD7" w:rsidP="00D67DD7">
            <w:pPr>
              <w:jc w:val="center"/>
              <w:rPr>
                <w:lang w:val="uk-UA"/>
              </w:rPr>
            </w:pPr>
            <w:r>
              <w:rPr>
                <w:sz w:val="22"/>
                <w:szCs w:val="28"/>
                <w:lang w:val="uk-UA"/>
              </w:rPr>
              <w:t>ВГО «Асоціація платників податків України»</w:t>
            </w:r>
          </w:p>
        </w:tc>
        <w:tc>
          <w:tcPr>
            <w:tcW w:w="1418" w:type="dxa"/>
          </w:tcPr>
          <w:p w:rsidR="00D67DD7" w:rsidRPr="00E44476" w:rsidRDefault="00D67DD7" w:rsidP="00D67DD7">
            <w:pPr>
              <w:jc w:val="center"/>
              <w:rPr>
                <w:sz w:val="22"/>
                <w:szCs w:val="28"/>
                <w:lang w:val="uk-UA"/>
              </w:rPr>
            </w:pPr>
            <w:r w:rsidRPr="00E44476">
              <w:rPr>
                <w:sz w:val="22"/>
                <w:szCs w:val="28"/>
                <w:lang w:val="uk-UA"/>
              </w:rPr>
              <w:t>не враховано</w:t>
            </w:r>
          </w:p>
        </w:tc>
        <w:tc>
          <w:tcPr>
            <w:tcW w:w="1701" w:type="dxa"/>
          </w:tcPr>
          <w:p w:rsidR="00D67DD7" w:rsidRPr="00A30E13" w:rsidRDefault="00D67DD7" w:rsidP="00D67DD7">
            <w:pPr>
              <w:jc w:val="center"/>
              <w:rPr>
                <w:sz w:val="22"/>
                <w:szCs w:val="28"/>
                <w:lang w:val="uk-UA"/>
              </w:rPr>
            </w:pPr>
            <w:r w:rsidRPr="00A30E13">
              <w:rPr>
                <w:sz w:val="22"/>
                <w:szCs w:val="28"/>
                <w:lang w:val="uk-UA"/>
              </w:rPr>
              <w:t>–</w:t>
            </w:r>
            <w:r>
              <w:rPr>
                <w:sz w:val="22"/>
                <w:szCs w:val="28"/>
                <w:lang w:val="uk-UA"/>
              </w:rPr>
              <w:t xml:space="preserve">  </w:t>
            </w:r>
          </w:p>
        </w:tc>
      </w:tr>
      <w:tr w:rsidR="00D67DD7" w:rsidRPr="0061534D" w:rsidTr="00920C02">
        <w:trPr>
          <w:trHeight w:val="70"/>
        </w:trPr>
        <w:tc>
          <w:tcPr>
            <w:tcW w:w="4395" w:type="dxa"/>
            <w:vAlign w:val="center"/>
          </w:tcPr>
          <w:p w:rsidR="00D67DD7" w:rsidRPr="00215EF0" w:rsidRDefault="00D67DD7" w:rsidP="00D67DD7">
            <w:pPr>
              <w:pStyle w:val="a5"/>
              <w:spacing w:before="0" w:beforeAutospacing="0" w:after="0" w:afterAutospacing="0"/>
              <w:jc w:val="both"/>
              <w:rPr>
                <w:sz w:val="22"/>
                <w:szCs w:val="28"/>
                <w:lang w:val="uk-UA"/>
              </w:rPr>
            </w:pPr>
            <w:r w:rsidRPr="00215EF0">
              <w:rPr>
                <w:sz w:val="22"/>
                <w:szCs w:val="28"/>
                <w:lang w:val="uk-UA"/>
              </w:rPr>
              <w:t>12. Пункт 44 доповнити новим абзацом такого змісту:</w:t>
            </w:r>
          </w:p>
          <w:p w:rsidR="00D67DD7" w:rsidRPr="005B35F6" w:rsidRDefault="00D67DD7" w:rsidP="00D67DD7">
            <w:pPr>
              <w:pStyle w:val="a5"/>
              <w:spacing w:before="0" w:beforeAutospacing="0" w:after="0" w:afterAutospacing="0"/>
              <w:jc w:val="both"/>
              <w:rPr>
                <w:sz w:val="22"/>
                <w:szCs w:val="28"/>
                <w:lang w:val="uk-UA"/>
              </w:rPr>
            </w:pPr>
            <w:r w:rsidRPr="00215EF0">
              <w:rPr>
                <w:sz w:val="22"/>
                <w:szCs w:val="28"/>
                <w:lang w:val="uk-UA"/>
              </w:rPr>
              <w:t>«Комісія контролюючого органу з метою прийняття рішення розглядає інформацію за результатами автоматизованого моніторингу.».</w:t>
            </w:r>
          </w:p>
        </w:tc>
        <w:tc>
          <w:tcPr>
            <w:tcW w:w="4394" w:type="dxa"/>
          </w:tcPr>
          <w:p w:rsidR="00D67DD7" w:rsidRDefault="00D67DD7" w:rsidP="00D67DD7">
            <w:pPr>
              <w:pStyle w:val="a5"/>
              <w:spacing w:before="0" w:beforeAutospacing="0" w:after="0" w:afterAutospacing="0"/>
              <w:ind w:right="113"/>
              <w:jc w:val="both"/>
              <w:rPr>
                <w:sz w:val="22"/>
                <w:szCs w:val="28"/>
                <w:lang w:val="uk-UA"/>
              </w:rPr>
            </w:pPr>
            <w:r>
              <w:rPr>
                <w:sz w:val="22"/>
                <w:szCs w:val="28"/>
                <w:lang w:val="uk-UA"/>
              </w:rPr>
              <w:t xml:space="preserve">12. </w:t>
            </w:r>
            <w:r w:rsidRPr="00215EF0">
              <w:rPr>
                <w:sz w:val="22"/>
                <w:szCs w:val="28"/>
                <w:lang w:val="uk-UA"/>
              </w:rPr>
              <w:t>Пункт 44 викласти в редакції</w:t>
            </w:r>
            <w:r>
              <w:rPr>
                <w:sz w:val="22"/>
                <w:szCs w:val="28"/>
                <w:lang w:val="uk-UA"/>
              </w:rPr>
              <w:t>:</w:t>
            </w:r>
          </w:p>
          <w:p w:rsidR="00D67DD7" w:rsidRPr="00215EF0" w:rsidRDefault="00D67DD7" w:rsidP="00D67DD7">
            <w:pPr>
              <w:pStyle w:val="a5"/>
              <w:spacing w:before="0" w:beforeAutospacing="0" w:after="0" w:afterAutospacing="0"/>
              <w:ind w:right="113"/>
              <w:jc w:val="both"/>
              <w:rPr>
                <w:sz w:val="22"/>
                <w:szCs w:val="28"/>
                <w:lang w:val="uk-UA"/>
              </w:rPr>
            </w:pPr>
          </w:p>
          <w:p w:rsidR="00D67DD7" w:rsidRPr="00591A7D" w:rsidRDefault="00D67DD7" w:rsidP="00D67DD7">
            <w:pPr>
              <w:pStyle w:val="a5"/>
              <w:spacing w:before="0" w:beforeAutospacing="0" w:after="0" w:afterAutospacing="0"/>
              <w:ind w:right="113"/>
              <w:jc w:val="both"/>
              <w:rPr>
                <w:sz w:val="22"/>
                <w:szCs w:val="28"/>
                <w:lang w:val="uk-UA"/>
              </w:rPr>
            </w:pPr>
            <w:r w:rsidRPr="00215EF0">
              <w:rPr>
                <w:sz w:val="22"/>
                <w:szCs w:val="28"/>
                <w:lang w:val="uk-UA"/>
              </w:rPr>
              <w:t>«Комісія контролюючого органу перевіряє</w:t>
            </w:r>
            <w:r>
              <w:rPr>
                <w:sz w:val="22"/>
                <w:szCs w:val="28"/>
                <w:lang w:val="uk-UA"/>
              </w:rPr>
              <w:t xml:space="preserve"> </w:t>
            </w:r>
            <w:r w:rsidRPr="00215EF0">
              <w:rPr>
                <w:sz w:val="22"/>
                <w:szCs w:val="28"/>
                <w:lang w:val="uk-UA"/>
              </w:rPr>
              <w:t>подані платником податку копії документів</w:t>
            </w:r>
            <w:r>
              <w:rPr>
                <w:sz w:val="22"/>
                <w:szCs w:val="28"/>
                <w:lang w:val="uk-UA"/>
              </w:rPr>
              <w:t xml:space="preserve"> </w:t>
            </w:r>
            <w:r w:rsidRPr="00215EF0">
              <w:rPr>
                <w:sz w:val="22"/>
                <w:szCs w:val="28"/>
                <w:lang w:val="uk-UA"/>
              </w:rPr>
              <w:t>щодо відповідності ст. 187 ПК України».</w:t>
            </w:r>
          </w:p>
        </w:tc>
        <w:tc>
          <w:tcPr>
            <w:tcW w:w="2693" w:type="dxa"/>
          </w:tcPr>
          <w:p w:rsidR="00D67DD7" w:rsidRPr="00304F4C" w:rsidRDefault="00D67DD7" w:rsidP="00D67DD7">
            <w:pPr>
              <w:jc w:val="center"/>
              <w:rPr>
                <w:lang w:val="uk-UA"/>
              </w:rPr>
            </w:pPr>
            <w:r w:rsidRPr="00A90C5A">
              <w:rPr>
                <w:sz w:val="22"/>
                <w:lang w:val="uk-UA"/>
              </w:rPr>
              <w:t>Американська торгівельна палата в Україні</w:t>
            </w:r>
          </w:p>
        </w:tc>
        <w:tc>
          <w:tcPr>
            <w:tcW w:w="1418" w:type="dxa"/>
          </w:tcPr>
          <w:p w:rsidR="00D67DD7" w:rsidRDefault="00D67DD7" w:rsidP="00D67DD7">
            <w:pPr>
              <w:jc w:val="center"/>
            </w:pPr>
            <w:r w:rsidRPr="00E44476">
              <w:rPr>
                <w:sz w:val="22"/>
                <w:szCs w:val="28"/>
                <w:lang w:val="uk-UA"/>
              </w:rPr>
              <w:t>не враховано</w:t>
            </w:r>
          </w:p>
        </w:tc>
        <w:tc>
          <w:tcPr>
            <w:tcW w:w="1701" w:type="dxa"/>
          </w:tcPr>
          <w:p w:rsidR="00D67DD7" w:rsidRDefault="00D67DD7" w:rsidP="00D67DD7">
            <w:pPr>
              <w:jc w:val="center"/>
            </w:pPr>
            <w:r w:rsidRPr="00A30E13">
              <w:rPr>
                <w:sz w:val="22"/>
                <w:szCs w:val="28"/>
                <w:lang w:val="uk-UA"/>
              </w:rPr>
              <w:t>–</w:t>
            </w:r>
          </w:p>
        </w:tc>
      </w:tr>
      <w:tr w:rsidR="00D67DD7" w:rsidRPr="0061534D" w:rsidTr="00920C02">
        <w:trPr>
          <w:trHeight w:val="70"/>
        </w:trPr>
        <w:tc>
          <w:tcPr>
            <w:tcW w:w="4395" w:type="dxa"/>
            <w:vAlign w:val="center"/>
          </w:tcPr>
          <w:p w:rsidR="00D67DD7" w:rsidRPr="00215EF0" w:rsidRDefault="00D67DD7" w:rsidP="00D67DD7">
            <w:pPr>
              <w:ind w:right="113"/>
              <w:rPr>
                <w:sz w:val="22"/>
                <w:szCs w:val="22"/>
                <w:lang w:val="uk-UA"/>
              </w:rPr>
            </w:pPr>
            <w:r w:rsidRPr="00215EF0">
              <w:rPr>
                <w:sz w:val="22"/>
                <w:szCs w:val="22"/>
                <w:lang w:val="uk-UA"/>
              </w:rPr>
              <w:t>13. У додатку 2 до Порядку:</w:t>
            </w:r>
          </w:p>
          <w:p w:rsidR="00D67DD7" w:rsidRPr="00215EF0" w:rsidRDefault="00D67DD7" w:rsidP="00D67DD7">
            <w:pPr>
              <w:pStyle w:val="a5"/>
              <w:spacing w:before="0" w:beforeAutospacing="0" w:after="0" w:afterAutospacing="0"/>
              <w:jc w:val="center"/>
              <w:rPr>
                <w:sz w:val="22"/>
                <w:szCs w:val="22"/>
                <w:lang w:val="uk-UA"/>
              </w:rPr>
            </w:pPr>
            <w:r w:rsidRPr="00215EF0">
              <w:rPr>
                <w:sz w:val="22"/>
                <w:szCs w:val="22"/>
                <w:lang w:val="uk-UA"/>
              </w:rPr>
              <w:t>…</w:t>
            </w:r>
          </w:p>
          <w:p w:rsidR="00D67DD7" w:rsidRPr="00215EF0" w:rsidRDefault="00D67DD7" w:rsidP="00D67DD7">
            <w:pPr>
              <w:ind w:right="113"/>
              <w:jc w:val="both"/>
              <w:rPr>
                <w:sz w:val="22"/>
                <w:szCs w:val="22"/>
                <w:lang w:val="uk-UA"/>
              </w:rPr>
            </w:pPr>
            <w:r w:rsidRPr="00215EF0">
              <w:rPr>
                <w:sz w:val="22"/>
                <w:szCs w:val="22"/>
                <w:lang w:val="uk-UA"/>
              </w:rPr>
              <w:t>пункт 3 викласти в такій редакції:</w:t>
            </w:r>
          </w:p>
          <w:p w:rsidR="00D67DD7" w:rsidRPr="00215EF0" w:rsidRDefault="00D67DD7" w:rsidP="00D67DD7">
            <w:pPr>
              <w:ind w:right="113"/>
              <w:rPr>
                <w:sz w:val="22"/>
                <w:szCs w:val="22"/>
                <w:lang w:val="uk-UA"/>
              </w:rPr>
            </w:pPr>
          </w:p>
          <w:p w:rsidR="00D67DD7" w:rsidRPr="00215EF0" w:rsidRDefault="00D67DD7" w:rsidP="00D67DD7">
            <w:pPr>
              <w:ind w:right="113"/>
              <w:jc w:val="both"/>
              <w:rPr>
                <w:sz w:val="22"/>
                <w:szCs w:val="22"/>
                <w:lang w:val="uk-UA"/>
              </w:rPr>
            </w:pPr>
            <w:r w:rsidRPr="00215EF0">
              <w:rPr>
                <w:sz w:val="22"/>
                <w:szCs w:val="22"/>
                <w:lang w:val="uk-UA"/>
              </w:rPr>
              <w:t>«3. Одночасно виконуються такі умови:</w:t>
            </w:r>
          </w:p>
          <w:p w:rsidR="00D67DD7" w:rsidRPr="00215EF0" w:rsidRDefault="00D67DD7" w:rsidP="00D67DD7">
            <w:pPr>
              <w:ind w:right="113"/>
              <w:jc w:val="both"/>
              <w:rPr>
                <w:sz w:val="22"/>
                <w:szCs w:val="22"/>
                <w:lang w:val="uk-UA"/>
              </w:rPr>
            </w:pPr>
            <w:r w:rsidRPr="00215EF0">
              <w:rPr>
                <w:sz w:val="22"/>
                <w:szCs w:val="22"/>
                <w:lang w:val="uk-UA"/>
              </w:rPr>
              <w:t>залишкова вартість основних засобів для платників податку на прибуток підприємств на кінець звітного (податкового) періоду (звітний (податковий) період обирається відповідно до пунктів 137.4 і 137.5 статті 137 Податкового кодексу України для певної групи платників) становить більше ніж 5 млн грн, і цю залишкову вартість відображено у звітності, за якою граничні строки її подання передують календарному дню розрахунку такого показника за умови, що з початку попереднього року керівник і засновник не змінювалися;</w:t>
            </w:r>
          </w:p>
          <w:p w:rsidR="00D67DD7" w:rsidRPr="00215EF0" w:rsidRDefault="00D67DD7" w:rsidP="00D67DD7">
            <w:pPr>
              <w:ind w:right="113"/>
              <w:jc w:val="center"/>
              <w:rPr>
                <w:sz w:val="22"/>
                <w:szCs w:val="22"/>
                <w:lang w:val="uk-UA"/>
              </w:rPr>
            </w:pPr>
            <w:r w:rsidRPr="00215EF0">
              <w:rPr>
                <w:sz w:val="22"/>
                <w:szCs w:val="22"/>
                <w:lang w:val="uk-UA"/>
              </w:rPr>
              <w:t>…</w:t>
            </w:r>
            <w:r>
              <w:rPr>
                <w:sz w:val="22"/>
                <w:szCs w:val="22"/>
                <w:lang w:val="uk-UA"/>
              </w:rPr>
              <w:t>»</w:t>
            </w:r>
          </w:p>
        </w:tc>
        <w:tc>
          <w:tcPr>
            <w:tcW w:w="4394" w:type="dxa"/>
          </w:tcPr>
          <w:p w:rsidR="00D67DD7" w:rsidRDefault="00D67DD7" w:rsidP="00D67DD7">
            <w:pPr>
              <w:pStyle w:val="a5"/>
              <w:ind w:right="113"/>
              <w:jc w:val="both"/>
              <w:rPr>
                <w:sz w:val="22"/>
                <w:szCs w:val="28"/>
                <w:lang w:val="uk-UA"/>
              </w:rPr>
            </w:pPr>
            <w:r w:rsidRPr="00215EF0">
              <w:rPr>
                <w:sz w:val="22"/>
                <w:szCs w:val="28"/>
                <w:lang w:val="uk-UA"/>
              </w:rPr>
              <w:t>Пропонуємо зменшення залишкової вартості</w:t>
            </w:r>
            <w:r>
              <w:rPr>
                <w:sz w:val="22"/>
                <w:szCs w:val="28"/>
                <w:lang w:val="uk-UA"/>
              </w:rPr>
              <w:t xml:space="preserve"> </w:t>
            </w:r>
            <w:r w:rsidRPr="00215EF0">
              <w:rPr>
                <w:sz w:val="22"/>
                <w:szCs w:val="28"/>
                <w:lang w:val="uk-UA"/>
              </w:rPr>
              <w:t>основних засобів до рівня менше ніж 5 млн</w:t>
            </w:r>
            <w:r>
              <w:rPr>
                <w:sz w:val="22"/>
                <w:szCs w:val="28"/>
                <w:lang w:val="uk-UA"/>
              </w:rPr>
              <w:t xml:space="preserve"> </w:t>
            </w:r>
            <w:r w:rsidRPr="00215EF0">
              <w:rPr>
                <w:sz w:val="22"/>
                <w:szCs w:val="28"/>
                <w:lang w:val="uk-UA"/>
              </w:rPr>
              <w:t>гривень.</w:t>
            </w:r>
          </w:p>
        </w:tc>
        <w:tc>
          <w:tcPr>
            <w:tcW w:w="2693" w:type="dxa"/>
          </w:tcPr>
          <w:p w:rsidR="00D67DD7" w:rsidRPr="00304F4C" w:rsidRDefault="00D67DD7" w:rsidP="00D67DD7">
            <w:pPr>
              <w:jc w:val="center"/>
              <w:rPr>
                <w:lang w:val="uk-UA"/>
              </w:rPr>
            </w:pPr>
            <w:r w:rsidRPr="00A90C5A">
              <w:rPr>
                <w:sz w:val="22"/>
                <w:lang w:val="uk-UA"/>
              </w:rPr>
              <w:t>Американська торгівельна палата в Україні</w:t>
            </w:r>
          </w:p>
        </w:tc>
        <w:tc>
          <w:tcPr>
            <w:tcW w:w="1418" w:type="dxa"/>
          </w:tcPr>
          <w:p w:rsidR="00D67DD7" w:rsidRDefault="00D67DD7" w:rsidP="00D67DD7">
            <w:pPr>
              <w:jc w:val="center"/>
            </w:pPr>
            <w:r w:rsidRPr="00E44476">
              <w:rPr>
                <w:sz w:val="22"/>
                <w:szCs w:val="28"/>
                <w:lang w:val="uk-UA"/>
              </w:rPr>
              <w:t>не враховано</w:t>
            </w:r>
          </w:p>
        </w:tc>
        <w:tc>
          <w:tcPr>
            <w:tcW w:w="1701" w:type="dxa"/>
          </w:tcPr>
          <w:p w:rsidR="00D67DD7" w:rsidRPr="00A30E13" w:rsidRDefault="00D67DD7" w:rsidP="00D67DD7">
            <w:pPr>
              <w:jc w:val="center"/>
              <w:rPr>
                <w:sz w:val="22"/>
                <w:szCs w:val="28"/>
                <w:lang w:val="uk-UA"/>
              </w:rPr>
            </w:pPr>
            <w:r w:rsidRPr="00A30E13">
              <w:rPr>
                <w:sz w:val="22"/>
                <w:szCs w:val="28"/>
                <w:lang w:val="uk-UA"/>
              </w:rPr>
              <w:t>–</w:t>
            </w:r>
          </w:p>
        </w:tc>
      </w:tr>
      <w:tr w:rsidR="00D02E1B" w:rsidRPr="0061534D" w:rsidTr="00920C02">
        <w:trPr>
          <w:trHeight w:val="70"/>
        </w:trPr>
        <w:tc>
          <w:tcPr>
            <w:tcW w:w="4395" w:type="dxa"/>
            <w:vAlign w:val="center"/>
          </w:tcPr>
          <w:p w:rsidR="00D02E1B" w:rsidRPr="00215EF0" w:rsidRDefault="00D02E1B" w:rsidP="00D02E1B">
            <w:pPr>
              <w:ind w:right="113"/>
              <w:rPr>
                <w:sz w:val="22"/>
                <w:szCs w:val="22"/>
                <w:lang w:val="uk-UA"/>
              </w:rPr>
            </w:pPr>
            <w:r w:rsidRPr="00215EF0">
              <w:rPr>
                <w:sz w:val="22"/>
                <w:szCs w:val="22"/>
                <w:lang w:val="uk-UA"/>
              </w:rPr>
              <w:t>13. У додатку 2 до Порядку:</w:t>
            </w:r>
          </w:p>
          <w:p w:rsidR="00D02E1B" w:rsidRPr="00215EF0" w:rsidRDefault="00D02E1B" w:rsidP="00D02E1B">
            <w:pPr>
              <w:pStyle w:val="a5"/>
              <w:spacing w:before="0" w:beforeAutospacing="0" w:after="0" w:afterAutospacing="0"/>
              <w:jc w:val="center"/>
              <w:rPr>
                <w:sz w:val="22"/>
                <w:szCs w:val="22"/>
                <w:lang w:val="uk-UA"/>
              </w:rPr>
            </w:pPr>
            <w:r w:rsidRPr="00215EF0">
              <w:rPr>
                <w:sz w:val="22"/>
                <w:szCs w:val="22"/>
                <w:lang w:val="uk-UA"/>
              </w:rPr>
              <w:t>…</w:t>
            </w:r>
          </w:p>
          <w:p w:rsidR="00D02E1B" w:rsidRPr="00215EF0" w:rsidRDefault="00D02E1B" w:rsidP="00D02E1B">
            <w:pPr>
              <w:ind w:right="113"/>
              <w:jc w:val="both"/>
              <w:rPr>
                <w:sz w:val="22"/>
                <w:szCs w:val="22"/>
                <w:lang w:val="uk-UA"/>
              </w:rPr>
            </w:pPr>
            <w:r w:rsidRPr="00215EF0">
              <w:rPr>
                <w:sz w:val="22"/>
                <w:szCs w:val="22"/>
                <w:lang w:val="uk-UA"/>
              </w:rPr>
              <w:t>пункт 3 викласти в такій редакції:</w:t>
            </w:r>
          </w:p>
          <w:p w:rsidR="00D02E1B" w:rsidRPr="00215EF0" w:rsidRDefault="00D02E1B" w:rsidP="00D02E1B">
            <w:pPr>
              <w:ind w:right="113"/>
              <w:rPr>
                <w:sz w:val="22"/>
                <w:szCs w:val="22"/>
                <w:lang w:val="uk-UA"/>
              </w:rPr>
            </w:pPr>
          </w:p>
          <w:p w:rsidR="00D02E1B" w:rsidRPr="00215EF0" w:rsidRDefault="00D02E1B" w:rsidP="00D02E1B">
            <w:pPr>
              <w:ind w:right="113"/>
              <w:jc w:val="both"/>
              <w:rPr>
                <w:sz w:val="22"/>
                <w:szCs w:val="22"/>
                <w:lang w:val="uk-UA"/>
              </w:rPr>
            </w:pPr>
            <w:r w:rsidRPr="00215EF0">
              <w:rPr>
                <w:sz w:val="22"/>
                <w:szCs w:val="22"/>
                <w:lang w:val="uk-UA"/>
              </w:rPr>
              <w:t>«3. Одночасно виконуються такі умови:</w:t>
            </w:r>
          </w:p>
          <w:p w:rsidR="00D02E1B" w:rsidRPr="00215EF0" w:rsidRDefault="00D02E1B" w:rsidP="00D02E1B">
            <w:pPr>
              <w:ind w:right="113"/>
              <w:jc w:val="both"/>
              <w:rPr>
                <w:sz w:val="22"/>
                <w:szCs w:val="22"/>
                <w:lang w:val="uk-UA"/>
              </w:rPr>
            </w:pPr>
            <w:r w:rsidRPr="00215EF0">
              <w:rPr>
                <w:sz w:val="22"/>
                <w:szCs w:val="22"/>
                <w:lang w:val="uk-UA"/>
              </w:rPr>
              <w:t>залишкова вартість основних засобів для платників податку на прибуток підприємств на кінець звітного (податкового) періоду (звітний (податковий) період обирається відповідно до пунктів 137.4 і 137.5 статті 137 Податкового кодексу України для певної групи платників) становить більше ніж 5 млн грн, і цю залишкову вартість відображено у звітності, за якою граничні строки її подання передують календарному дню розрахунку такого показника за умови, що з початку попереднього року керівник і засновник не змінювалися;</w:t>
            </w:r>
          </w:p>
          <w:p w:rsidR="00D02E1B" w:rsidRPr="00215EF0" w:rsidRDefault="00D02E1B" w:rsidP="00D02E1B">
            <w:pPr>
              <w:ind w:right="113"/>
              <w:jc w:val="center"/>
              <w:rPr>
                <w:sz w:val="22"/>
                <w:szCs w:val="22"/>
                <w:lang w:val="uk-UA"/>
              </w:rPr>
            </w:pPr>
            <w:r w:rsidRPr="00215EF0">
              <w:rPr>
                <w:sz w:val="22"/>
                <w:szCs w:val="22"/>
                <w:lang w:val="uk-UA"/>
              </w:rPr>
              <w:t>…</w:t>
            </w:r>
            <w:r>
              <w:rPr>
                <w:sz w:val="22"/>
                <w:szCs w:val="22"/>
                <w:lang w:val="uk-UA"/>
              </w:rPr>
              <w:t>»</w:t>
            </w:r>
          </w:p>
        </w:tc>
        <w:tc>
          <w:tcPr>
            <w:tcW w:w="4394" w:type="dxa"/>
          </w:tcPr>
          <w:p w:rsidR="00D02E1B" w:rsidRPr="00215EF0" w:rsidRDefault="00D02E1B" w:rsidP="00D02E1B">
            <w:pPr>
              <w:pStyle w:val="a5"/>
              <w:ind w:right="113"/>
              <w:jc w:val="both"/>
              <w:rPr>
                <w:sz w:val="22"/>
                <w:szCs w:val="28"/>
                <w:lang w:val="uk-UA"/>
              </w:rPr>
            </w:pPr>
            <w:r>
              <w:rPr>
                <w:sz w:val="22"/>
                <w:szCs w:val="28"/>
                <w:lang w:val="uk-UA"/>
              </w:rPr>
              <w:t xml:space="preserve">Передбачити альтернативні ознаки позитивної історії – такі як бездоганна історія сплати ПДВ, відсутність податкового боргу, відсутність штрафів, тривалий період реєстрації платником ПДВ. </w:t>
            </w:r>
          </w:p>
        </w:tc>
        <w:tc>
          <w:tcPr>
            <w:tcW w:w="2693" w:type="dxa"/>
          </w:tcPr>
          <w:p w:rsidR="00D02E1B" w:rsidRPr="00A90C5A" w:rsidRDefault="00D02E1B" w:rsidP="00D02E1B">
            <w:pPr>
              <w:jc w:val="center"/>
              <w:rPr>
                <w:sz w:val="22"/>
                <w:lang w:val="uk-UA"/>
              </w:rPr>
            </w:pPr>
            <w:r>
              <w:rPr>
                <w:sz w:val="22"/>
                <w:lang w:val="uk-UA"/>
              </w:rPr>
              <w:t>Асоціація «Український клуб аграрного бізнесу»</w:t>
            </w:r>
          </w:p>
        </w:tc>
        <w:tc>
          <w:tcPr>
            <w:tcW w:w="1418" w:type="dxa"/>
          </w:tcPr>
          <w:p w:rsidR="00D02E1B" w:rsidRPr="007444A6" w:rsidRDefault="00D02E1B" w:rsidP="00D02E1B">
            <w:pPr>
              <w:jc w:val="center"/>
              <w:rPr>
                <w:sz w:val="22"/>
                <w:szCs w:val="28"/>
                <w:highlight w:val="yellow"/>
                <w:lang w:val="uk-UA"/>
              </w:rPr>
            </w:pPr>
            <w:r w:rsidRPr="00D02E1B">
              <w:rPr>
                <w:sz w:val="22"/>
                <w:szCs w:val="28"/>
                <w:lang w:val="uk-UA"/>
              </w:rPr>
              <w:t>Не враховано</w:t>
            </w:r>
          </w:p>
        </w:tc>
        <w:tc>
          <w:tcPr>
            <w:tcW w:w="1701" w:type="dxa"/>
          </w:tcPr>
          <w:p w:rsidR="00D02E1B" w:rsidRPr="00A30E13" w:rsidRDefault="003418F8" w:rsidP="003418F8">
            <w:pPr>
              <w:jc w:val="center"/>
              <w:rPr>
                <w:sz w:val="22"/>
                <w:szCs w:val="28"/>
                <w:lang w:val="uk-UA"/>
              </w:rPr>
            </w:pPr>
            <w:r w:rsidRPr="00A30E13">
              <w:rPr>
                <w:sz w:val="22"/>
                <w:szCs w:val="28"/>
                <w:lang w:val="uk-UA"/>
              </w:rPr>
              <w:t>–</w:t>
            </w:r>
            <w:bookmarkStart w:id="0" w:name="_GoBack"/>
            <w:bookmarkEnd w:id="0"/>
          </w:p>
        </w:tc>
      </w:tr>
      <w:tr w:rsidR="00D02E1B" w:rsidRPr="0061534D" w:rsidTr="00920C02">
        <w:trPr>
          <w:trHeight w:val="70"/>
        </w:trPr>
        <w:tc>
          <w:tcPr>
            <w:tcW w:w="4395" w:type="dxa"/>
            <w:vAlign w:val="center"/>
          </w:tcPr>
          <w:p w:rsidR="00D02E1B" w:rsidRPr="000D7001" w:rsidRDefault="00D02E1B" w:rsidP="00D02E1B">
            <w:pPr>
              <w:ind w:right="113"/>
              <w:jc w:val="both"/>
              <w:rPr>
                <w:sz w:val="22"/>
                <w:szCs w:val="22"/>
                <w:lang w:val="uk-UA"/>
              </w:rPr>
            </w:pPr>
            <w:r w:rsidRPr="000D7001">
              <w:rPr>
                <w:sz w:val="22"/>
                <w:szCs w:val="22"/>
                <w:lang w:val="uk-UA"/>
              </w:rPr>
              <w:t>14. У додатку 3 до Порядку:</w:t>
            </w:r>
          </w:p>
          <w:p w:rsidR="00D02E1B" w:rsidRPr="000D7001" w:rsidRDefault="00D02E1B" w:rsidP="00D02E1B">
            <w:pPr>
              <w:ind w:right="113"/>
              <w:jc w:val="both"/>
              <w:rPr>
                <w:sz w:val="22"/>
                <w:szCs w:val="22"/>
                <w:lang w:val="uk-UA"/>
              </w:rPr>
            </w:pPr>
          </w:p>
          <w:p w:rsidR="00D02E1B" w:rsidRPr="000D7001" w:rsidRDefault="00D02E1B" w:rsidP="00D02E1B">
            <w:pPr>
              <w:ind w:right="113"/>
              <w:jc w:val="both"/>
              <w:rPr>
                <w:sz w:val="22"/>
                <w:szCs w:val="22"/>
                <w:lang w:val="uk-UA"/>
              </w:rPr>
            </w:pPr>
            <w:r w:rsidRPr="000D7001">
              <w:rPr>
                <w:sz w:val="22"/>
                <w:szCs w:val="22"/>
                <w:lang w:val="uk-UA"/>
              </w:rPr>
              <w:t>пункт 1 викласти в такій редакції:</w:t>
            </w:r>
          </w:p>
          <w:p w:rsidR="00D02E1B" w:rsidRPr="000D7001" w:rsidRDefault="00D02E1B" w:rsidP="00D02E1B">
            <w:pPr>
              <w:ind w:right="113"/>
              <w:jc w:val="both"/>
              <w:rPr>
                <w:sz w:val="22"/>
                <w:szCs w:val="22"/>
                <w:lang w:val="uk-UA"/>
              </w:rPr>
            </w:pPr>
          </w:p>
          <w:p w:rsidR="00D02E1B" w:rsidRDefault="00D02E1B" w:rsidP="00D02E1B">
            <w:pPr>
              <w:ind w:right="113"/>
              <w:jc w:val="both"/>
              <w:rPr>
                <w:sz w:val="22"/>
                <w:szCs w:val="22"/>
                <w:lang w:val="uk-UA"/>
              </w:rPr>
            </w:pPr>
            <w:r w:rsidRPr="000D7001">
              <w:rPr>
                <w:sz w:val="22"/>
                <w:szCs w:val="22"/>
                <w:lang w:val="uk-UA"/>
              </w:rPr>
              <w:t xml:space="preserve">«1. Обсяг постачання товару / послуги згідно з кодом УКТ ЗЕД / Державним класифікатором продукції та послуг (далі – Державний класифікатор) / умовним кодом такого товару, зазначеного в податковій накладній / розрахунку коригування до податкової накладної на збільшення суми податкових зобов’язань, яку / який подано для реєстрації в Єдиному реєстрі податкових накладних (далі – Реєстр), перевищує величину залишку, що визначається як різниця між обсягом придбання на митній території України такого товару / такої послуги (крім обсягу придбання товарів / послуг за операціями, які звільнено від оподаткування та підлягають оподаткуванню за нульовою ставкою) та/або ввезення на митну територію України такого товару, зазначеного з 1 січня 2017 р. в отриманих податкових накладних / розрахунках коригування, зареєстрованих у Реєстрі, і митних деклараціях, збільшеного в 1,5 </w:t>
            </w:r>
            <w:proofErr w:type="spellStart"/>
            <w:r w:rsidRPr="000D7001">
              <w:rPr>
                <w:sz w:val="22"/>
                <w:szCs w:val="22"/>
                <w:lang w:val="uk-UA"/>
              </w:rPr>
              <w:t>раза</w:t>
            </w:r>
            <w:proofErr w:type="spellEnd"/>
            <w:r w:rsidRPr="000D7001">
              <w:rPr>
                <w:sz w:val="22"/>
                <w:szCs w:val="22"/>
                <w:lang w:val="uk-UA"/>
              </w:rPr>
              <w:t>, та обсягом постачання відповідного товару / послуги, зазначеного / зазначеної в податкових накладних / розрахунках коригування, у тому числі вивезення товарів за межі митної території України, зареєстрованих з 1 січня 2017 р. у Реєстрі, за відсутності такого товару / такої послуги згідно з кодом УКТ ЗЕД / Державним класифікатором / умовним кодом товару у врахованій таблиці даних платника податку.»;</w:t>
            </w:r>
          </w:p>
          <w:p w:rsidR="00D02E1B" w:rsidRPr="000D7001" w:rsidRDefault="00D02E1B" w:rsidP="00D02E1B">
            <w:pPr>
              <w:ind w:right="113"/>
              <w:jc w:val="both"/>
              <w:rPr>
                <w:sz w:val="22"/>
                <w:szCs w:val="22"/>
                <w:lang w:val="uk-UA"/>
              </w:rPr>
            </w:pPr>
          </w:p>
          <w:p w:rsidR="00D02E1B" w:rsidRPr="002D463A" w:rsidRDefault="00D02E1B" w:rsidP="00D02E1B">
            <w:pPr>
              <w:ind w:right="113"/>
              <w:jc w:val="center"/>
              <w:rPr>
                <w:sz w:val="22"/>
                <w:szCs w:val="22"/>
                <w:lang w:val="uk-UA"/>
              </w:rPr>
            </w:pPr>
            <w:r>
              <w:rPr>
                <w:sz w:val="22"/>
                <w:szCs w:val="22"/>
                <w:lang w:val="en-US"/>
              </w:rPr>
              <w:t>…</w:t>
            </w:r>
            <w:r>
              <w:rPr>
                <w:sz w:val="22"/>
                <w:szCs w:val="22"/>
                <w:lang w:val="uk-UA"/>
              </w:rPr>
              <w:t>»</w:t>
            </w:r>
          </w:p>
        </w:tc>
        <w:tc>
          <w:tcPr>
            <w:tcW w:w="4394" w:type="dxa"/>
          </w:tcPr>
          <w:p w:rsidR="00D02E1B" w:rsidRPr="00215EF0" w:rsidRDefault="00D02E1B" w:rsidP="00D02E1B">
            <w:pPr>
              <w:pStyle w:val="a5"/>
              <w:ind w:right="113"/>
              <w:jc w:val="both"/>
              <w:rPr>
                <w:sz w:val="22"/>
                <w:szCs w:val="28"/>
                <w:lang w:val="uk-UA"/>
              </w:rPr>
            </w:pPr>
            <w:r w:rsidRPr="002D463A">
              <w:rPr>
                <w:sz w:val="22"/>
                <w:szCs w:val="28"/>
                <w:lang w:val="uk-UA"/>
              </w:rPr>
              <w:t>Пропонується зменшення механічного</w:t>
            </w:r>
            <w:r>
              <w:rPr>
                <w:sz w:val="22"/>
                <w:szCs w:val="28"/>
                <w:lang w:val="en-US"/>
              </w:rPr>
              <w:t xml:space="preserve"> </w:t>
            </w:r>
            <w:r w:rsidRPr="002D463A">
              <w:rPr>
                <w:sz w:val="22"/>
                <w:szCs w:val="28"/>
                <w:lang w:val="uk-UA"/>
              </w:rPr>
              <w:t>коефіцієнта з 1,5 до нижчого значення.</w:t>
            </w:r>
          </w:p>
        </w:tc>
        <w:tc>
          <w:tcPr>
            <w:tcW w:w="2693" w:type="dxa"/>
          </w:tcPr>
          <w:p w:rsidR="00D02E1B" w:rsidRPr="00304F4C" w:rsidRDefault="00D02E1B" w:rsidP="00D02E1B">
            <w:pPr>
              <w:jc w:val="center"/>
              <w:rPr>
                <w:lang w:val="uk-UA"/>
              </w:rPr>
            </w:pPr>
            <w:r w:rsidRPr="00A90C5A">
              <w:rPr>
                <w:sz w:val="22"/>
                <w:lang w:val="uk-UA"/>
              </w:rPr>
              <w:t>Американська торгівельна палата в Україні</w:t>
            </w:r>
          </w:p>
        </w:tc>
        <w:tc>
          <w:tcPr>
            <w:tcW w:w="1418" w:type="dxa"/>
          </w:tcPr>
          <w:p w:rsidR="00D02E1B" w:rsidRDefault="00D02E1B" w:rsidP="00D02E1B">
            <w:pPr>
              <w:jc w:val="center"/>
            </w:pPr>
            <w:r w:rsidRPr="00E44476">
              <w:rPr>
                <w:sz w:val="22"/>
                <w:szCs w:val="28"/>
                <w:lang w:val="uk-UA"/>
              </w:rPr>
              <w:t>не враховано</w:t>
            </w:r>
          </w:p>
        </w:tc>
        <w:tc>
          <w:tcPr>
            <w:tcW w:w="1701" w:type="dxa"/>
          </w:tcPr>
          <w:p w:rsidR="00D02E1B" w:rsidRPr="00A30E13" w:rsidRDefault="00D02E1B" w:rsidP="00D02E1B">
            <w:pPr>
              <w:jc w:val="center"/>
              <w:rPr>
                <w:sz w:val="22"/>
                <w:szCs w:val="28"/>
                <w:lang w:val="uk-UA"/>
              </w:rPr>
            </w:pPr>
            <w:r w:rsidRPr="00A30E13">
              <w:rPr>
                <w:sz w:val="22"/>
                <w:szCs w:val="28"/>
                <w:lang w:val="uk-UA"/>
              </w:rPr>
              <w:t>–</w:t>
            </w:r>
          </w:p>
        </w:tc>
      </w:tr>
      <w:tr w:rsidR="00D02E1B" w:rsidRPr="0061534D" w:rsidTr="00920C02">
        <w:trPr>
          <w:trHeight w:val="70"/>
        </w:trPr>
        <w:tc>
          <w:tcPr>
            <w:tcW w:w="4395" w:type="dxa"/>
            <w:vAlign w:val="center"/>
          </w:tcPr>
          <w:p w:rsidR="00D02E1B" w:rsidRPr="000D7001" w:rsidRDefault="00D02E1B" w:rsidP="00D02E1B">
            <w:pPr>
              <w:ind w:right="113"/>
              <w:jc w:val="both"/>
              <w:rPr>
                <w:sz w:val="22"/>
                <w:szCs w:val="22"/>
                <w:lang w:val="uk-UA"/>
              </w:rPr>
            </w:pPr>
          </w:p>
        </w:tc>
        <w:tc>
          <w:tcPr>
            <w:tcW w:w="4394" w:type="dxa"/>
          </w:tcPr>
          <w:p w:rsidR="00D02E1B" w:rsidRPr="002D463A" w:rsidRDefault="00D02E1B" w:rsidP="00D02E1B">
            <w:pPr>
              <w:pStyle w:val="a5"/>
              <w:ind w:right="113"/>
              <w:jc w:val="both"/>
              <w:rPr>
                <w:sz w:val="22"/>
                <w:szCs w:val="28"/>
                <w:lang w:val="uk-UA"/>
              </w:rPr>
            </w:pPr>
          </w:p>
        </w:tc>
        <w:tc>
          <w:tcPr>
            <w:tcW w:w="2693" w:type="dxa"/>
          </w:tcPr>
          <w:p w:rsidR="00D02E1B" w:rsidRPr="00A90C5A" w:rsidRDefault="00D02E1B" w:rsidP="00D02E1B">
            <w:pPr>
              <w:jc w:val="center"/>
              <w:rPr>
                <w:sz w:val="22"/>
                <w:lang w:val="uk-UA"/>
              </w:rPr>
            </w:pPr>
          </w:p>
        </w:tc>
        <w:tc>
          <w:tcPr>
            <w:tcW w:w="1418" w:type="dxa"/>
          </w:tcPr>
          <w:p w:rsidR="00D02E1B" w:rsidRPr="00E44476" w:rsidRDefault="00D02E1B" w:rsidP="00D02E1B">
            <w:pPr>
              <w:jc w:val="center"/>
              <w:rPr>
                <w:sz w:val="22"/>
                <w:szCs w:val="28"/>
                <w:lang w:val="uk-UA"/>
              </w:rPr>
            </w:pPr>
          </w:p>
        </w:tc>
        <w:tc>
          <w:tcPr>
            <w:tcW w:w="1701" w:type="dxa"/>
          </w:tcPr>
          <w:p w:rsidR="00D02E1B" w:rsidRPr="00A30E13" w:rsidRDefault="00D02E1B" w:rsidP="00D02E1B">
            <w:pPr>
              <w:jc w:val="center"/>
              <w:rPr>
                <w:sz w:val="22"/>
                <w:szCs w:val="28"/>
                <w:lang w:val="uk-UA"/>
              </w:rPr>
            </w:pPr>
          </w:p>
        </w:tc>
      </w:tr>
      <w:tr w:rsidR="00D02E1B" w:rsidRPr="0061534D" w:rsidTr="00441889">
        <w:tc>
          <w:tcPr>
            <w:tcW w:w="12900" w:type="dxa"/>
            <w:gridSpan w:val="4"/>
            <w:shd w:val="clear" w:color="auto" w:fill="auto"/>
          </w:tcPr>
          <w:p w:rsidR="00D02E1B" w:rsidRPr="00DC5355" w:rsidRDefault="00D02E1B" w:rsidP="00D02E1B">
            <w:pPr>
              <w:jc w:val="center"/>
              <w:rPr>
                <w:b/>
                <w:sz w:val="22"/>
                <w:szCs w:val="28"/>
                <w:lang w:val="uk-UA"/>
              </w:rPr>
            </w:pPr>
            <w:r w:rsidRPr="00DC5355">
              <w:rPr>
                <w:b/>
                <w:sz w:val="22"/>
                <w:szCs w:val="28"/>
                <w:lang w:val="uk-UA"/>
              </w:rPr>
              <w:t>Альтернативне рішення</w:t>
            </w:r>
          </w:p>
        </w:tc>
        <w:tc>
          <w:tcPr>
            <w:tcW w:w="1701" w:type="dxa"/>
          </w:tcPr>
          <w:p w:rsidR="00D02E1B" w:rsidRPr="0061534D" w:rsidRDefault="00D02E1B" w:rsidP="00D02E1B">
            <w:pPr>
              <w:jc w:val="center"/>
              <w:rPr>
                <w:sz w:val="22"/>
                <w:szCs w:val="28"/>
                <w:lang w:val="uk-UA"/>
              </w:rPr>
            </w:pPr>
          </w:p>
        </w:tc>
      </w:tr>
      <w:tr w:rsidR="00D02E1B" w:rsidRPr="0061534D" w:rsidTr="0061534D">
        <w:trPr>
          <w:trHeight w:val="791"/>
        </w:trPr>
        <w:tc>
          <w:tcPr>
            <w:tcW w:w="4395" w:type="dxa"/>
            <w:vAlign w:val="center"/>
          </w:tcPr>
          <w:p w:rsidR="00D02E1B" w:rsidRPr="0061534D" w:rsidRDefault="00D02E1B" w:rsidP="00D02E1B">
            <w:pPr>
              <w:jc w:val="center"/>
              <w:rPr>
                <w:sz w:val="22"/>
                <w:szCs w:val="28"/>
                <w:lang w:val="uk-UA"/>
              </w:rPr>
            </w:pPr>
            <w:r w:rsidRPr="0061534D">
              <w:rPr>
                <w:sz w:val="22"/>
                <w:szCs w:val="28"/>
                <w:lang w:val="uk-UA"/>
              </w:rPr>
              <w:t>–</w:t>
            </w:r>
          </w:p>
        </w:tc>
        <w:tc>
          <w:tcPr>
            <w:tcW w:w="4394" w:type="dxa"/>
            <w:vAlign w:val="center"/>
          </w:tcPr>
          <w:p w:rsidR="00D02E1B" w:rsidRDefault="00D02E1B" w:rsidP="00D02E1B">
            <w:pPr>
              <w:jc w:val="center"/>
            </w:pPr>
            <w:r w:rsidRPr="00A30E13">
              <w:rPr>
                <w:sz w:val="22"/>
                <w:szCs w:val="28"/>
                <w:lang w:val="uk-UA"/>
              </w:rPr>
              <w:t>–</w:t>
            </w:r>
          </w:p>
        </w:tc>
        <w:tc>
          <w:tcPr>
            <w:tcW w:w="2693" w:type="dxa"/>
            <w:vAlign w:val="center"/>
          </w:tcPr>
          <w:p w:rsidR="00D02E1B" w:rsidRDefault="00D02E1B" w:rsidP="00D02E1B">
            <w:pPr>
              <w:jc w:val="center"/>
            </w:pPr>
            <w:r w:rsidRPr="00A30E13">
              <w:rPr>
                <w:sz w:val="22"/>
                <w:szCs w:val="28"/>
                <w:lang w:val="uk-UA"/>
              </w:rPr>
              <w:t>–</w:t>
            </w:r>
          </w:p>
        </w:tc>
        <w:tc>
          <w:tcPr>
            <w:tcW w:w="1418" w:type="dxa"/>
            <w:vAlign w:val="center"/>
          </w:tcPr>
          <w:p w:rsidR="00D02E1B" w:rsidRDefault="00D02E1B" w:rsidP="00D02E1B">
            <w:pPr>
              <w:jc w:val="center"/>
            </w:pPr>
            <w:r w:rsidRPr="00A30E13">
              <w:rPr>
                <w:sz w:val="22"/>
                <w:szCs w:val="28"/>
                <w:lang w:val="uk-UA"/>
              </w:rPr>
              <w:t>–</w:t>
            </w:r>
          </w:p>
        </w:tc>
        <w:tc>
          <w:tcPr>
            <w:tcW w:w="1701" w:type="dxa"/>
            <w:vAlign w:val="center"/>
          </w:tcPr>
          <w:p w:rsidR="00D02E1B" w:rsidRDefault="00D02E1B" w:rsidP="00D02E1B">
            <w:pPr>
              <w:jc w:val="center"/>
            </w:pPr>
            <w:r w:rsidRPr="00A30E13">
              <w:rPr>
                <w:sz w:val="22"/>
                <w:szCs w:val="28"/>
                <w:lang w:val="uk-UA"/>
              </w:rPr>
              <w:t>–</w:t>
            </w:r>
          </w:p>
        </w:tc>
      </w:tr>
    </w:tbl>
    <w:p w:rsidR="00BC517A" w:rsidRPr="0061534D" w:rsidRDefault="00BC517A" w:rsidP="00BC517A">
      <w:pPr>
        <w:jc w:val="both"/>
        <w:rPr>
          <w:sz w:val="22"/>
          <w:szCs w:val="28"/>
          <w:lang w:val="uk-UA"/>
        </w:rPr>
      </w:pPr>
    </w:p>
    <w:p w:rsidR="000D4175" w:rsidRPr="0061534D" w:rsidRDefault="000D4175" w:rsidP="00A87732">
      <w:pPr>
        <w:ind w:left="567"/>
        <w:rPr>
          <w:iCs/>
          <w:sz w:val="22"/>
          <w:szCs w:val="28"/>
          <w:lang w:val="uk-UA"/>
        </w:rPr>
      </w:pPr>
    </w:p>
    <w:p w:rsidR="000D4175" w:rsidRPr="0061534D" w:rsidRDefault="000D4175" w:rsidP="00A87732">
      <w:pPr>
        <w:ind w:left="567"/>
        <w:rPr>
          <w:iCs/>
          <w:sz w:val="22"/>
          <w:szCs w:val="28"/>
          <w:lang w:val="uk-UA"/>
        </w:rPr>
      </w:pPr>
    </w:p>
    <w:p w:rsidR="00FF37BE" w:rsidRPr="0061534D" w:rsidRDefault="002D463A" w:rsidP="002D463A">
      <w:pPr>
        <w:ind w:left="567"/>
        <w:jc w:val="center"/>
        <w:rPr>
          <w:iCs/>
          <w:sz w:val="22"/>
          <w:szCs w:val="28"/>
          <w:lang w:val="uk-UA"/>
        </w:rPr>
      </w:pPr>
      <w:r>
        <w:rPr>
          <w:iCs/>
          <w:sz w:val="22"/>
          <w:szCs w:val="28"/>
          <w:lang w:val="uk-UA"/>
        </w:rPr>
        <w:t>___________________________</w:t>
      </w:r>
    </w:p>
    <w:sectPr w:rsidR="00FF37BE" w:rsidRPr="0061534D" w:rsidSect="00821DF4">
      <w:headerReference w:type="even" r:id="rId8"/>
      <w:headerReference w:type="default" r:id="rId9"/>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244" w:rsidRDefault="00DE0244" w:rsidP="00482A63">
      <w:r>
        <w:separator/>
      </w:r>
    </w:p>
  </w:endnote>
  <w:endnote w:type="continuationSeparator" w:id="0">
    <w:p w:rsidR="00DE0244" w:rsidRDefault="00DE0244" w:rsidP="0048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244" w:rsidRDefault="00DE0244" w:rsidP="00482A63">
      <w:r>
        <w:separator/>
      </w:r>
    </w:p>
  </w:footnote>
  <w:footnote w:type="continuationSeparator" w:id="0">
    <w:p w:rsidR="00DE0244" w:rsidRDefault="00DE0244" w:rsidP="0048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44" w:rsidRDefault="00DE0244" w:rsidP="00F63F5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E0244" w:rsidRDefault="00DE024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616726"/>
      <w:docPartObj>
        <w:docPartGallery w:val="Page Numbers (Top of Page)"/>
        <w:docPartUnique/>
      </w:docPartObj>
    </w:sdtPr>
    <w:sdtEndPr/>
    <w:sdtContent>
      <w:p w:rsidR="0061534D" w:rsidRDefault="0061534D">
        <w:pPr>
          <w:pStyle w:val="a7"/>
          <w:jc w:val="center"/>
        </w:pPr>
        <w:r>
          <w:fldChar w:fldCharType="begin"/>
        </w:r>
        <w:r>
          <w:instrText>PAGE   \* MERGEFORMAT</w:instrText>
        </w:r>
        <w:r>
          <w:fldChar w:fldCharType="separate"/>
        </w:r>
        <w:r w:rsidR="00DC5355">
          <w:rPr>
            <w:noProof/>
          </w:rPr>
          <w:t>2</w:t>
        </w:r>
        <w:r>
          <w:fldChar w:fldCharType="end"/>
        </w:r>
      </w:p>
    </w:sdtContent>
  </w:sdt>
  <w:p w:rsidR="004E445C" w:rsidRDefault="004E44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14"/>
        <w:szCs w:val="14"/>
        <w:u w:val="none"/>
      </w:rPr>
    </w:lvl>
    <w:lvl w:ilvl="1">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2">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3">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4">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5">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6">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7">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8">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abstractNum>
  <w:abstractNum w:abstractNumId="1" w15:restartNumberingAfterBreak="0">
    <w:nsid w:val="00000003"/>
    <w:multiLevelType w:val="multilevel"/>
    <w:tmpl w:val="00000002"/>
    <w:lvl w:ilvl="0">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1">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2">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3">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4">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5">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6">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7">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8">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abstractNum>
  <w:abstractNum w:abstractNumId="2" w15:restartNumberingAfterBreak="0">
    <w:nsid w:val="012A4E8E"/>
    <w:multiLevelType w:val="hybridMultilevel"/>
    <w:tmpl w:val="AD4CB65E"/>
    <w:lvl w:ilvl="0" w:tplc="B6740532">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F640D9"/>
    <w:multiLevelType w:val="multilevel"/>
    <w:tmpl w:val="3130718C"/>
    <w:lvl w:ilvl="0">
      <w:start w:val="1"/>
      <w:numFmt w:val="decimal"/>
      <w:lvlText w:val="10.%1."/>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02AC6"/>
    <w:multiLevelType w:val="multilevel"/>
    <w:tmpl w:val="40F08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66E06"/>
    <w:multiLevelType w:val="hybridMultilevel"/>
    <w:tmpl w:val="41A25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B010A42"/>
    <w:multiLevelType w:val="hybridMultilevel"/>
    <w:tmpl w:val="A0D0ECE8"/>
    <w:lvl w:ilvl="0" w:tplc="284666BA">
      <w:start w:val="1"/>
      <w:numFmt w:val="bullet"/>
      <w:lvlText w:val="˗"/>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264241"/>
    <w:multiLevelType w:val="multilevel"/>
    <w:tmpl w:val="DF9C247C"/>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15A14"/>
    <w:multiLevelType w:val="multilevel"/>
    <w:tmpl w:val="B4E404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5A0C5F"/>
    <w:multiLevelType w:val="hybridMultilevel"/>
    <w:tmpl w:val="6144ECD4"/>
    <w:lvl w:ilvl="0" w:tplc="650A8C64">
      <w:start w:val="6"/>
      <w:numFmt w:val="bullet"/>
      <w:lvlText w:val="-"/>
      <w:lvlJc w:val="left"/>
      <w:pPr>
        <w:ind w:left="380" w:hanging="360"/>
      </w:pPr>
      <w:rPr>
        <w:rFonts w:ascii="Times New Roman" w:eastAsia="Times New Roman" w:hAnsi="Times New Roman" w:cs="Times New Roman"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10" w15:restartNumberingAfterBreak="0">
    <w:nsid w:val="3DEF3648"/>
    <w:multiLevelType w:val="multilevel"/>
    <w:tmpl w:val="C42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847C7"/>
    <w:multiLevelType w:val="multilevel"/>
    <w:tmpl w:val="A79A2ACC"/>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B60F4C"/>
    <w:multiLevelType w:val="multilevel"/>
    <w:tmpl w:val="41A25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073C6C"/>
    <w:multiLevelType w:val="hybridMultilevel"/>
    <w:tmpl w:val="BB9E2AA6"/>
    <w:lvl w:ilvl="0" w:tplc="CA4089A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2"/>
  </w:num>
  <w:num w:numId="5">
    <w:abstractNumId w:val="0"/>
  </w:num>
  <w:num w:numId="6">
    <w:abstractNumId w:val="1"/>
  </w:num>
  <w:num w:numId="7">
    <w:abstractNumId w:val="8"/>
  </w:num>
  <w:num w:numId="8">
    <w:abstractNumId w:val="6"/>
  </w:num>
  <w:num w:numId="9">
    <w:abstractNumId w:val="13"/>
  </w:num>
  <w:num w:numId="10">
    <w:abstractNumId w:val="11"/>
  </w:num>
  <w:num w:numId="11">
    <w:abstractNumId w:val="9"/>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120"/>
    <w:rsid w:val="00003508"/>
    <w:rsid w:val="00007121"/>
    <w:rsid w:val="00012901"/>
    <w:rsid w:val="00014C9D"/>
    <w:rsid w:val="0001696D"/>
    <w:rsid w:val="00021EF4"/>
    <w:rsid w:val="00023254"/>
    <w:rsid w:val="000236A1"/>
    <w:rsid w:val="00023B17"/>
    <w:rsid w:val="00025D28"/>
    <w:rsid w:val="000317D0"/>
    <w:rsid w:val="00037792"/>
    <w:rsid w:val="00037AFA"/>
    <w:rsid w:val="00037F28"/>
    <w:rsid w:val="00040DC3"/>
    <w:rsid w:val="0004232D"/>
    <w:rsid w:val="0004435D"/>
    <w:rsid w:val="00051979"/>
    <w:rsid w:val="00053362"/>
    <w:rsid w:val="00054FFB"/>
    <w:rsid w:val="000579A1"/>
    <w:rsid w:val="0006061F"/>
    <w:rsid w:val="00066E56"/>
    <w:rsid w:val="000740FA"/>
    <w:rsid w:val="00074618"/>
    <w:rsid w:val="00074A31"/>
    <w:rsid w:val="00076B36"/>
    <w:rsid w:val="00077436"/>
    <w:rsid w:val="00084A3F"/>
    <w:rsid w:val="000878BB"/>
    <w:rsid w:val="00087FA4"/>
    <w:rsid w:val="0009299E"/>
    <w:rsid w:val="00093CDD"/>
    <w:rsid w:val="000944BC"/>
    <w:rsid w:val="000944D1"/>
    <w:rsid w:val="00096F50"/>
    <w:rsid w:val="000A15F9"/>
    <w:rsid w:val="000A4F21"/>
    <w:rsid w:val="000B08DC"/>
    <w:rsid w:val="000B0C28"/>
    <w:rsid w:val="000B16A6"/>
    <w:rsid w:val="000B3569"/>
    <w:rsid w:val="000B3FD2"/>
    <w:rsid w:val="000B603E"/>
    <w:rsid w:val="000C5128"/>
    <w:rsid w:val="000D1E16"/>
    <w:rsid w:val="000D4175"/>
    <w:rsid w:val="000D7001"/>
    <w:rsid w:val="000E0A0B"/>
    <w:rsid w:val="000E4316"/>
    <w:rsid w:val="000F3510"/>
    <w:rsid w:val="000F3BD2"/>
    <w:rsid w:val="0010508F"/>
    <w:rsid w:val="00105814"/>
    <w:rsid w:val="00106EF5"/>
    <w:rsid w:val="00107DEC"/>
    <w:rsid w:val="0011018F"/>
    <w:rsid w:val="0011288D"/>
    <w:rsid w:val="001128E0"/>
    <w:rsid w:val="00113B77"/>
    <w:rsid w:val="0011686A"/>
    <w:rsid w:val="001174BA"/>
    <w:rsid w:val="00117996"/>
    <w:rsid w:val="00126F54"/>
    <w:rsid w:val="00132C4D"/>
    <w:rsid w:val="00136513"/>
    <w:rsid w:val="00136BEC"/>
    <w:rsid w:val="00140187"/>
    <w:rsid w:val="00142419"/>
    <w:rsid w:val="001445D0"/>
    <w:rsid w:val="001470D3"/>
    <w:rsid w:val="001508AA"/>
    <w:rsid w:val="00151C9F"/>
    <w:rsid w:val="001525B9"/>
    <w:rsid w:val="00152793"/>
    <w:rsid w:val="00154FA5"/>
    <w:rsid w:val="00161180"/>
    <w:rsid w:val="00161F3C"/>
    <w:rsid w:val="00164927"/>
    <w:rsid w:val="001652D3"/>
    <w:rsid w:val="00171D29"/>
    <w:rsid w:val="00172304"/>
    <w:rsid w:val="00172685"/>
    <w:rsid w:val="001732F8"/>
    <w:rsid w:val="00173ACD"/>
    <w:rsid w:val="00173E05"/>
    <w:rsid w:val="00174E29"/>
    <w:rsid w:val="00175A95"/>
    <w:rsid w:val="00175F18"/>
    <w:rsid w:val="001825B2"/>
    <w:rsid w:val="00183170"/>
    <w:rsid w:val="00183BC0"/>
    <w:rsid w:val="00186A37"/>
    <w:rsid w:val="0019225B"/>
    <w:rsid w:val="00192299"/>
    <w:rsid w:val="001931E3"/>
    <w:rsid w:val="00194EC7"/>
    <w:rsid w:val="00196A9D"/>
    <w:rsid w:val="00197E3B"/>
    <w:rsid w:val="001A1A51"/>
    <w:rsid w:val="001A69F0"/>
    <w:rsid w:val="001A795C"/>
    <w:rsid w:val="001B41A7"/>
    <w:rsid w:val="001C27E0"/>
    <w:rsid w:val="001C380A"/>
    <w:rsid w:val="001C3944"/>
    <w:rsid w:val="001D3673"/>
    <w:rsid w:val="001E064F"/>
    <w:rsid w:val="001E1738"/>
    <w:rsid w:val="001E3D38"/>
    <w:rsid w:val="001E5270"/>
    <w:rsid w:val="001E55BC"/>
    <w:rsid w:val="001E6F64"/>
    <w:rsid w:val="001F0F58"/>
    <w:rsid w:val="001F1320"/>
    <w:rsid w:val="001F153E"/>
    <w:rsid w:val="001F34B4"/>
    <w:rsid w:val="001F635D"/>
    <w:rsid w:val="00200E6A"/>
    <w:rsid w:val="00207460"/>
    <w:rsid w:val="0021251A"/>
    <w:rsid w:val="002151AE"/>
    <w:rsid w:val="00215EF0"/>
    <w:rsid w:val="00216967"/>
    <w:rsid w:val="00220515"/>
    <w:rsid w:val="00220AC2"/>
    <w:rsid w:val="00223344"/>
    <w:rsid w:val="00224519"/>
    <w:rsid w:val="00226B2C"/>
    <w:rsid w:val="00227B23"/>
    <w:rsid w:val="002305CB"/>
    <w:rsid w:val="002312AD"/>
    <w:rsid w:val="002318E7"/>
    <w:rsid w:val="002326D5"/>
    <w:rsid w:val="00233F28"/>
    <w:rsid w:val="0023494D"/>
    <w:rsid w:val="0023603B"/>
    <w:rsid w:val="0024213D"/>
    <w:rsid w:val="00243ECA"/>
    <w:rsid w:val="002524B0"/>
    <w:rsid w:val="00254840"/>
    <w:rsid w:val="0026501A"/>
    <w:rsid w:val="002652EC"/>
    <w:rsid w:val="002667C9"/>
    <w:rsid w:val="002778F5"/>
    <w:rsid w:val="00277B60"/>
    <w:rsid w:val="002849E0"/>
    <w:rsid w:val="00284BA7"/>
    <w:rsid w:val="00290948"/>
    <w:rsid w:val="00291C0B"/>
    <w:rsid w:val="0029376E"/>
    <w:rsid w:val="002958CB"/>
    <w:rsid w:val="00296950"/>
    <w:rsid w:val="00297D2C"/>
    <w:rsid w:val="002A3C07"/>
    <w:rsid w:val="002A5546"/>
    <w:rsid w:val="002B1267"/>
    <w:rsid w:val="002B315E"/>
    <w:rsid w:val="002B44F0"/>
    <w:rsid w:val="002B6F7D"/>
    <w:rsid w:val="002C1C81"/>
    <w:rsid w:val="002C295A"/>
    <w:rsid w:val="002C6E11"/>
    <w:rsid w:val="002C749B"/>
    <w:rsid w:val="002D2351"/>
    <w:rsid w:val="002D418D"/>
    <w:rsid w:val="002D4594"/>
    <w:rsid w:val="002D463A"/>
    <w:rsid w:val="002D5456"/>
    <w:rsid w:val="002D62A8"/>
    <w:rsid w:val="002E0378"/>
    <w:rsid w:val="002E3AF9"/>
    <w:rsid w:val="002E6BAC"/>
    <w:rsid w:val="002F5387"/>
    <w:rsid w:val="002F5B56"/>
    <w:rsid w:val="002F5E43"/>
    <w:rsid w:val="002F72A4"/>
    <w:rsid w:val="002F7973"/>
    <w:rsid w:val="00300677"/>
    <w:rsid w:val="00304F4C"/>
    <w:rsid w:val="00305CF6"/>
    <w:rsid w:val="0030647C"/>
    <w:rsid w:val="003077F4"/>
    <w:rsid w:val="003113A0"/>
    <w:rsid w:val="00313239"/>
    <w:rsid w:val="00314981"/>
    <w:rsid w:val="00320610"/>
    <w:rsid w:val="00320B7C"/>
    <w:rsid w:val="00321667"/>
    <w:rsid w:val="00321AA8"/>
    <w:rsid w:val="0032331E"/>
    <w:rsid w:val="00324411"/>
    <w:rsid w:val="00324CA9"/>
    <w:rsid w:val="00327D31"/>
    <w:rsid w:val="00331199"/>
    <w:rsid w:val="00335F1D"/>
    <w:rsid w:val="00337C33"/>
    <w:rsid w:val="003418F8"/>
    <w:rsid w:val="003432B8"/>
    <w:rsid w:val="0034517E"/>
    <w:rsid w:val="003451D1"/>
    <w:rsid w:val="003467CC"/>
    <w:rsid w:val="00346BB1"/>
    <w:rsid w:val="003545DE"/>
    <w:rsid w:val="00360637"/>
    <w:rsid w:val="0036254F"/>
    <w:rsid w:val="003642B4"/>
    <w:rsid w:val="0036591C"/>
    <w:rsid w:val="003700B8"/>
    <w:rsid w:val="0037031C"/>
    <w:rsid w:val="0037086E"/>
    <w:rsid w:val="00374C8A"/>
    <w:rsid w:val="00374CA6"/>
    <w:rsid w:val="00374D78"/>
    <w:rsid w:val="00376261"/>
    <w:rsid w:val="00376E30"/>
    <w:rsid w:val="00377787"/>
    <w:rsid w:val="00382AC7"/>
    <w:rsid w:val="003841C8"/>
    <w:rsid w:val="003864CF"/>
    <w:rsid w:val="003A334C"/>
    <w:rsid w:val="003B31DB"/>
    <w:rsid w:val="003B791C"/>
    <w:rsid w:val="003C6203"/>
    <w:rsid w:val="003C6E71"/>
    <w:rsid w:val="003C718E"/>
    <w:rsid w:val="003D063F"/>
    <w:rsid w:val="003D3519"/>
    <w:rsid w:val="003E0114"/>
    <w:rsid w:val="003E27C1"/>
    <w:rsid w:val="003E2EF5"/>
    <w:rsid w:val="003E3186"/>
    <w:rsid w:val="003E31A6"/>
    <w:rsid w:val="003E479F"/>
    <w:rsid w:val="003E60BF"/>
    <w:rsid w:val="003F0138"/>
    <w:rsid w:val="003F1054"/>
    <w:rsid w:val="003F60D0"/>
    <w:rsid w:val="003F7922"/>
    <w:rsid w:val="00401DD5"/>
    <w:rsid w:val="00403F54"/>
    <w:rsid w:val="0040412D"/>
    <w:rsid w:val="00406593"/>
    <w:rsid w:val="004078B4"/>
    <w:rsid w:val="004126EC"/>
    <w:rsid w:val="00414466"/>
    <w:rsid w:val="00416279"/>
    <w:rsid w:val="00420085"/>
    <w:rsid w:val="004227DA"/>
    <w:rsid w:val="00427E6F"/>
    <w:rsid w:val="00430CDB"/>
    <w:rsid w:val="00431A74"/>
    <w:rsid w:val="004320F5"/>
    <w:rsid w:val="00433921"/>
    <w:rsid w:val="00441889"/>
    <w:rsid w:val="0044199D"/>
    <w:rsid w:val="004420CA"/>
    <w:rsid w:val="0044609B"/>
    <w:rsid w:val="00451E61"/>
    <w:rsid w:val="00452AB2"/>
    <w:rsid w:val="0046020F"/>
    <w:rsid w:val="004603A3"/>
    <w:rsid w:val="00460B21"/>
    <w:rsid w:val="004644B5"/>
    <w:rsid w:val="00476718"/>
    <w:rsid w:val="00477F77"/>
    <w:rsid w:val="00480ED4"/>
    <w:rsid w:val="004813AE"/>
    <w:rsid w:val="00482971"/>
    <w:rsid w:val="00482A63"/>
    <w:rsid w:val="0048305F"/>
    <w:rsid w:val="00483F4F"/>
    <w:rsid w:val="00493908"/>
    <w:rsid w:val="00496E8D"/>
    <w:rsid w:val="00497A1D"/>
    <w:rsid w:val="00497BA0"/>
    <w:rsid w:val="004A4CFC"/>
    <w:rsid w:val="004A4E79"/>
    <w:rsid w:val="004A5533"/>
    <w:rsid w:val="004A6914"/>
    <w:rsid w:val="004A7D8E"/>
    <w:rsid w:val="004B24C4"/>
    <w:rsid w:val="004B2D17"/>
    <w:rsid w:val="004C13C2"/>
    <w:rsid w:val="004C277E"/>
    <w:rsid w:val="004D10E7"/>
    <w:rsid w:val="004D1E82"/>
    <w:rsid w:val="004D4449"/>
    <w:rsid w:val="004D6B0A"/>
    <w:rsid w:val="004E295D"/>
    <w:rsid w:val="004E445C"/>
    <w:rsid w:val="004E4E30"/>
    <w:rsid w:val="004E687A"/>
    <w:rsid w:val="004F0042"/>
    <w:rsid w:val="004F3510"/>
    <w:rsid w:val="004F429E"/>
    <w:rsid w:val="004F44D2"/>
    <w:rsid w:val="004F459A"/>
    <w:rsid w:val="004F7279"/>
    <w:rsid w:val="005034C0"/>
    <w:rsid w:val="00507094"/>
    <w:rsid w:val="0051124D"/>
    <w:rsid w:val="00511E8B"/>
    <w:rsid w:val="005133F4"/>
    <w:rsid w:val="00513679"/>
    <w:rsid w:val="005142A8"/>
    <w:rsid w:val="00514832"/>
    <w:rsid w:val="0051677C"/>
    <w:rsid w:val="00521D50"/>
    <w:rsid w:val="005247A1"/>
    <w:rsid w:val="00526782"/>
    <w:rsid w:val="00527B0F"/>
    <w:rsid w:val="005304DC"/>
    <w:rsid w:val="0053087C"/>
    <w:rsid w:val="00530EFD"/>
    <w:rsid w:val="00532E56"/>
    <w:rsid w:val="00534E33"/>
    <w:rsid w:val="00535167"/>
    <w:rsid w:val="00536553"/>
    <w:rsid w:val="005544CD"/>
    <w:rsid w:val="00555B02"/>
    <w:rsid w:val="00556E6E"/>
    <w:rsid w:val="005655C4"/>
    <w:rsid w:val="005725E9"/>
    <w:rsid w:val="005731A6"/>
    <w:rsid w:val="00574B9E"/>
    <w:rsid w:val="00574D34"/>
    <w:rsid w:val="0058119E"/>
    <w:rsid w:val="0058266F"/>
    <w:rsid w:val="00583002"/>
    <w:rsid w:val="00591A7D"/>
    <w:rsid w:val="00595B1A"/>
    <w:rsid w:val="005A0F5F"/>
    <w:rsid w:val="005A52A4"/>
    <w:rsid w:val="005B01DE"/>
    <w:rsid w:val="005B1214"/>
    <w:rsid w:val="005B1905"/>
    <w:rsid w:val="005B35F6"/>
    <w:rsid w:val="005B4F4B"/>
    <w:rsid w:val="005B57BC"/>
    <w:rsid w:val="005C360B"/>
    <w:rsid w:val="005C4359"/>
    <w:rsid w:val="005C488D"/>
    <w:rsid w:val="005C6570"/>
    <w:rsid w:val="005D5F60"/>
    <w:rsid w:val="005D673F"/>
    <w:rsid w:val="005E1872"/>
    <w:rsid w:val="005E280C"/>
    <w:rsid w:val="005E2EB6"/>
    <w:rsid w:val="005E357C"/>
    <w:rsid w:val="005E4486"/>
    <w:rsid w:val="005E584C"/>
    <w:rsid w:val="005F2635"/>
    <w:rsid w:val="005F3D0D"/>
    <w:rsid w:val="005F7D22"/>
    <w:rsid w:val="00600B01"/>
    <w:rsid w:val="00600C61"/>
    <w:rsid w:val="00601BE9"/>
    <w:rsid w:val="00601D7B"/>
    <w:rsid w:val="00603832"/>
    <w:rsid w:val="006050F3"/>
    <w:rsid w:val="00613C60"/>
    <w:rsid w:val="0061534D"/>
    <w:rsid w:val="00621365"/>
    <w:rsid w:val="00622318"/>
    <w:rsid w:val="006226DA"/>
    <w:rsid w:val="00633A7A"/>
    <w:rsid w:val="006346CD"/>
    <w:rsid w:val="00634E47"/>
    <w:rsid w:val="00635FC9"/>
    <w:rsid w:val="00636F22"/>
    <w:rsid w:val="006449B5"/>
    <w:rsid w:val="00647ADC"/>
    <w:rsid w:val="00651F97"/>
    <w:rsid w:val="006536BD"/>
    <w:rsid w:val="00655972"/>
    <w:rsid w:val="00656915"/>
    <w:rsid w:val="00661434"/>
    <w:rsid w:val="006640DA"/>
    <w:rsid w:val="00664510"/>
    <w:rsid w:val="006649F7"/>
    <w:rsid w:val="00673403"/>
    <w:rsid w:val="006740AF"/>
    <w:rsid w:val="0067722D"/>
    <w:rsid w:val="00684BA6"/>
    <w:rsid w:val="00686AEF"/>
    <w:rsid w:val="0069247A"/>
    <w:rsid w:val="00693B16"/>
    <w:rsid w:val="006A0AEA"/>
    <w:rsid w:val="006A10C7"/>
    <w:rsid w:val="006A2137"/>
    <w:rsid w:val="006B2565"/>
    <w:rsid w:val="006B350B"/>
    <w:rsid w:val="006D34C5"/>
    <w:rsid w:val="006D5761"/>
    <w:rsid w:val="006D580F"/>
    <w:rsid w:val="006D6C5A"/>
    <w:rsid w:val="006E1E62"/>
    <w:rsid w:val="006E2FAE"/>
    <w:rsid w:val="006E3036"/>
    <w:rsid w:val="006E37AF"/>
    <w:rsid w:val="006F1807"/>
    <w:rsid w:val="006F27A4"/>
    <w:rsid w:val="006F2FEA"/>
    <w:rsid w:val="006F5C18"/>
    <w:rsid w:val="006F698B"/>
    <w:rsid w:val="00700761"/>
    <w:rsid w:val="00702AB2"/>
    <w:rsid w:val="00706389"/>
    <w:rsid w:val="00707FA3"/>
    <w:rsid w:val="0071157B"/>
    <w:rsid w:val="00711FB0"/>
    <w:rsid w:val="007165D7"/>
    <w:rsid w:val="007215D1"/>
    <w:rsid w:val="00724141"/>
    <w:rsid w:val="007303D4"/>
    <w:rsid w:val="00735264"/>
    <w:rsid w:val="0074078B"/>
    <w:rsid w:val="007444A6"/>
    <w:rsid w:val="00744912"/>
    <w:rsid w:val="00745A10"/>
    <w:rsid w:val="0074666B"/>
    <w:rsid w:val="00747E06"/>
    <w:rsid w:val="00754A15"/>
    <w:rsid w:val="00754EA6"/>
    <w:rsid w:val="007573CD"/>
    <w:rsid w:val="00757535"/>
    <w:rsid w:val="007719FD"/>
    <w:rsid w:val="007801A0"/>
    <w:rsid w:val="007822FD"/>
    <w:rsid w:val="0078331E"/>
    <w:rsid w:val="00787BDE"/>
    <w:rsid w:val="007909A9"/>
    <w:rsid w:val="00790A0F"/>
    <w:rsid w:val="00792511"/>
    <w:rsid w:val="007A3177"/>
    <w:rsid w:val="007A3CD3"/>
    <w:rsid w:val="007A40C8"/>
    <w:rsid w:val="007B0863"/>
    <w:rsid w:val="007B55F4"/>
    <w:rsid w:val="007B5AE0"/>
    <w:rsid w:val="007C303A"/>
    <w:rsid w:val="007E1650"/>
    <w:rsid w:val="007E3288"/>
    <w:rsid w:val="007E4E32"/>
    <w:rsid w:val="007E764B"/>
    <w:rsid w:val="007F2247"/>
    <w:rsid w:val="008013BA"/>
    <w:rsid w:val="00804808"/>
    <w:rsid w:val="0080556A"/>
    <w:rsid w:val="00813691"/>
    <w:rsid w:val="00820AED"/>
    <w:rsid w:val="008212AB"/>
    <w:rsid w:val="008216B4"/>
    <w:rsid w:val="00821DF4"/>
    <w:rsid w:val="00822E1F"/>
    <w:rsid w:val="00823BDF"/>
    <w:rsid w:val="00824EBE"/>
    <w:rsid w:val="008300C3"/>
    <w:rsid w:val="00830207"/>
    <w:rsid w:val="00830ED6"/>
    <w:rsid w:val="00831AEA"/>
    <w:rsid w:val="00834125"/>
    <w:rsid w:val="00835A04"/>
    <w:rsid w:val="00835BEA"/>
    <w:rsid w:val="00842447"/>
    <w:rsid w:val="00843A2E"/>
    <w:rsid w:val="008509D9"/>
    <w:rsid w:val="00852C6F"/>
    <w:rsid w:val="0085400D"/>
    <w:rsid w:val="0085768B"/>
    <w:rsid w:val="0086117E"/>
    <w:rsid w:val="008617B1"/>
    <w:rsid w:val="00861EDC"/>
    <w:rsid w:val="0086343A"/>
    <w:rsid w:val="00863B8F"/>
    <w:rsid w:val="008707BE"/>
    <w:rsid w:val="008834A7"/>
    <w:rsid w:val="00885A56"/>
    <w:rsid w:val="0088605E"/>
    <w:rsid w:val="008907BE"/>
    <w:rsid w:val="0089103A"/>
    <w:rsid w:val="00891FDD"/>
    <w:rsid w:val="00892297"/>
    <w:rsid w:val="00894B88"/>
    <w:rsid w:val="008A1F1E"/>
    <w:rsid w:val="008A2C39"/>
    <w:rsid w:val="008A3C1D"/>
    <w:rsid w:val="008A6CBF"/>
    <w:rsid w:val="008A7A6D"/>
    <w:rsid w:val="008B09C4"/>
    <w:rsid w:val="008B1109"/>
    <w:rsid w:val="008B1AFE"/>
    <w:rsid w:val="008B1C69"/>
    <w:rsid w:val="008B1E1B"/>
    <w:rsid w:val="008B44C9"/>
    <w:rsid w:val="008B4821"/>
    <w:rsid w:val="008B75CC"/>
    <w:rsid w:val="008C1AC5"/>
    <w:rsid w:val="008C1DC3"/>
    <w:rsid w:val="008C5ABD"/>
    <w:rsid w:val="008C61FA"/>
    <w:rsid w:val="008C6E4D"/>
    <w:rsid w:val="008D016B"/>
    <w:rsid w:val="008E13A2"/>
    <w:rsid w:val="008F0EC4"/>
    <w:rsid w:val="008F6221"/>
    <w:rsid w:val="008F628B"/>
    <w:rsid w:val="008F6501"/>
    <w:rsid w:val="0090108E"/>
    <w:rsid w:val="00901186"/>
    <w:rsid w:val="00903DF6"/>
    <w:rsid w:val="00904119"/>
    <w:rsid w:val="009042C7"/>
    <w:rsid w:val="00906684"/>
    <w:rsid w:val="00910BC9"/>
    <w:rsid w:val="00910D7C"/>
    <w:rsid w:val="0091190B"/>
    <w:rsid w:val="009120B6"/>
    <w:rsid w:val="00912242"/>
    <w:rsid w:val="00913E6D"/>
    <w:rsid w:val="00914B13"/>
    <w:rsid w:val="009159F9"/>
    <w:rsid w:val="0092021C"/>
    <w:rsid w:val="00922088"/>
    <w:rsid w:val="009234CE"/>
    <w:rsid w:val="009264B9"/>
    <w:rsid w:val="00935B2C"/>
    <w:rsid w:val="00941E8A"/>
    <w:rsid w:val="00944F23"/>
    <w:rsid w:val="009463E1"/>
    <w:rsid w:val="009475CD"/>
    <w:rsid w:val="00950370"/>
    <w:rsid w:val="00951BE0"/>
    <w:rsid w:val="00952D84"/>
    <w:rsid w:val="0095377C"/>
    <w:rsid w:val="00955073"/>
    <w:rsid w:val="009627C6"/>
    <w:rsid w:val="009643FC"/>
    <w:rsid w:val="009711AB"/>
    <w:rsid w:val="00972BA0"/>
    <w:rsid w:val="00973D75"/>
    <w:rsid w:val="009747C5"/>
    <w:rsid w:val="00975889"/>
    <w:rsid w:val="00977CAC"/>
    <w:rsid w:val="00980D88"/>
    <w:rsid w:val="00980DA9"/>
    <w:rsid w:val="00982F6A"/>
    <w:rsid w:val="00985720"/>
    <w:rsid w:val="00992753"/>
    <w:rsid w:val="00992EC7"/>
    <w:rsid w:val="009A5EC3"/>
    <w:rsid w:val="009A62EB"/>
    <w:rsid w:val="009A6B53"/>
    <w:rsid w:val="009B0248"/>
    <w:rsid w:val="009B1456"/>
    <w:rsid w:val="009B1AAF"/>
    <w:rsid w:val="009B4D8F"/>
    <w:rsid w:val="009C00F5"/>
    <w:rsid w:val="009C1549"/>
    <w:rsid w:val="009C178D"/>
    <w:rsid w:val="009C690F"/>
    <w:rsid w:val="009D0EFB"/>
    <w:rsid w:val="009D2807"/>
    <w:rsid w:val="009D35B5"/>
    <w:rsid w:val="009D4149"/>
    <w:rsid w:val="009D597A"/>
    <w:rsid w:val="009E255F"/>
    <w:rsid w:val="009E5465"/>
    <w:rsid w:val="009E54F6"/>
    <w:rsid w:val="009E647D"/>
    <w:rsid w:val="009F3750"/>
    <w:rsid w:val="009F4801"/>
    <w:rsid w:val="009F7815"/>
    <w:rsid w:val="00A00DA7"/>
    <w:rsid w:val="00A0589E"/>
    <w:rsid w:val="00A05934"/>
    <w:rsid w:val="00A062DB"/>
    <w:rsid w:val="00A073EB"/>
    <w:rsid w:val="00A07D6D"/>
    <w:rsid w:val="00A11615"/>
    <w:rsid w:val="00A12B4F"/>
    <w:rsid w:val="00A12DC2"/>
    <w:rsid w:val="00A1712E"/>
    <w:rsid w:val="00A17491"/>
    <w:rsid w:val="00A17E23"/>
    <w:rsid w:val="00A2032A"/>
    <w:rsid w:val="00A20AB2"/>
    <w:rsid w:val="00A21A55"/>
    <w:rsid w:val="00A25561"/>
    <w:rsid w:val="00A27C3F"/>
    <w:rsid w:val="00A36B70"/>
    <w:rsid w:val="00A406F9"/>
    <w:rsid w:val="00A41448"/>
    <w:rsid w:val="00A419C2"/>
    <w:rsid w:val="00A42703"/>
    <w:rsid w:val="00A52EE5"/>
    <w:rsid w:val="00A535DC"/>
    <w:rsid w:val="00A538A5"/>
    <w:rsid w:val="00A54A6B"/>
    <w:rsid w:val="00A5719F"/>
    <w:rsid w:val="00A62595"/>
    <w:rsid w:val="00A62F5D"/>
    <w:rsid w:val="00A675ED"/>
    <w:rsid w:val="00A70213"/>
    <w:rsid w:val="00A70DB2"/>
    <w:rsid w:val="00A70F76"/>
    <w:rsid w:val="00A74B5C"/>
    <w:rsid w:val="00A76810"/>
    <w:rsid w:val="00A7742E"/>
    <w:rsid w:val="00A80CDD"/>
    <w:rsid w:val="00A81AD1"/>
    <w:rsid w:val="00A84BE9"/>
    <w:rsid w:val="00A86BCD"/>
    <w:rsid w:val="00A87732"/>
    <w:rsid w:val="00A90C5A"/>
    <w:rsid w:val="00A92E24"/>
    <w:rsid w:val="00A93BA1"/>
    <w:rsid w:val="00A945A6"/>
    <w:rsid w:val="00AA47C3"/>
    <w:rsid w:val="00AA4E72"/>
    <w:rsid w:val="00AA5141"/>
    <w:rsid w:val="00AA5A1C"/>
    <w:rsid w:val="00AA5E51"/>
    <w:rsid w:val="00AB065A"/>
    <w:rsid w:val="00AB2586"/>
    <w:rsid w:val="00AB47A9"/>
    <w:rsid w:val="00AB56D7"/>
    <w:rsid w:val="00AB58E6"/>
    <w:rsid w:val="00AC067B"/>
    <w:rsid w:val="00AC0F7C"/>
    <w:rsid w:val="00AC2B0F"/>
    <w:rsid w:val="00AC6815"/>
    <w:rsid w:val="00AC6AC8"/>
    <w:rsid w:val="00AC7874"/>
    <w:rsid w:val="00AD5BD6"/>
    <w:rsid w:val="00AE2C48"/>
    <w:rsid w:val="00AE317F"/>
    <w:rsid w:val="00AF0D03"/>
    <w:rsid w:val="00AF3A8C"/>
    <w:rsid w:val="00AF3F96"/>
    <w:rsid w:val="00AF5D73"/>
    <w:rsid w:val="00AF60A2"/>
    <w:rsid w:val="00AF76AE"/>
    <w:rsid w:val="00B013EF"/>
    <w:rsid w:val="00B0184A"/>
    <w:rsid w:val="00B022E0"/>
    <w:rsid w:val="00B03050"/>
    <w:rsid w:val="00B032B4"/>
    <w:rsid w:val="00B0407B"/>
    <w:rsid w:val="00B04316"/>
    <w:rsid w:val="00B06C97"/>
    <w:rsid w:val="00B07679"/>
    <w:rsid w:val="00B11649"/>
    <w:rsid w:val="00B12909"/>
    <w:rsid w:val="00B1299D"/>
    <w:rsid w:val="00B13447"/>
    <w:rsid w:val="00B14982"/>
    <w:rsid w:val="00B15677"/>
    <w:rsid w:val="00B16363"/>
    <w:rsid w:val="00B175CC"/>
    <w:rsid w:val="00B1781F"/>
    <w:rsid w:val="00B208AD"/>
    <w:rsid w:val="00B31883"/>
    <w:rsid w:val="00B32363"/>
    <w:rsid w:val="00B324C0"/>
    <w:rsid w:val="00B32630"/>
    <w:rsid w:val="00B35DE2"/>
    <w:rsid w:val="00B472E9"/>
    <w:rsid w:val="00B5085A"/>
    <w:rsid w:val="00B525A4"/>
    <w:rsid w:val="00B55774"/>
    <w:rsid w:val="00B56627"/>
    <w:rsid w:val="00B601BA"/>
    <w:rsid w:val="00B65132"/>
    <w:rsid w:val="00B66E01"/>
    <w:rsid w:val="00B722EF"/>
    <w:rsid w:val="00B7373B"/>
    <w:rsid w:val="00B73D8C"/>
    <w:rsid w:val="00B8091F"/>
    <w:rsid w:val="00B84D66"/>
    <w:rsid w:val="00B85A26"/>
    <w:rsid w:val="00B86560"/>
    <w:rsid w:val="00B926B9"/>
    <w:rsid w:val="00B930EB"/>
    <w:rsid w:val="00B9520A"/>
    <w:rsid w:val="00B95A60"/>
    <w:rsid w:val="00B9717D"/>
    <w:rsid w:val="00B97F48"/>
    <w:rsid w:val="00BB1615"/>
    <w:rsid w:val="00BB2453"/>
    <w:rsid w:val="00BC517A"/>
    <w:rsid w:val="00BC6624"/>
    <w:rsid w:val="00BC6701"/>
    <w:rsid w:val="00BD061F"/>
    <w:rsid w:val="00BD1709"/>
    <w:rsid w:val="00BD253E"/>
    <w:rsid w:val="00BD3A68"/>
    <w:rsid w:val="00BD4017"/>
    <w:rsid w:val="00BD4F91"/>
    <w:rsid w:val="00BE17B6"/>
    <w:rsid w:val="00BE1DB1"/>
    <w:rsid w:val="00BE215A"/>
    <w:rsid w:val="00BE547B"/>
    <w:rsid w:val="00BE5FB2"/>
    <w:rsid w:val="00BF0E05"/>
    <w:rsid w:val="00BF48DB"/>
    <w:rsid w:val="00BF6DAD"/>
    <w:rsid w:val="00C021EF"/>
    <w:rsid w:val="00C02FDF"/>
    <w:rsid w:val="00C039AB"/>
    <w:rsid w:val="00C03DB7"/>
    <w:rsid w:val="00C0460A"/>
    <w:rsid w:val="00C06810"/>
    <w:rsid w:val="00C07724"/>
    <w:rsid w:val="00C10276"/>
    <w:rsid w:val="00C109E2"/>
    <w:rsid w:val="00C12F6C"/>
    <w:rsid w:val="00C13F65"/>
    <w:rsid w:val="00C14A76"/>
    <w:rsid w:val="00C15598"/>
    <w:rsid w:val="00C166F5"/>
    <w:rsid w:val="00C16B09"/>
    <w:rsid w:val="00C2155A"/>
    <w:rsid w:val="00C22778"/>
    <w:rsid w:val="00C27853"/>
    <w:rsid w:val="00C32BCF"/>
    <w:rsid w:val="00C36DB5"/>
    <w:rsid w:val="00C40619"/>
    <w:rsid w:val="00C406FC"/>
    <w:rsid w:val="00C42936"/>
    <w:rsid w:val="00C45985"/>
    <w:rsid w:val="00C57FB9"/>
    <w:rsid w:val="00C60375"/>
    <w:rsid w:val="00C61079"/>
    <w:rsid w:val="00C62D66"/>
    <w:rsid w:val="00C6338A"/>
    <w:rsid w:val="00C7225D"/>
    <w:rsid w:val="00C72851"/>
    <w:rsid w:val="00C7479E"/>
    <w:rsid w:val="00C74BB3"/>
    <w:rsid w:val="00C751F0"/>
    <w:rsid w:val="00C80A79"/>
    <w:rsid w:val="00C823E1"/>
    <w:rsid w:val="00C8373E"/>
    <w:rsid w:val="00C84F95"/>
    <w:rsid w:val="00C860DB"/>
    <w:rsid w:val="00C8663E"/>
    <w:rsid w:val="00C86940"/>
    <w:rsid w:val="00C86A38"/>
    <w:rsid w:val="00C87A25"/>
    <w:rsid w:val="00C9003D"/>
    <w:rsid w:val="00C9111C"/>
    <w:rsid w:val="00C94810"/>
    <w:rsid w:val="00CA144E"/>
    <w:rsid w:val="00CA1C63"/>
    <w:rsid w:val="00CA5BF0"/>
    <w:rsid w:val="00CB0597"/>
    <w:rsid w:val="00CC22E3"/>
    <w:rsid w:val="00CC51F5"/>
    <w:rsid w:val="00CC5E5F"/>
    <w:rsid w:val="00CD0417"/>
    <w:rsid w:val="00CD2558"/>
    <w:rsid w:val="00CD6031"/>
    <w:rsid w:val="00CD77B9"/>
    <w:rsid w:val="00CE6AE8"/>
    <w:rsid w:val="00CE72E8"/>
    <w:rsid w:val="00CE7E1A"/>
    <w:rsid w:val="00CF69B0"/>
    <w:rsid w:val="00CF6BFD"/>
    <w:rsid w:val="00D00917"/>
    <w:rsid w:val="00D01022"/>
    <w:rsid w:val="00D022C0"/>
    <w:rsid w:val="00D02E1B"/>
    <w:rsid w:val="00D03A86"/>
    <w:rsid w:val="00D070DB"/>
    <w:rsid w:val="00D11F7B"/>
    <w:rsid w:val="00D12B38"/>
    <w:rsid w:val="00D13E60"/>
    <w:rsid w:val="00D179A0"/>
    <w:rsid w:val="00D22BB1"/>
    <w:rsid w:val="00D245BF"/>
    <w:rsid w:val="00D256F8"/>
    <w:rsid w:val="00D323B7"/>
    <w:rsid w:val="00D35D26"/>
    <w:rsid w:val="00D445B7"/>
    <w:rsid w:val="00D446C6"/>
    <w:rsid w:val="00D45BD2"/>
    <w:rsid w:val="00D546B0"/>
    <w:rsid w:val="00D572AA"/>
    <w:rsid w:val="00D62F74"/>
    <w:rsid w:val="00D62F9D"/>
    <w:rsid w:val="00D66944"/>
    <w:rsid w:val="00D67DD7"/>
    <w:rsid w:val="00D71716"/>
    <w:rsid w:val="00D725FD"/>
    <w:rsid w:val="00D73C10"/>
    <w:rsid w:val="00D74B48"/>
    <w:rsid w:val="00D768AC"/>
    <w:rsid w:val="00D778C9"/>
    <w:rsid w:val="00D80244"/>
    <w:rsid w:val="00D817A4"/>
    <w:rsid w:val="00D819AE"/>
    <w:rsid w:val="00D8572F"/>
    <w:rsid w:val="00D85AAA"/>
    <w:rsid w:val="00D866CB"/>
    <w:rsid w:val="00D87009"/>
    <w:rsid w:val="00D92D54"/>
    <w:rsid w:val="00D94A16"/>
    <w:rsid w:val="00D9753D"/>
    <w:rsid w:val="00DA0552"/>
    <w:rsid w:val="00DA2A14"/>
    <w:rsid w:val="00DA3299"/>
    <w:rsid w:val="00DB1C04"/>
    <w:rsid w:val="00DB401F"/>
    <w:rsid w:val="00DC10E0"/>
    <w:rsid w:val="00DC1AA2"/>
    <w:rsid w:val="00DC1BF8"/>
    <w:rsid w:val="00DC5355"/>
    <w:rsid w:val="00DC6B7A"/>
    <w:rsid w:val="00DC7803"/>
    <w:rsid w:val="00DD097E"/>
    <w:rsid w:val="00DD0A77"/>
    <w:rsid w:val="00DD4618"/>
    <w:rsid w:val="00DD5141"/>
    <w:rsid w:val="00DD74B5"/>
    <w:rsid w:val="00DE0244"/>
    <w:rsid w:val="00DE0576"/>
    <w:rsid w:val="00DE5C57"/>
    <w:rsid w:val="00DE5CD2"/>
    <w:rsid w:val="00DE6C44"/>
    <w:rsid w:val="00DF0F6C"/>
    <w:rsid w:val="00DF2C07"/>
    <w:rsid w:val="00DF640E"/>
    <w:rsid w:val="00DF6C20"/>
    <w:rsid w:val="00DF6CF3"/>
    <w:rsid w:val="00E02825"/>
    <w:rsid w:val="00E062C2"/>
    <w:rsid w:val="00E063A6"/>
    <w:rsid w:val="00E0666E"/>
    <w:rsid w:val="00E116AA"/>
    <w:rsid w:val="00E13E7E"/>
    <w:rsid w:val="00E1760B"/>
    <w:rsid w:val="00E17A48"/>
    <w:rsid w:val="00E27E2A"/>
    <w:rsid w:val="00E3698E"/>
    <w:rsid w:val="00E374D5"/>
    <w:rsid w:val="00E41456"/>
    <w:rsid w:val="00E44476"/>
    <w:rsid w:val="00E45332"/>
    <w:rsid w:val="00E51A10"/>
    <w:rsid w:val="00E52C8E"/>
    <w:rsid w:val="00E54B55"/>
    <w:rsid w:val="00E5639B"/>
    <w:rsid w:val="00E571EA"/>
    <w:rsid w:val="00E57EB0"/>
    <w:rsid w:val="00E63C4B"/>
    <w:rsid w:val="00E6727C"/>
    <w:rsid w:val="00E715C8"/>
    <w:rsid w:val="00E762DD"/>
    <w:rsid w:val="00E80876"/>
    <w:rsid w:val="00E82180"/>
    <w:rsid w:val="00EA1333"/>
    <w:rsid w:val="00EA1518"/>
    <w:rsid w:val="00EA19AC"/>
    <w:rsid w:val="00EA48E7"/>
    <w:rsid w:val="00EA5613"/>
    <w:rsid w:val="00EB0F01"/>
    <w:rsid w:val="00EB10B1"/>
    <w:rsid w:val="00EB2246"/>
    <w:rsid w:val="00EB2CA5"/>
    <w:rsid w:val="00EB700E"/>
    <w:rsid w:val="00EC2861"/>
    <w:rsid w:val="00EC3955"/>
    <w:rsid w:val="00ED26B0"/>
    <w:rsid w:val="00ED40EB"/>
    <w:rsid w:val="00ED597A"/>
    <w:rsid w:val="00ED61AB"/>
    <w:rsid w:val="00EE2897"/>
    <w:rsid w:val="00EE739A"/>
    <w:rsid w:val="00EE7AE7"/>
    <w:rsid w:val="00EF31F1"/>
    <w:rsid w:val="00EF6E8D"/>
    <w:rsid w:val="00EF73D6"/>
    <w:rsid w:val="00EF7B60"/>
    <w:rsid w:val="00F0091C"/>
    <w:rsid w:val="00F02D3E"/>
    <w:rsid w:val="00F0450F"/>
    <w:rsid w:val="00F07CFF"/>
    <w:rsid w:val="00F11178"/>
    <w:rsid w:val="00F13E53"/>
    <w:rsid w:val="00F15AA2"/>
    <w:rsid w:val="00F16240"/>
    <w:rsid w:val="00F228C9"/>
    <w:rsid w:val="00F23263"/>
    <w:rsid w:val="00F23C3B"/>
    <w:rsid w:val="00F30D16"/>
    <w:rsid w:val="00F31204"/>
    <w:rsid w:val="00F31680"/>
    <w:rsid w:val="00F34DF3"/>
    <w:rsid w:val="00F37E8A"/>
    <w:rsid w:val="00F4265C"/>
    <w:rsid w:val="00F42AE9"/>
    <w:rsid w:val="00F43120"/>
    <w:rsid w:val="00F434DD"/>
    <w:rsid w:val="00F4508B"/>
    <w:rsid w:val="00F45499"/>
    <w:rsid w:val="00F476D5"/>
    <w:rsid w:val="00F540AC"/>
    <w:rsid w:val="00F63F5B"/>
    <w:rsid w:val="00F64F81"/>
    <w:rsid w:val="00F65414"/>
    <w:rsid w:val="00F704DB"/>
    <w:rsid w:val="00F7153F"/>
    <w:rsid w:val="00F80658"/>
    <w:rsid w:val="00F80937"/>
    <w:rsid w:val="00F817D0"/>
    <w:rsid w:val="00F81A7C"/>
    <w:rsid w:val="00F83C82"/>
    <w:rsid w:val="00F840F3"/>
    <w:rsid w:val="00F86AA7"/>
    <w:rsid w:val="00F87F3D"/>
    <w:rsid w:val="00F91B2B"/>
    <w:rsid w:val="00F9755E"/>
    <w:rsid w:val="00F97934"/>
    <w:rsid w:val="00FA0915"/>
    <w:rsid w:val="00FA25E2"/>
    <w:rsid w:val="00FB2231"/>
    <w:rsid w:val="00FB2271"/>
    <w:rsid w:val="00FB2899"/>
    <w:rsid w:val="00FB606B"/>
    <w:rsid w:val="00FB7116"/>
    <w:rsid w:val="00FB765E"/>
    <w:rsid w:val="00FB7703"/>
    <w:rsid w:val="00FC14CB"/>
    <w:rsid w:val="00FC4B1D"/>
    <w:rsid w:val="00FC5086"/>
    <w:rsid w:val="00FC5FFB"/>
    <w:rsid w:val="00FD07B3"/>
    <w:rsid w:val="00FD11E3"/>
    <w:rsid w:val="00FD3ACE"/>
    <w:rsid w:val="00FD4AC4"/>
    <w:rsid w:val="00FD661B"/>
    <w:rsid w:val="00FE3B39"/>
    <w:rsid w:val="00FE47C6"/>
    <w:rsid w:val="00FE7494"/>
    <w:rsid w:val="00FE7801"/>
    <w:rsid w:val="00FF0636"/>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19E76"/>
  <w15:docId w15:val="{CF4775F1-A488-43CA-8233-E87E275B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5AE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96424677">
    <w:name w:val="xfm_96424677"/>
    <w:basedOn w:val="a0"/>
    <w:rsid w:val="00F43120"/>
  </w:style>
  <w:style w:type="character" w:styleId="a4">
    <w:name w:val="Hyperlink"/>
    <w:basedOn w:val="a0"/>
    <w:uiPriority w:val="99"/>
    <w:rsid w:val="00507094"/>
    <w:rPr>
      <w:color w:val="0000FF"/>
      <w:u w:val="single"/>
    </w:rPr>
  </w:style>
  <w:style w:type="character" w:customStyle="1" w:styleId="xfm00339340">
    <w:name w:val="xfm_00339340"/>
    <w:basedOn w:val="a0"/>
    <w:rsid w:val="00192299"/>
  </w:style>
  <w:style w:type="paragraph" w:customStyle="1" w:styleId="xfmc5">
    <w:name w:val="xfmc5"/>
    <w:basedOn w:val="a"/>
    <w:rsid w:val="00EE7AE7"/>
    <w:pPr>
      <w:spacing w:before="100" w:beforeAutospacing="1" w:after="100" w:afterAutospacing="1"/>
    </w:pPr>
  </w:style>
  <w:style w:type="paragraph" w:styleId="a5">
    <w:name w:val="Normal (Web)"/>
    <w:aliases w:val="Обычный (Web)"/>
    <w:basedOn w:val="a"/>
    <w:qFormat/>
    <w:rsid w:val="00EE7AE7"/>
    <w:pPr>
      <w:spacing w:before="100" w:beforeAutospacing="1" w:after="100" w:afterAutospacing="1"/>
    </w:pPr>
  </w:style>
  <w:style w:type="paragraph" w:customStyle="1" w:styleId="xfmc6">
    <w:name w:val="xfmc6"/>
    <w:basedOn w:val="a"/>
    <w:rsid w:val="00EE7AE7"/>
    <w:pPr>
      <w:spacing w:before="100" w:beforeAutospacing="1" w:after="100" w:afterAutospacing="1"/>
    </w:pPr>
  </w:style>
  <w:style w:type="character" w:customStyle="1" w:styleId="xfmc9">
    <w:name w:val="xfmc9"/>
    <w:basedOn w:val="a0"/>
    <w:rsid w:val="00EE7AE7"/>
  </w:style>
  <w:style w:type="paragraph" w:customStyle="1" w:styleId="xfmc7">
    <w:name w:val="xfmc7"/>
    <w:basedOn w:val="a"/>
    <w:rsid w:val="00EE7AE7"/>
    <w:pPr>
      <w:spacing w:before="100" w:beforeAutospacing="1" w:after="100" w:afterAutospacing="1"/>
    </w:pPr>
  </w:style>
  <w:style w:type="character" w:customStyle="1" w:styleId="xfm94565844">
    <w:name w:val="xfm_94565844"/>
    <w:basedOn w:val="a0"/>
    <w:rsid w:val="00DC1AA2"/>
  </w:style>
  <w:style w:type="character" w:customStyle="1" w:styleId="xfm87759596">
    <w:name w:val="xfm_87759596"/>
    <w:basedOn w:val="a0"/>
    <w:rsid w:val="003C718E"/>
  </w:style>
  <w:style w:type="paragraph" w:customStyle="1" w:styleId="xfmc1">
    <w:name w:val="xfmc1"/>
    <w:basedOn w:val="a"/>
    <w:rsid w:val="00D87009"/>
    <w:pPr>
      <w:spacing w:before="100" w:beforeAutospacing="1" w:after="100" w:afterAutospacing="1"/>
    </w:pPr>
  </w:style>
  <w:style w:type="character" w:customStyle="1" w:styleId="xfm79581792">
    <w:name w:val="xfm_79581792"/>
    <w:basedOn w:val="a0"/>
    <w:rsid w:val="00497A1D"/>
  </w:style>
  <w:style w:type="paragraph" w:styleId="HTML">
    <w:name w:val="HTML Preformatted"/>
    <w:basedOn w:val="a"/>
    <w:link w:val="HTML0"/>
    <w:uiPriority w:val="99"/>
    <w:rsid w:val="00B14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Strong"/>
    <w:basedOn w:val="a0"/>
    <w:uiPriority w:val="22"/>
    <w:qFormat/>
    <w:rsid w:val="00173ACD"/>
    <w:rPr>
      <w:b/>
      <w:bCs/>
    </w:rPr>
  </w:style>
  <w:style w:type="paragraph" w:customStyle="1" w:styleId="CharCharCharChar">
    <w:name w:val="Char Знак Знак Char Знак Знак Char Знак Знак Char Знак Знак Знак Знак Знак Знак"/>
    <w:basedOn w:val="a"/>
    <w:rsid w:val="004126EC"/>
    <w:rPr>
      <w:rFonts w:ascii="Verdana" w:hAnsi="Verdana" w:cs="Verdana"/>
      <w:sz w:val="20"/>
      <w:szCs w:val="20"/>
      <w:lang w:val="en-US" w:eastAsia="en-US"/>
    </w:rPr>
  </w:style>
  <w:style w:type="paragraph" w:styleId="a7">
    <w:name w:val="header"/>
    <w:basedOn w:val="a"/>
    <w:link w:val="a8"/>
    <w:uiPriority w:val="99"/>
    <w:rsid w:val="00216967"/>
    <w:pPr>
      <w:tabs>
        <w:tab w:val="center" w:pos="4677"/>
        <w:tab w:val="right" w:pos="9355"/>
      </w:tabs>
    </w:pPr>
  </w:style>
  <w:style w:type="character" w:styleId="a9">
    <w:name w:val="page number"/>
    <w:basedOn w:val="a0"/>
    <w:rsid w:val="00216967"/>
  </w:style>
  <w:style w:type="character" w:styleId="aa">
    <w:name w:val="FollowedHyperlink"/>
    <w:basedOn w:val="a0"/>
    <w:rsid w:val="00EB0F01"/>
    <w:rPr>
      <w:color w:val="800080"/>
      <w:u w:val="single"/>
    </w:rPr>
  </w:style>
  <w:style w:type="paragraph" w:customStyle="1" w:styleId="CharCharCharChar1">
    <w:name w:val="Char Знак Знак Char Знак Знак Char Знак Знак Char Знак Знак Знак Знак Знак Знак1"/>
    <w:basedOn w:val="a"/>
    <w:rsid w:val="00416279"/>
    <w:rPr>
      <w:rFonts w:ascii="Verdana" w:hAnsi="Verdana" w:cs="Verdana"/>
      <w:sz w:val="20"/>
      <w:szCs w:val="20"/>
      <w:lang w:val="en-US" w:eastAsia="en-US"/>
    </w:rPr>
  </w:style>
  <w:style w:type="paragraph" w:styleId="ab">
    <w:name w:val="footer"/>
    <w:basedOn w:val="a"/>
    <w:rsid w:val="00D323B7"/>
    <w:pPr>
      <w:tabs>
        <w:tab w:val="center" w:pos="4677"/>
        <w:tab w:val="right" w:pos="9355"/>
      </w:tabs>
    </w:pPr>
  </w:style>
  <w:style w:type="character" w:styleId="ac">
    <w:name w:val="annotation reference"/>
    <w:basedOn w:val="a0"/>
    <w:semiHidden/>
    <w:rsid w:val="00A41448"/>
    <w:rPr>
      <w:sz w:val="16"/>
      <w:szCs w:val="16"/>
    </w:rPr>
  </w:style>
  <w:style w:type="paragraph" w:styleId="ad">
    <w:name w:val="annotation text"/>
    <w:basedOn w:val="a"/>
    <w:semiHidden/>
    <w:rsid w:val="00A41448"/>
    <w:rPr>
      <w:sz w:val="20"/>
      <w:szCs w:val="20"/>
    </w:rPr>
  </w:style>
  <w:style w:type="paragraph" w:styleId="ae">
    <w:name w:val="annotation subject"/>
    <w:basedOn w:val="ad"/>
    <w:next w:val="ad"/>
    <w:semiHidden/>
    <w:rsid w:val="00A41448"/>
    <w:rPr>
      <w:b/>
      <w:bCs/>
    </w:rPr>
  </w:style>
  <w:style w:type="paragraph" w:styleId="af">
    <w:name w:val="Balloon Text"/>
    <w:basedOn w:val="a"/>
    <w:link w:val="af0"/>
    <w:uiPriority w:val="99"/>
    <w:semiHidden/>
    <w:rsid w:val="00A41448"/>
    <w:rPr>
      <w:rFonts w:ascii="Tahoma" w:hAnsi="Tahoma" w:cs="Tahoma"/>
      <w:sz w:val="16"/>
      <w:szCs w:val="16"/>
    </w:rPr>
  </w:style>
  <w:style w:type="paragraph" w:customStyle="1" w:styleId="1">
    <w:name w:val="Знак Знак1 Знак"/>
    <w:basedOn w:val="a"/>
    <w:rsid w:val="00A41448"/>
    <w:rPr>
      <w:rFonts w:ascii="Verdana" w:hAnsi="Verdana" w:cs="Verdana"/>
      <w:sz w:val="20"/>
      <w:szCs w:val="20"/>
      <w:lang w:val="en-US" w:eastAsia="en-US"/>
    </w:rPr>
  </w:style>
  <w:style w:type="paragraph" w:customStyle="1" w:styleId="af1">
    <w:name w:val="Знак Знак Знак Знак Знак Знак"/>
    <w:basedOn w:val="a"/>
    <w:rsid w:val="00D62F9D"/>
    <w:pPr>
      <w:autoSpaceDE w:val="0"/>
      <w:autoSpaceDN w:val="0"/>
    </w:pPr>
    <w:rPr>
      <w:rFonts w:ascii="Verdana" w:hAnsi="Verdana" w:cs="Verdana"/>
      <w:sz w:val="20"/>
      <w:szCs w:val="20"/>
      <w:lang w:val="en-US" w:eastAsia="en-US"/>
    </w:rPr>
  </w:style>
  <w:style w:type="paragraph" w:customStyle="1" w:styleId="StyleZakonu">
    <w:name w:val="StyleZakonu"/>
    <w:basedOn w:val="a"/>
    <w:link w:val="StyleZakonu0"/>
    <w:rsid w:val="00196A9D"/>
    <w:pPr>
      <w:spacing w:after="60" w:line="220" w:lineRule="exact"/>
      <w:ind w:firstLine="284"/>
      <w:jc w:val="both"/>
    </w:pPr>
    <w:rPr>
      <w:sz w:val="20"/>
      <w:szCs w:val="20"/>
      <w:lang w:val="uk-UA"/>
    </w:rPr>
  </w:style>
  <w:style w:type="character" w:customStyle="1" w:styleId="StyleZakonu0">
    <w:name w:val="StyleZakonu Знак"/>
    <w:link w:val="StyleZakonu"/>
    <w:locked/>
    <w:rsid w:val="00196A9D"/>
  </w:style>
  <w:style w:type="paragraph" w:customStyle="1" w:styleId="21">
    <w:name w:val="21"/>
    <w:basedOn w:val="a"/>
    <w:rsid w:val="00D778C9"/>
    <w:pPr>
      <w:spacing w:before="100" w:beforeAutospacing="1" w:after="100" w:afterAutospacing="1"/>
    </w:pPr>
    <w:rPr>
      <w:lang w:val="uk-UA" w:eastAsia="uk-UA"/>
    </w:rPr>
  </w:style>
  <w:style w:type="paragraph" w:styleId="af2">
    <w:name w:val="List Paragraph"/>
    <w:basedOn w:val="a"/>
    <w:uiPriority w:val="34"/>
    <w:qFormat/>
    <w:rsid w:val="0074078B"/>
    <w:pPr>
      <w:ind w:left="720"/>
      <w:contextualSpacing/>
    </w:pPr>
  </w:style>
  <w:style w:type="character" w:customStyle="1" w:styleId="HTML0">
    <w:name w:val="Стандартний HTML Знак"/>
    <w:basedOn w:val="a0"/>
    <w:link w:val="HTML"/>
    <w:uiPriority w:val="99"/>
    <w:rsid w:val="00A54A6B"/>
    <w:rPr>
      <w:rFonts w:ascii="Courier New" w:hAnsi="Courier New" w:cs="Courier New"/>
      <w:lang w:val="ru-RU" w:eastAsia="ru-RU"/>
    </w:rPr>
  </w:style>
  <w:style w:type="character" w:customStyle="1" w:styleId="af0">
    <w:name w:val="Текст у виносці Знак"/>
    <w:basedOn w:val="a0"/>
    <w:link w:val="af"/>
    <w:uiPriority w:val="99"/>
    <w:semiHidden/>
    <w:rsid w:val="00337C33"/>
    <w:rPr>
      <w:rFonts w:ascii="Tahoma" w:hAnsi="Tahoma" w:cs="Tahoma"/>
      <w:sz w:val="16"/>
      <w:szCs w:val="16"/>
      <w:lang w:val="ru-RU" w:eastAsia="ru-RU"/>
    </w:rPr>
  </w:style>
  <w:style w:type="character" w:customStyle="1" w:styleId="af3">
    <w:name w:val="Основной текст_"/>
    <w:basedOn w:val="a0"/>
    <w:link w:val="11"/>
    <w:rsid w:val="000B16A6"/>
    <w:rPr>
      <w:rFonts w:ascii="Arial" w:eastAsia="Arial" w:hAnsi="Arial" w:cs="Arial"/>
      <w:sz w:val="21"/>
      <w:szCs w:val="21"/>
      <w:shd w:val="clear" w:color="auto" w:fill="FFFFFF"/>
    </w:rPr>
  </w:style>
  <w:style w:type="paragraph" w:customStyle="1" w:styleId="11">
    <w:name w:val="Основной текст11"/>
    <w:basedOn w:val="a"/>
    <w:link w:val="af3"/>
    <w:rsid w:val="000B16A6"/>
    <w:pPr>
      <w:shd w:val="clear" w:color="auto" w:fill="FFFFFF"/>
      <w:spacing w:before="120" w:after="120" w:line="0" w:lineRule="atLeast"/>
      <w:ind w:hanging="340"/>
    </w:pPr>
    <w:rPr>
      <w:rFonts w:ascii="Arial" w:eastAsia="Arial" w:hAnsi="Arial" w:cs="Arial"/>
      <w:sz w:val="21"/>
      <w:szCs w:val="21"/>
      <w:lang w:val="uk-UA" w:eastAsia="uk-UA"/>
    </w:rPr>
  </w:style>
  <w:style w:type="character" w:customStyle="1" w:styleId="9">
    <w:name w:val="Основной текст9"/>
    <w:basedOn w:val="af3"/>
    <w:rsid w:val="000B16A6"/>
    <w:rPr>
      <w:rFonts w:ascii="Arial" w:eastAsia="Arial" w:hAnsi="Arial" w:cs="Arial"/>
      <w:b w:val="0"/>
      <w:bCs w:val="0"/>
      <w:i w:val="0"/>
      <w:iCs w:val="0"/>
      <w:smallCaps w:val="0"/>
      <w:strike w:val="0"/>
      <w:spacing w:val="0"/>
      <w:sz w:val="21"/>
      <w:szCs w:val="21"/>
      <w:u w:val="single"/>
      <w:shd w:val="clear" w:color="auto" w:fill="FFFFFF"/>
    </w:rPr>
  </w:style>
  <w:style w:type="character" w:customStyle="1" w:styleId="90">
    <w:name w:val="Основной текст (9) + Не полужирный"/>
    <w:basedOn w:val="a0"/>
    <w:rsid w:val="00A1712E"/>
    <w:rPr>
      <w:rFonts w:ascii="Arial" w:eastAsia="Arial" w:hAnsi="Arial" w:cs="Arial"/>
      <w:b/>
      <w:bCs/>
      <w:i w:val="0"/>
      <w:iCs w:val="0"/>
      <w:smallCaps w:val="0"/>
      <w:strike w:val="0"/>
      <w:spacing w:val="0"/>
      <w:sz w:val="21"/>
      <w:szCs w:val="21"/>
    </w:rPr>
  </w:style>
  <w:style w:type="character" w:customStyle="1" w:styleId="91">
    <w:name w:val="Основной текст (9)"/>
    <w:basedOn w:val="a0"/>
    <w:rsid w:val="00A1712E"/>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sid w:val="00374D78"/>
    <w:rPr>
      <w:rFonts w:ascii="Arial" w:eastAsia="Arial" w:hAnsi="Arial" w:cs="Arial"/>
      <w:sz w:val="17"/>
      <w:szCs w:val="17"/>
      <w:shd w:val="clear" w:color="auto" w:fill="FFFFFF"/>
      <w:lang w:val="en-US"/>
    </w:rPr>
  </w:style>
  <w:style w:type="character" w:customStyle="1" w:styleId="2">
    <w:name w:val="Основной текст (2)_"/>
    <w:basedOn w:val="a0"/>
    <w:link w:val="20"/>
    <w:rsid w:val="00374D78"/>
    <w:rPr>
      <w:rFonts w:ascii="Arial" w:eastAsia="Arial" w:hAnsi="Arial" w:cs="Arial"/>
      <w:sz w:val="21"/>
      <w:szCs w:val="21"/>
      <w:shd w:val="clear" w:color="auto" w:fill="FFFFFF"/>
    </w:rPr>
  </w:style>
  <w:style w:type="character" w:customStyle="1" w:styleId="92">
    <w:name w:val="Основной текст (9)_"/>
    <w:basedOn w:val="a0"/>
    <w:rsid w:val="00374D78"/>
    <w:rPr>
      <w:rFonts w:ascii="Arial" w:eastAsia="Arial" w:hAnsi="Arial" w:cs="Arial"/>
      <w:b w:val="0"/>
      <w:bCs w:val="0"/>
      <w:i w:val="0"/>
      <w:iCs w:val="0"/>
      <w:smallCaps w:val="0"/>
      <w:strike w:val="0"/>
      <w:spacing w:val="0"/>
      <w:sz w:val="21"/>
      <w:szCs w:val="21"/>
    </w:rPr>
  </w:style>
  <w:style w:type="paragraph" w:customStyle="1" w:styleId="40">
    <w:name w:val="Основной текст (4)"/>
    <w:basedOn w:val="a"/>
    <w:link w:val="4"/>
    <w:rsid w:val="00374D78"/>
    <w:pPr>
      <w:shd w:val="clear" w:color="auto" w:fill="FFFFFF"/>
      <w:spacing w:after="240" w:line="197" w:lineRule="exact"/>
    </w:pPr>
    <w:rPr>
      <w:rFonts w:ascii="Arial" w:eastAsia="Arial" w:hAnsi="Arial" w:cs="Arial"/>
      <w:sz w:val="17"/>
      <w:szCs w:val="17"/>
      <w:lang w:val="en-US" w:eastAsia="uk-UA"/>
    </w:rPr>
  </w:style>
  <w:style w:type="paragraph" w:customStyle="1" w:styleId="20">
    <w:name w:val="Основной текст (2)"/>
    <w:basedOn w:val="a"/>
    <w:link w:val="2"/>
    <w:rsid w:val="00374D78"/>
    <w:pPr>
      <w:shd w:val="clear" w:color="auto" w:fill="FFFFFF"/>
      <w:spacing w:before="120" w:line="235" w:lineRule="exact"/>
      <w:ind w:hanging="2760"/>
      <w:jc w:val="both"/>
    </w:pPr>
    <w:rPr>
      <w:rFonts w:ascii="Arial" w:eastAsia="Arial" w:hAnsi="Arial" w:cs="Arial"/>
      <w:sz w:val="21"/>
      <w:szCs w:val="21"/>
      <w:lang w:val="uk-UA" w:eastAsia="uk-UA"/>
    </w:rPr>
  </w:style>
  <w:style w:type="character" w:customStyle="1" w:styleId="af4">
    <w:name w:val="Основной текст + Полужирный"/>
    <w:basedOn w:val="af3"/>
    <w:rsid w:val="004B24C4"/>
    <w:rPr>
      <w:rFonts w:ascii="Arial" w:eastAsia="Arial" w:hAnsi="Arial" w:cs="Arial"/>
      <w:b/>
      <w:bCs/>
      <w:i w:val="0"/>
      <w:iCs w:val="0"/>
      <w:smallCaps w:val="0"/>
      <w:strike w:val="0"/>
      <w:spacing w:val="0"/>
      <w:sz w:val="21"/>
      <w:szCs w:val="21"/>
      <w:shd w:val="clear" w:color="auto" w:fill="FFFFFF"/>
    </w:rPr>
  </w:style>
  <w:style w:type="paragraph" w:customStyle="1" w:styleId="12">
    <w:name w:val="Основной текст12"/>
    <w:basedOn w:val="a"/>
    <w:rsid w:val="004B24C4"/>
    <w:pPr>
      <w:shd w:val="clear" w:color="auto" w:fill="FFFFFF"/>
      <w:spacing w:before="120" w:after="120" w:line="0" w:lineRule="atLeast"/>
      <w:ind w:hanging="340"/>
    </w:pPr>
    <w:rPr>
      <w:rFonts w:ascii="Arial" w:eastAsia="Arial" w:hAnsi="Arial" w:cs="Arial"/>
      <w:color w:val="000000"/>
      <w:sz w:val="21"/>
      <w:szCs w:val="21"/>
      <w:lang w:val="uk" w:eastAsia="uk-UA"/>
    </w:rPr>
  </w:style>
  <w:style w:type="character" w:customStyle="1" w:styleId="22">
    <w:name w:val="Основной текст (2) + Не полужирный"/>
    <w:basedOn w:val="2"/>
    <w:rsid w:val="00B12909"/>
    <w:rPr>
      <w:rFonts w:ascii="Arial" w:eastAsia="Arial" w:hAnsi="Arial" w:cs="Arial"/>
      <w:b/>
      <w:bCs/>
      <w:i w:val="0"/>
      <w:iCs w:val="0"/>
      <w:smallCaps w:val="0"/>
      <w:strike w:val="0"/>
      <w:spacing w:val="0"/>
      <w:sz w:val="21"/>
      <w:szCs w:val="21"/>
      <w:shd w:val="clear" w:color="auto" w:fill="FFFFFF"/>
    </w:rPr>
  </w:style>
  <w:style w:type="character" w:customStyle="1" w:styleId="Sylfaen75pt">
    <w:name w:val="Основной текст + Sylfaen;7;5 pt"/>
    <w:basedOn w:val="af3"/>
    <w:rsid w:val="009A62EB"/>
    <w:rPr>
      <w:rFonts w:ascii="Sylfaen" w:eastAsia="Sylfaen" w:hAnsi="Sylfaen" w:cs="Sylfaen"/>
      <w:b w:val="0"/>
      <w:bCs w:val="0"/>
      <w:i w:val="0"/>
      <w:iCs w:val="0"/>
      <w:smallCaps w:val="0"/>
      <w:strike w:val="0"/>
      <w:spacing w:val="0"/>
      <w:sz w:val="15"/>
      <w:szCs w:val="15"/>
      <w:shd w:val="clear" w:color="auto" w:fill="FFFFFF"/>
    </w:rPr>
  </w:style>
  <w:style w:type="paragraph" w:customStyle="1" w:styleId="3">
    <w:name w:val="Основной текст3"/>
    <w:basedOn w:val="a"/>
    <w:rsid w:val="00E82180"/>
    <w:pPr>
      <w:shd w:val="clear" w:color="auto" w:fill="FFFFFF"/>
      <w:spacing w:line="238" w:lineRule="exact"/>
    </w:pPr>
    <w:rPr>
      <w:color w:val="000000"/>
      <w:sz w:val="23"/>
      <w:szCs w:val="23"/>
      <w:lang w:val="uk" w:eastAsia="uk-UA"/>
    </w:rPr>
  </w:style>
  <w:style w:type="paragraph" w:customStyle="1" w:styleId="10">
    <w:name w:val="Основной текст1"/>
    <w:basedOn w:val="a"/>
    <w:rsid w:val="00B31883"/>
    <w:pPr>
      <w:shd w:val="clear" w:color="auto" w:fill="FFFFFF"/>
      <w:spacing w:before="2640" w:after="240" w:line="0" w:lineRule="atLeast"/>
    </w:pPr>
    <w:rPr>
      <w:color w:val="000000"/>
      <w:sz w:val="25"/>
      <w:szCs w:val="25"/>
      <w:lang w:val="uk" w:eastAsia="uk-UA"/>
    </w:rPr>
  </w:style>
  <w:style w:type="character" w:customStyle="1" w:styleId="a8">
    <w:name w:val="Верхній колонтитул Знак"/>
    <w:basedOn w:val="a0"/>
    <w:link w:val="a7"/>
    <w:uiPriority w:val="99"/>
    <w:rsid w:val="004E445C"/>
    <w:rPr>
      <w:sz w:val="24"/>
      <w:szCs w:val="24"/>
      <w:lang w:val="ru-RU" w:eastAsia="ru-RU"/>
    </w:rPr>
  </w:style>
  <w:style w:type="paragraph" w:customStyle="1" w:styleId="rvps2">
    <w:name w:val="rvps2"/>
    <w:basedOn w:val="a"/>
    <w:rsid w:val="009E54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171">
      <w:bodyDiv w:val="1"/>
      <w:marLeft w:val="0"/>
      <w:marRight w:val="0"/>
      <w:marTop w:val="0"/>
      <w:marBottom w:val="0"/>
      <w:divBdr>
        <w:top w:val="none" w:sz="0" w:space="0" w:color="auto"/>
        <w:left w:val="none" w:sz="0" w:space="0" w:color="auto"/>
        <w:bottom w:val="none" w:sz="0" w:space="0" w:color="auto"/>
        <w:right w:val="none" w:sz="0" w:space="0" w:color="auto"/>
      </w:divBdr>
    </w:div>
    <w:div w:id="231044514">
      <w:bodyDiv w:val="1"/>
      <w:marLeft w:val="0"/>
      <w:marRight w:val="0"/>
      <w:marTop w:val="0"/>
      <w:marBottom w:val="0"/>
      <w:divBdr>
        <w:top w:val="none" w:sz="0" w:space="0" w:color="auto"/>
        <w:left w:val="none" w:sz="0" w:space="0" w:color="auto"/>
        <w:bottom w:val="none" w:sz="0" w:space="0" w:color="auto"/>
        <w:right w:val="none" w:sz="0" w:space="0" w:color="auto"/>
      </w:divBdr>
      <w:divsChild>
        <w:div w:id="632559230">
          <w:marLeft w:val="0"/>
          <w:marRight w:val="0"/>
          <w:marTop w:val="0"/>
          <w:marBottom w:val="0"/>
          <w:divBdr>
            <w:top w:val="none" w:sz="0" w:space="0" w:color="auto"/>
            <w:left w:val="none" w:sz="0" w:space="0" w:color="auto"/>
            <w:bottom w:val="none" w:sz="0" w:space="0" w:color="auto"/>
            <w:right w:val="none" w:sz="0" w:space="0" w:color="auto"/>
          </w:divBdr>
        </w:div>
        <w:div w:id="777263575">
          <w:marLeft w:val="0"/>
          <w:marRight w:val="0"/>
          <w:marTop w:val="0"/>
          <w:marBottom w:val="0"/>
          <w:divBdr>
            <w:top w:val="none" w:sz="0" w:space="0" w:color="auto"/>
            <w:left w:val="none" w:sz="0" w:space="0" w:color="auto"/>
            <w:bottom w:val="none" w:sz="0" w:space="0" w:color="auto"/>
            <w:right w:val="none" w:sz="0" w:space="0" w:color="auto"/>
          </w:divBdr>
        </w:div>
        <w:div w:id="929628334">
          <w:marLeft w:val="0"/>
          <w:marRight w:val="0"/>
          <w:marTop w:val="0"/>
          <w:marBottom w:val="0"/>
          <w:divBdr>
            <w:top w:val="none" w:sz="0" w:space="0" w:color="auto"/>
            <w:left w:val="none" w:sz="0" w:space="0" w:color="auto"/>
            <w:bottom w:val="none" w:sz="0" w:space="0" w:color="auto"/>
            <w:right w:val="none" w:sz="0" w:space="0" w:color="auto"/>
          </w:divBdr>
        </w:div>
        <w:div w:id="1099133871">
          <w:marLeft w:val="0"/>
          <w:marRight w:val="0"/>
          <w:marTop w:val="0"/>
          <w:marBottom w:val="0"/>
          <w:divBdr>
            <w:top w:val="none" w:sz="0" w:space="0" w:color="auto"/>
            <w:left w:val="none" w:sz="0" w:space="0" w:color="auto"/>
            <w:bottom w:val="none" w:sz="0" w:space="0" w:color="auto"/>
            <w:right w:val="none" w:sz="0" w:space="0" w:color="auto"/>
          </w:divBdr>
        </w:div>
        <w:div w:id="1528907709">
          <w:marLeft w:val="0"/>
          <w:marRight w:val="0"/>
          <w:marTop w:val="0"/>
          <w:marBottom w:val="0"/>
          <w:divBdr>
            <w:top w:val="none" w:sz="0" w:space="0" w:color="auto"/>
            <w:left w:val="none" w:sz="0" w:space="0" w:color="auto"/>
            <w:bottom w:val="none" w:sz="0" w:space="0" w:color="auto"/>
            <w:right w:val="none" w:sz="0" w:space="0" w:color="auto"/>
          </w:divBdr>
        </w:div>
        <w:div w:id="2066028741">
          <w:marLeft w:val="0"/>
          <w:marRight w:val="0"/>
          <w:marTop w:val="0"/>
          <w:marBottom w:val="0"/>
          <w:divBdr>
            <w:top w:val="none" w:sz="0" w:space="0" w:color="auto"/>
            <w:left w:val="none" w:sz="0" w:space="0" w:color="auto"/>
            <w:bottom w:val="none" w:sz="0" w:space="0" w:color="auto"/>
            <w:right w:val="none" w:sz="0" w:space="0" w:color="auto"/>
          </w:divBdr>
        </w:div>
      </w:divsChild>
    </w:div>
    <w:div w:id="293560663">
      <w:bodyDiv w:val="1"/>
      <w:marLeft w:val="0"/>
      <w:marRight w:val="0"/>
      <w:marTop w:val="0"/>
      <w:marBottom w:val="0"/>
      <w:divBdr>
        <w:top w:val="none" w:sz="0" w:space="0" w:color="auto"/>
        <w:left w:val="none" w:sz="0" w:space="0" w:color="auto"/>
        <w:bottom w:val="none" w:sz="0" w:space="0" w:color="auto"/>
        <w:right w:val="none" w:sz="0" w:space="0" w:color="auto"/>
      </w:divBdr>
      <w:divsChild>
        <w:div w:id="118184351">
          <w:marLeft w:val="0"/>
          <w:marRight w:val="0"/>
          <w:marTop w:val="0"/>
          <w:marBottom w:val="0"/>
          <w:divBdr>
            <w:top w:val="none" w:sz="0" w:space="0" w:color="auto"/>
            <w:left w:val="none" w:sz="0" w:space="0" w:color="auto"/>
            <w:bottom w:val="none" w:sz="0" w:space="0" w:color="auto"/>
            <w:right w:val="none" w:sz="0" w:space="0" w:color="auto"/>
          </w:divBdr>
        </w:div>
        <w:div w:id="1538619389">
          <w:marLeft w:val="0"/>
          <w:marRight w:val="0"/>
          <w:marTop w:val="0"/>
          <w:marBottom w:val="0"/>
          <w:divBdr>
            <w:top w:val="none" w:sz="0" w:space="0" w:color="auto"/>
            <w:left w:val="none" w:sz="0" w:space="0" w:color="auto"/>
            <w:bottom w:val="none" w:sz="0" w:space="0" w:color="auto"/>
            <w:right w:val="none" w:sz="0" w:space="0" w:color="auto"/>
          </w:divBdr>
        </w:div>
        <w:div w:id="1553539085">
          <w:marLeft w:val="0"/>
          <w:marRight w:val="0"/>
          <w:marTop w:val="0"/>
          <w:marBottom w:val="0"/>
          <w:divBdr>
            <w:top w:val="none" w:sz="0" w:space="0" w:color="auto"/>
            <w:left w:val="none" w:sz="0" w:space="0" w:color="auto"/>
            <w:bottom w:val="none" w:sz="0" w:space="0" w:color="auto"/>
            <w:right w:val="none" w:sz="0" w:space="0" w:color="auto"/>
          </w:divBdr>
        </w:div>
      </w:divsChild>
    </w:div>
    <w:div w:id="385684021">
      <w:bodyDiv w:val="1"/>
      <w:marLeft w:val="0"/>
      <w:marRight w:val="0"/>
      <w:marTop w:val="0"/>
      <w:marBottom w:val="0"/>
      <w:divBdr>
        <w:top w:val="none" w:sz="0" w:space="0" w:color="auto"/>
        <w:left w:val="none" w:sz="0" w:space="0" w:color="auto"/>
        <w:bottom w:val="none" w:sz="0" w:space="0" w:color="auto"/>
        <w:right w:val="none" w:sz="0" w:space="0" w:color="auto"/>
      </w:divBdr>
    </w:div>
    <w:div w:id="438378690">
      <w:bodyDiv w:val="1"/>
      <w:marLeft w:val="0"/>
      <w:marRight w:val="0"/>
      <w:marTop w:val="0"/>
      <w:marBottom w:val="0"/>
      <w:divBdr>
        <w:top w:val="none" w:sz="0" w:space="0" w:color="auto"/>
        <w:left w:val="none" w:sz="0" w:space="0" w:color="auto"/>
        <w:bottom w:val="none" w:sz="0" w:space="0" w:color="auto"/>
        <w:right w:val="none" w:sz="0" w:space="0" w:color="auto"/>
      </w:divBdr>
    </w:div>
    <w:div w:id="514030145">
      <w:bodyDiv w:val="1"/>
      <w:marLeft w:val="0"/>
      <w:marRight w:val="0"/>
      <w:marTop w:val="0"/>
      <w:marBottom w:val="0"/>
      <w:divBdr>
        <w:top w:val="none" w:sz="0" w:space="0" w:color="auto"/>
        <w:left w:val="none" w:sz="0" w:space="0" w:color="auto"/>
        <w:bottom w:val="none" w:sz="0" w:space="0" w:color="auto"/>
        <w:right w:val="none" w:sz="0" w:space="0" w:color="auto"/>
      </w:divBdr>
      <w:divsChild>
        <w:div w:id="48499527">
          <w:marLeft w:val="0"/>
          <w:marRight w:val="0"/>
          <w:marTop w:val="0"/>
          <w:marBottom w:val="0"/>
          <w:divBdr>
            <w:top w:val="none" w:sz="0" w:space="0" w:color="auto"/>
            <w:left w:val="none" w:sz="0" w:space="0" w:color="auto"/>
            <w:bottom w:val="none" w:sz="0" w:space="0" w:color="auto"/>
            <w:right w:val="none" w:sz="0" w:space="0" w:color="auto"/>
          </w:divBdr>
          <w:divsChild>
            <w:div w:id="7276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6328">
      <w:bodyDiv w:val="1"/>
      <w:marLeft w:val="0"/>
      <w:marRight w:val="0"/>
      <w:marTop w:val="0"/>
      <w:marBottom w:val="0"/>
      <w:divBdr>
        <w:top w:val="none" w:sz="0" w:space="0" w:color="auto"/>
        <w:left w:val="none" w:sz="0" w:space="0" w:color="auto"/>
        <w:bottom w:val="none" w:sz="0" w:space="0" w:color="auto"/>
        <w:right w:val="none" w:sz="0" w:space="0" w:color="auto"/>
      </w:divBdr>
    </w:div>
    <w:div w:id="1059402317">
      <w:bodyDiv w:val="1"/>
      <w:marLeft w:val="0"/>
      <w:marRight w:val="0"/>
      <w:marTop w:val="0"/>
      <w:marBottom w:val="0"/>
      <w:divBdr>
        <w:top w:val="none" w:sz="0" w:space="0" w:color="auto"/>
        <w:left w:val="none" w:sz="0" w:space="0" w:color="auto"/>
        <w:bottom w:val="none" w:sz="0" w:space="0" w:color="auto"/>
        <w:right w:val="none" w:sz="0" w:space="0" w:color="auto"/>
      </w:divBdr>
      <w:divsChild>
        <w:div w:id="846674679">
          <w:marLeft w:val="0"/>
          <w:marRight w:val="0"/>
          <w:marTop w:val="0"/>
          <w:marBottom w:val="0"/>
          <w:divBdr>
            <w:top w:val="none" w:sz="0" w:space="0" w:color="auto"/>
            <w:left w:val="none" w:sz="0" w:space="0" w:color="auto"/>
            <w:bottom w:val="none" w:sz="0" w:space="0" w:color="auto"/>
            <w:right w:val="none" w:sz="0" w:space="0" w:color="auto"/>
          </w:divBdr>
          <w:divsChild>
            <w:div w:id="6127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8833">
      <w:bodyDiv w:val="1"/>
      <w:marLeft w:val="0"/>
      <w:marRight w:val="0"/>
      <w:marTop w:val="0"/>
      <w:marBottom w:val="0"/>
      <w:divBdr>
        <w:top w:val="none" w:sz="0" w:space="0" w:color="auto"/>
        <w:left w:val="none" w:sz="0" w:space="0" w:color="auto"/>
        <w:bottom w:val="none" w:sz="0" w:space="0" w:color="auto"/>
        <w:right w:val="none" w:sz="0" w:space="0" w:color="auto"/>
      </w:divBdr>
      <w:divsChild>
        <w:div w:id="702754874">
          <w:marLeft w:val="0"/>
          <w:marRight w:val="0"/>
          <w:marTop w:val="0"/>
          <w:marBottom w:val="0"/>
          <w:divBdr>
            <w:top w:val="none" w:sz="0" w:space="0" w:color="auto"/>
            <w:left w:val="none" w:sz="0" w:space="0" w:color="auto"/>
            <w:bottom w:val="none" w:sz="0" w:space="0" w:color="auto"/>
            <w:right w:val="none" w:sz="0" w:space="0" w:color="auto"/>
          </w:divBdr>
          <w:divsChild>
            <w:div w:id="1416895971">
              <w:marLeft w:val="0"/>
              <w:marRight w:val="0"/>
              <w:marTop w:val="0"/>
              <w:marBottom w:val="0"/>
              <w:divBdr>
                <w:top w:val="none" w:sz="0" w:space="0" w:color="auto"/>
                <w:left w:val="none" w:sz="0" w:space="0" w:color="auto"/>
                <w:bottom w:val="none" w:sz="0" w:space="0" w:color="auto"/>
                <w:right w:val="none" w:sz="0" w:space="0" w:color="auto"/>
              </w:divBdr>
              <w:divsChild>
                <w:div w:id="58478199">
                  <w:marLeft w:val="0"/>
                  <w:marRight w:val="0"/>
                  <w:marTop w:val="0"/>
                  <w:marBottom w:val="0"/>
                  <w:divBdr>
                    <w:top w:val="none" w:sz="0" w:space="0" w:color="auto"/>
                    <w:left w:val="none" w:sz="0" w:space="0" w:color="auto"/>
                    <w:bottom w:val="none" w:sz="0" w:space="0" w:color="auto"/>
                    <w:right w:val="none" w:sz="0" w:space="0" w:color="auto"/>
                  </w:divBdr>
                  <w:divsChild>
                    <w:div w:id="210966523">
                      <w:marLeft w:val="0"/>
                      <w:marRight w:val="0"/>
                      <w:marTop w:val="0"/>
                      <w:marBottom w:val="0"/>
                      <w:divBdr>
                        <w:top w:val="none" w:sz="0" w:space="0" w:color="auto"/>
                        <w:left w:val="none" w:sz="0" w:space="0" w:color="auto"/>
                        <w:bottom w:val="none" w:sz="0" w:space="0" w:color="auto"/>
                        <w:right w:val="none" w:sz="0" w:space="0" w:color="auto"/>
                      </w:divBdr>
                      <w:divsChild>
                        <w:div w:id="14665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373">
          <w:marLeft w:val="0"/>
          <w:marRight w:val="0"/>
          <w:marTop w:val="0"/>
          <w:marBottom w:val="0"/>
          <w:divBdr>
            <w:top w:val="none" w:sz="0" w:space="0" w:color="auto"/>
            <w:left w:val="none" w:sz="0" w:space="0" w:color="auto"/>
            <w:bottom w:val="none" w:sz="0" w:space="0" w:color="auto"/>
            <w:right w:val="none" w:sz="0" w:space="0" w:color="auto"/>
          </w:divBdr>
          <w:divsChild>
            <w:div w:id="138770593">
              <w:marLeft w:val="0"/>
              <w:marRight w:val="0"/>
              <w:marTop w:val="0"/>
              <w:marBottom w:val="0"/>
              <w:divBdr>
                <w:top w:val="none" w:sz="0" w:space="0" w:color="auto"/>
                <w:left w:val="none" w:sz="0" w:space="0" w:color="auto"/>
                <w:bottom w:val="none" w:sz="0" w:space="0" w:color="auto"/>
                <w:right w:val="none" w:sz="0" w:space="0" w:color="auto"/>
              </w:divBdr>
              <w:divsChild>
                <w:div w:id="211159735">
                  <w:marLeft w:val="0"/>
                  <w:marRight w:val="0"/>
                  <w:marTop w:val="0"/>
                  <w:marBottom w:val="0"/>
                  <w:divBdr>
                    <w:top w:val="none" w:sz="0" w:space="0" w:color="auto"/>
                    <w:left w:val="none" w:sz="0" w:space="0" w:color="auto"/>
                    <w:bottom w:val="none" w:sz="0" w:space="0" w:color="auto"/>
                    <w:right w:val="none" w:sz="0" w:space="0" w:color="auto"/>
                  </w:divBdr>
                  <w:divsChild>
                    <w:div w:id="16834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748">
      <w:bodyDiv w:val="1"/>
      <w:marLeft w:val="0"/>
      <w:marRight w:val="0"/>
      <w:marTop w:val="0"/>
      <w:marBottom w:val="0"/>
      <w:divBdr>
        <w:top w:val="none" w:sz="0" w:space="0" w:color="auto"/>
        <w:left w:val="none" w:sz="0" w:space="0" w:color="auto"/>
        <w:bottom w:val="none" w:sz="0" w:space="0" w:color="auto"/>
        <w:right w:val="none" w:sz="0" w:space="0" w:color="auto"/>
      </w:divBdr>
    </w:div>
    <w:div w:id="1246183367">
      <w:bodyDiv w:val="1"/>
      <w:marLeft w:val="0"/>
      <w:marRight w:val="0"/>
      <w:marTop w:val="0"/>
      <w:marBottom w:val="0"/>
      <w:divBdr>
        <w:top w:val="none" w:sz="0" w:space="0" w:color="auto"/>
        <w:left w:val="none" w:sz="0" w:space="0" w:color="auto"/>
        <w:bottom w:val="none" w:sz="0" w:space="0" w:color="auto"/>
        <w:right w:val="none" w:sz="0" w:space="0" w:color="auto"/>
      </w:divBdr>
    </w:div>
    <w:div w:id="1260219774">
      <w:bodyDiv w:val="1"/>
      <w:marLeft w:val="0"/>
      <w:marRight w:val="0"/>
      <w:marTop w:val="0"/>
      <w:marBottom w:val="0"/>
      <w:divBdr>
        <w:top w:val="none" w:sz="0" w:space="0" w:color="auto"/>
        <w:left w:val="none" w:sz="0" w:space="0" w:color="auto"/>
        <w:bottom w:val="none" w:sz="0" w:space="0" w:color="auto"/>
        <w:right w:val="none" w:sz="0" w:space="0" w:color="auto"/>
      </w:divBdr>
    </w:div>
    <w:div w:id="1438675192">
      <w:bodyDiv w:val="1"/>
      <w:marLeft w:val="0"/>
      <w:marRight w:val="0"/>
      <w:marTop w:val="0"/>
      <w:marBottom w:val="0"/>
      <w:divBdr>
        <w:top w:val="none" w:sz="0" w:space="0" w:color="auto"/>
        <w:left w:val="none" w:sz="0" w:space="0" w:color="auto"/>
        <w:bottom w:val="none" w:sz="0" w:space="0" w:color="auto"/>
        <w:right w:val="none" w:sz="0" w:space="0" w:color="auto"/>
      </w:divBdr>
    </w:div>
    <w:div w:id="1588266600">
      <w:bodyDiv w:val="1"/>
      <w:marLeft w:val="0"/>
      <w:marRight w:val="0"/>
      <w:marTop w:val="0"/>
      <w:marBottom w:val="0"/>
      <w:divBdr>
        <w:top w:val="none" w:sz="0" w:space="0" w:color="auto"/>
        <w:left w:val="none" w:sz="0" w:space="0" w:color="auto"/>
        <w:bottom w:val="none" w:sz="0" w:space="0" w:color="auto"/>
        <w:right w:val="none" w:sz="0" w:space="0" w:color="auto"/>
      </w:divBdr>
    </w:div>
    <w:div w:id="1612206035">
      <w:bodyDiv w:val="1"/>
      <w:marLeft w:val="0"/>
      <w:marRight w:val="0"/>
      <w:marTop w:val="0"/>
      <w:marBottom w:val="0"/>
      <w:divBdr>
        <w:top w:val="none" w:sz="0" w:space="0" w:color="auto"/>
        <w:left w:val="none" w:sz="0" w:space="0" w:color="auto"/>
        <w:bottom w:val="none" w:sz="0" w:space="0" w:color="auto"/>
        <w:right w:val="none" w:sz="0" w:space="0" w:color="auto"/>
      </w:divBdr>
    </w:div>
    <w:div w:id="1941403291">
      <w:bodyDiv w:val="1"/>
      <w:marLeft w:val="0"/>
      <w:marRight w:val="0"/>
      <w:marTop w:val="0"/>
      <w:marBottom w:val="0"/>
      <w:divBdr>
        <w:top w:val="none" w:sz="0" w:space="0" w:color="auto"/>
        <w:left w:val="none" w:sz="0" w:space="0" w:color="auto"/>
        <w:bottom w:val="none" w:sz="0" w:space="0" w:color="auto"/>
        <w:right w:val="none" w:sz="0" w:space="0" w:color="auto"/>
      </w:divBdr>
      <w:divsChild>
        <w:div w:id="9333881">
          <w:marLeft w:val="0"/>
          <w:marRight w:val="0"/>
          <w:marTop w:val="0"/>
          <w:marBottom w:val="0"/>
          <w:divBdr>
            <w:top w:val="none" w:sz="0" w:space="0" w:color="auto"/>
            <w:left w:val="none" w:sz="0" w:space="0" w:color="auto"/>
            <w:bottom w:val="none" w:sz="0" w:space="0" w:color="auto"/>
            <w:right w:val="none" w:sz="0" w:space="0" w:color="auto"/>
          </w:divBdr>
          <w:divsChild>
            <w:div w:id="11305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8340">
      <w:bodyDiv w:val="1"/>
      <w:marLeft w:val="0"/>
      <w:marRight w:val="0"/>
      <w:marTop w:val="0"/>
      <w:marBottom w:val="0"/>
      <w:divBdr>
        <w:top w:val="none" w:sz="0" w:space="0" w:color="auto"/>
        <w:left w:val="none" w:sz="0" w:space="0" w:color="auto"/>
        <w:bottom w:val="none" w:sz="0" w:space="0" w:color="auto"/>
        <w:right w:val="none" w:sz="0" w:space="0" w:color="auto"/>
      </w:divBdr>
    </w:div>
    <w:div w:id="21470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9D8E-250D-4E7D-B121-E171CBAC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14323</Words>
  <Characters>8165</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Пропозиції</vt:lpstr>
      <vt:lpstr>Пропозиції</vt:lpstr>
    </vt:vector>
  </TitlesOfParts>
  <Company>Microsoft</Company>
  <LinksUpToDate>false</LinksUpToDate>
  <CharactersWithSpaces>22444</CharactersWithSpaces>
  <SharedDoc>false</SharedDoc>
  <HLinks>
    <vt:vector size="126" baseType="variant">
      <vt:variant>
        <vt:i4>1769505</vt:i4>
      </vt:variant>
      <vt:variant>
        <vt:i4>60</vt:i4>
      </vt:variant>
      <vt:variant>
        <vt:i4>0</vt:i4>
      </vt:variant>
      <vt:variant>
        <vt:i4>5</vt:i4>
      </vt:variant>
      <vt:variant>
        <vt:lpwstr>mailto:vobu-zap@vobu.com.ua</vt:lpwstr>
      </vt:variant>
      <vt:variant>
        <vt:lpwstr/>
      </vt:variant>
      <vt:variant>
        <vt:i4>1638514</vt:i4>
      </vt:variant>
      <vt:variant>
        <vt:i4>57</vt:i4>
      </vt:variant>
      <vt:variant>
        <vt:i4>0</vt:i4>
      </vt:variant>
      <vt:variant>
        <vt:i4>5</vt:i4>
      </vt:variant>
      <vt:variant>
        <vt:lpwstr>mailto:t.potopalska@direkcy.atom.gov.ua</vt:lpwstr>
      </vt:variant>
      <vt:variant>
        <vt:lpwstr/>
      </vt:variant>
      <vt:variant>
        <vt:i4>1638514</vt:i4>
      </vt:variant>
      <vt:variant>
        <vt:i4>54</vt:i4>
      </vt:variant>
      <vt:variant>
        <vt:i4>0</vt:i4>
      </vt:variant>
      <vt:variant>
        <vt:i4>5</vt:i4>
      </vt:variant>
      <vt:variant>
        <vt:lpwstr>mailto:t.potopalska@direkcy.atom.gov.ua</vt:lpwstr>
      </vt:variant>
      <vt:variant>
        <vt:lpwstr/>
      </vt:variant>
      <vt:variant>
        <vt:i4>1638514</vt:i4>
      </vt:variant>
      <vt:variant>
        <vt:i4>51</vt:i4>
      </vt:variant>
      <vt:variant>
        <vt:i4>0</vt:i4>
      </vt:variant>
      <vt:variant>
        <vt:i4>5</vt:i4>
      </vt:variant>
      <vt:variant>
        <vt:lpwstr>mailto:t.potopalska@direkcy.atom.gov.ua</vt:lpwstr>
      </vt:variant>
      <vt:variant>
        <vt:lpwstr/>
      </vt:variant>
      <vt:variant>
        <vt:i4>1638514</vt:i4>
      </vt:variant>
      <vt:variant>
        <vt:i4>48</vt:i4>
      </vt:variant>
      <vt:variant>
        <vt:i4>0</vt:i4>
      </vt:variant>
      <vt:variant>
        <vt:i4>5</vt:i4>
      </vt:variant>
      <vt:variant>
        <vt:lpwstr>mailto:t.potopalska@direkcy.atom.gov.ua</vt:lpwstr>
      </vt:variant>
      <vt:variant>
        <vt:lpwstr/>
      </vt:variant>
      <vt:variant>
        <vt:i4>1638514</vt:i4>
      </vt:variant>
      <vt:variant>
        <vt:i4>45</vt:i4>
      </vt:variant>
      <vt:variant>
        <vt:i4>0</vt:i4>
      </vt:variant>
      <vt:variant>
        <vt:i4>5</vt:i4>
      </vt:variant>
      <vt:variant>
        <vt:lpwstr>mailto:t.potopalska@direkcy.atom.gov.ua</vt:lpwstr>
      </vt:variant>
      <vt:variant>
        <vt:lpwstr/>
      </vt:variant>
      <vt:variant>
        <vt:i4>1638514</vt:i4>
      </vt:variant>
      <vt:variant>
        <vt:i4>42</vt:i4>
      </vt:variant>
      <vt:variant>
        <vt:i4>0</vt:i4>
      </vt:variant>
      <vt:variant>
        <vt:i4>5</vt:i4>
      </vt:variant>
      <vt:variant>
        <vt:lpwstr>mailto:t.potopalska@direkcy.atom.gov.ua</vt:lpwstr>
      </vt:variant>
      <vt:variant>
        <vt:lpwstr/>
      </vt:variant>
      <vt:variant>
        <vt:i4>1638514</vt:i4>
      </vt:variant>
      <vt:variant>
        <vt:i4>39</vt:i4>
      </vt:variant>
      <vt:variant>
        <vt:i4>0</vt:i4>
      </vt:variant>
      <vt:variant>
        <vt:i4>5</vt:i4>
      </vt:variant>
      <vt:variant>
        <vt:lpwstr>mailto:t.potopalska@direkcy.atom.gov.ua</vt:lpwstr>
      </vt:variant>
      <vt:variant>
        <vt:lpwstr/>
      </vt:variant>
      <vt:variant>
        <vt:i4>1638514</vt:i4>
      </vt:variant>
      <vt:variant>
        <vt:i4>36</vt:i4>
      </vt:variant>
      <vt:variant>
        <vt:i4>0</vt:i4>
      </vt:variant>
      <vt:variant>
        <vt:i4>5</vt:i4>
      </vt:variant>
      <vt:variant>
        <vt:lpwstr>mailto:t.potopalska@direkcy.atom.gov.ua</vt:lpwstr>
      </vt:variant>
      <vt:variant>
        <vt:lpwstr/>
      </vt:variant>
      <vt:variant>
        <vt:i4>6226044</vt:i4>
      </vt:variant>
      <vt:variant>
        <vt:i4>33</vt:i4>
      </vt:variant>
      <vt:variant>
        <vt:i4>0</vt:i4>
      </vt:variant>
      <vt:variant>
        <vt:i4>5</vt:i4>
      </vt:variant>
      <vt:variant>
        <vt:lpwstr>mailto:lesia.chuyko@lifecell.com.ua</vt:lpwstr>
      </vt:variant>
      <vt:variant>
        <vt:lpwstr/>
      </vt:variant>
      <vt:variant>
        <vt:i4>3145823</vt:i4>
      </vt:variant>
      <vt:variant>
        <vt:i4>30</vt:i4>
      </vt:variant>
      <vt:variant>
        <vt:i4>0</vt:i4>
      </vt:variant>
      <vt:variant>
        <vt:i4>5</vt:i4>
      </vt:variant>
      <vt:variant>
        <vt:lpwstr>mailto:VTischenko@gng.com.ua</vt:lpwstr>
      </vt:variant>
      <vt:variant>
        <vt:lpwstr/>
      </vt:variant>
      <vt:variant>
        <vt:i4>3145823</vt:i4>
      </vt:variant>
      <vt:variant>
        <vt:i4>27</vt:i4>
      </vt:variant>
      <vt:variant>
        <vt:i4>0</vt:i4>
      </vt:variant>
      <vt:variant>
        <vt:i4>5</vt:i4>
      </vt:variant>
      <vt:variant>
        <vt:lpwstr>mailto:VTischenko@gng.com.ua</vt:lpwstr>
      </vt:variant>
      <vt:variant>
        <vt:lpwstr/>
      </vt:variant>
      <vt:variant>
        <vt:i4>3145823</vt:i4>
      </vt:variant>
      <vt:variant>
        <vt:i4>24</vt:i4>
      </vt:variant>
      <vt:variant>
        <vt:i4>0</vt:i4>
      </vt:variant>
      <vt:variant>
        <vt:i4>5</vt:i4>
      </vt:variant>
      <vt:variant>
        <vt:lpwstr>mailto:VTischenko@gng.com.ua</vt:lpwstr>
      </vt:variant>
      <vt:variant>
        <vt:lpwstr/>
      </vt:variant>
      <vt:variant>
        <vt:i4>4063299</vt:i4>
      </vt:variant>
      <vt:variant>
        <vt:i4>21</vt:i4>
      </vt:variant>
      <vt:variant>
        <vt:i4>0</vt:i4>
      </vt:variant>
      <vt:variant>
        <vt:i4>5</vt:i4>
      </vt:variant>
      <vt:variant>
        <vt:lpwstr>mailto:marina1_o_n@ukr.net</vt:lpwstr>
      </vt:variant>
      <vt:variant>
        <vt:lpwstr/>
      </vt:variant>
      <vt:variant>
        <vt:i4>3145823</vt:i4>
      </vt:variant>
      <vt:variant>
        <vt:i4>18</vt:i4>
      </vt:variant>
      <vt:variant>
        <vt:i4>0</vt:i4>
      </vt:variant>
      <vt:variant>
        <vt:i4>5</vt:i4>
      </vt:variant>
      <vt:variant>
        <vt:lpwstr>mailto:VTischenko@gng.com.ua</vt:lpwstr>
      </vt:variant>
      <vt:variant>
        <vt:lpwstr/>
      </vt:variant>
      <vt:variant>
        <vt:i4>4063299</vt:i4>
      </vt:variant>
      <vt:variant>
        <vt:i4>15</vt:i4>
      </vt:variant>
      <vt:variant>
        <vt:i4>0</vt:i4>
      </vt:variant>
      <vt:variant>
        <vt:i4>5</vt:i4>
      </vt:variant>
      <vt:variant>
        <vt:lpwstr>mailto:marina1_o_n@ukr.net</vt:lpwstr>
      </vt:variant>
      <vt:variant>
        <vt:lpwstr/>
      </vt:variant>
      <vt:variant>
        <vt:i4>4653109</vt:i4>
      </vt:variant>
      <vt:variant>
        <vt:i4>12</vt:i4>
      </vt:variant>
      <vt:variant>
        <vt:i4>0</vt:i4>
      </vt:variant>
      <vt:variant>
        <vt:i4>5</vt:i4>
      </vt:variant>
      <vt:variant>
        <vt:lpwstr>mailto:accountant@gs.com.ua</vt:lpwstr>
      </vt:variant>
      <vt:variant>
        <vt:lpwstr/>
      </vt:variant>
      <vt:variant>
        <vt:i4>327787</vt:i4>
      </vt:variant>
      <vt:variant>
        <vt:i4>9</vt:i4>
      </vt:variant>
      <vt:variant>
        <vt:i4>0</vt:i4>
      </vt:variant>
      <vt:variant>
        <vt:i4>5</vt:i4>
      </vt:variant>
      <vt:variant>
        <vt:lpwstr>mailto:pidluzhnyj@audyt.lviv.ua</vt:lpwstr>
      </vt:variant>
      <vt:variant>
        <vt:lpwstr/>
      </vt:variant>
      <vt:variant>
        <vt:i4>7864396</vt:i4>
      </vt:variant>
      <vt:variant>
        <vt:i4>6</vt:i4>
      </vt:variant>
      <vt:variant>
        <vt:i4>0</vt:i4>
      </vt:variant>
      <vt:variant>
        <vt:i4>5</vt:i4>
      </vt:variant>
      <vt:variant>
        <vt:lpwstr>mailto:i.loy@mhp.com.ua</vt:lpwstr>
      </vt:variant>
      <vt:variant>
        <vt:lpwstr/>
      </vt:variant>
      <vt:variant>
        <vt:i4>6226044</vt:i4>
      </vt:variant>
      <vt:variant>
        <vt:i4>3</vt:i4>
      </vt:variant>
      <vt:variant>
        <vt:i4>0</vt:i4>
      </vt:variant>
      <vt:variant>
        <vt:i4>5</vt:i4>
      </vt:variant>
      <vt:variant>
        <vt:lpwstr>mailto:lesia.chuyko@lifecell.com.ua</vt:lpwstr>
      </vt:variant>
      <vt:variant>
        <vt:lpwstr/>
      </vt:variant>
      <vt:variant>
        <vt:i4>1638514</vt:i4>
      </vt:variant>
      <vt:variant>
        <vt:i4>0</vt:i4>
      </vt:variant>
      <vt:variant>
        <vt:i4>0</vt:i4>
      </vt:variant>
      <vt:variant>
        <vt:i4>5</vt:i4>
      </vt:variant>
      <vt:variant>
        <vt:lpwstr>mailto:t.potopalska@direkcy.atom.gov.ua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Пропозиції</dc:title>
  <dc:creator>d19-ivanitska</dc:creator>
  <cp:lastModifiedBy>ЗАЙЦЕВА ГАННА ЛЕОНІДІВНА</cp:lastModifiedBy>
  <cp:revision>49</cp:revision>
  <cp:lastPrinted>2023-06-07T07:48:00Z</cp:lastPrinted>
  <dcterms:created xsi:type="dcterms:W3CDTF">2019-12-06T08:51:00Z</dcterms:created>
  <dcterms:modified xsi:type="dcterms:W3CDTF">2025-08-22T13:05:00Z</dcterms:modified>
</cp:coreProperties>
</file>