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6FD" w:rsidRDefault="001056FD" w:rsidP="008C3123">
      <w:pPr>
        <w:ind w:hanging="6096"/>
        <w:rPr>
          <w:b/>
        </w:rPr>
      </w:pPr>
    </w:p>
    <w:p w:rsidR="002009E1" w:rsidRDefault="002009E1" w:rsidP="001056FD">
      <w:pPr>
        <w:jc w:val="center"/>
        <w:rPr>
          <w:b/>
          <w:sz w:val="28"/>
          <w:szCs w:val="28"/>
        </w:rPr>
      </w:pPr>
    </w:p>
    <w:p w:rsidR="001056FD" w:rsidRPr="00ED47CA" w:rsidRDefault="001056FD" w:rsidP="001056F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D47CA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:rsidR="001056FD" w:rsidRPr="00ED47CA" w:rsidRDefault="001056FD" w:rsidP="001056FD">
      <w:pPr>
        <w:jc w:val="center"/>
        <w:rPr>
          <w:b/>
          <w:sz w:val="28"/>
          <w:szCs w:val="28"/>
        </w:rPr>
      </w:pPr>
      <w:r w:rsidRPr="00ED47CA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:rsidR="001056FD" w:rsidRDefault="001056FD" w:rsidP="001056FD">
      <w:pPr>
        <w:contextualSpacing/>
        <w:jc w:val="center"/>
        <w:rPr>
          <w:lang w:val="ru-RU"/>
        </w:rPr>
      </w:pPr>
      <w:r w:rsidRPr="008C3123">
        <w:t>(відповідно до пункту 4</w:t>
      </w:r>
      <w:r w:rsidRPr="008C3123">
        <w:rPr>
          <w:vertAlign w:val="superscript"/>
        </w:rPr>
        <w:t xml:space="preserve">1 </w:t>
      </w:r>
      <w:r w:rsidRPr="008C3123">
        <w:t xml:space="preserve">постанови Кабінету Міністрів України від 11 жовтня </w:t>
      </w:r>
      <w:r w:rsidRPr="008C3123">
        <w:br/>
        <w:t>2016 року № 710 «Про ефективне використання державних коштів»</w:t>
      </w:r>
      <w:r w:rsidRPr="008C3123">
        <w:rPr>
          <w:lang w:val="ru-RU"/>
        </w:rPr>
        <w:t>)</w:t>
      </w:r>
    </w:p>
    <w:p w:rsidR="00DD1F1A" w:rsidRDefault="00DD1F1A" w:rsidP="00595EBD">
      <w:pPr>
        <w:contextualSpacing/>
        <w:rPr>
          <w:lang w:val="ru-RU"/>
        </w:rPr>
      </w:pPr>
    </w:p>
    <w:p w:rsidR="002009E1" w:rsidRDefault="002009E1" w:rsidP="00595EBD">
      <w:pPr>
        <w:contextualSpacing/>
        <w:rPr>
          <w:lang w:val="ru-RU"/>
        </w:rPr>
      </w:pPr>
    </w:p>
    <w:p w:rsidR="002009E1" w:rsidRPr="008C3123" w:rsidRDefault="002009E1" w:rsidP="00595EBD">
      <w:pPr>
        <w:contextualSpacing/>
        <w:rPr>
          <w:lang w:val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216"/>
        <w:gridCol w:w="7938"/>
      </w:tblGrid>
      <w:tr w:rsidR="001056FD" w:rsidRPr="003E47B0" w:rsidTr="00527A36">
        <w:trPr>
          <w:trHeight w:hRule="exact" w:val="1056"/>
        </w:trPr>
        <w:tc>
          <w:tcPr>
            <w:tcW w:w="336" w:type="dxa"/>
            <w:shd w:val="clear" w:color="auto" w:fill="auto"/>
          </w:tcPr>
          <w:p w:rsidR="001056FD" w:rsidRPr="003E47B0" w:rsidRDefault="001056FD" w:rsidP="00595EBD">
            <w:r w:rsidRPr="003E47B0">
              <w:t>1</w:t>
            </w:r>
          </w:p>
        </w:tc>
        <w:tc>
          <w:tcPr>
            <w:tcW w:w="2216" w:type="dxa"/>
            <w:shd w:val="clear" w:color="auto" w:fill="auto"/>
          </w:tcPr>
          <w:p w:rsidR="001056FD" w:rsidRPr="00A37CFC" w:rsidRDefault="001056FD" w:rsidP="00595EBD">
            <w:pPr>
              <w:rPr>
                <w:b/>
                <w:sz w:val="28"/>
                <w:szCs w:val="28"/>
              </w:rPr>
            </w:pPr>
            <w:r w:rsidRPr="00A37CFC">
              <w:rPr>
                <w:b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7938" w:type="dxa"/>
            <w:shd w:val="clear" w:color="auto" w:fill="auto"/>
          </w:tcPr>
          <w:p w:rsidR="001056FD" w:rsidRPr="00DC2E68" w:rsidRDefault="00595EBD" w:rsidP="00595EBD">
            <w:pPr>
              <w:ind w:firstLine="202"/>
              <w:jc w:val="both"/>
              <w:rPr>
                <w:color w:val="000000" w:themeColor="text1"/>
                <w:sz w:val="28"/>
                <w:szCs w:val="28"/>
              </w:rPr>
            </w:pPr>
            <w:r w:rsidRPr="00595EBD">
              <w:rPr>
                <w:color w:val="000000" w:themeColor="text1"/>
                <w:sz w:val="28"/>
                <w:szCs w:val="28"/>
              </w:rPr>
              <w:t>Марки – за кодом ДК 021:2015 – 22410000-7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95EBD">
              <w:rPr>
                <w:color w:val="000000" w:themeColor="text1"/>
                <w:sz w:val="28"/>
                <w:szCs w:val="28"/>
              </w:rPr>
              <w:t>(Знаки поштової оплати (поштова марка U))</w:t>
            </w:r>
            <w:r w:rsidR="00DC2E68">
              <w:rPr>
                <w:color w:val="000000" w:themeColor="text1"/>
                <w:sz w:val="28"/>
                <w:szCs w:val="28"/>
              </w:rPr>
              <w:t xml:space="preserve"> (ідентифікатор закупівлі:</w:t>
            </w:r>
            <w:r w:rsidR="00751C9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51C90">
              <w:rPr>
                <w:color w:val="000000" w:themeColor="text1"/>
                <w:sz w:val="28"/>
                <w:szCs w:val="28"/>
                <w:lang w:val="en-US"/>
              </w:rPr>
              <w:br/>
            </w:r>
            <w:r w:rsidR="00DC2E68">
              <w:rPr>
                <w:color w:val="000000" w:themeColor="text1"/>
                <w:sz w:val="28"/>
                <w:szCs w:val="28"/>
                <w:lang w:val="en-US"/>
              </w:rPr>
              <w:t>UA</w:t>
            </w:r>
            <w:r w:rsidR="00527A36">
              <w:rPr>
                <w:color w:val="000000" w:themeColor="text1"/>
                <w:sz w:val="28"/>
                <w:szCs w:val="28"/>
              </w:rPr>
              <w:t>-2026-06-29-010637-a</w:t>
            </w:r>
            <w:r w:rsidR="00DC2E6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CA78BA" w:rsidRPr="00D7659A" w:rsidTr="00527A36">
        <w:tc>
          <w:tcPr>
            <w:tcW w:w="336" w:type="dxa"/>
            <w:shd w:val="clear" w:color="auto" w:fill="auto"/>
          </w:tcPr>
          <w:p w:rsidR="00CA78BA" w:rsidRPr="00D7659A" w:rsidRDefault="00CA78BA" w:rsidP="00CA78BA">
            <w:r w:rsidRPr="00D7659A">
              <w:t>2</w:t>
            </w:r>
          </w:p>
        </w:tc>
        <w:tc>
          <w:tcPr>
            <w:tcW w:w="2216" w:type="dxa"/>
            <w:shd w:val="clear" w:color="auto" w:fill="auto"/>
          </w:tcPr>
          <w:p w:rsidR="00CA78BA" w:rsidRPr="00D7659A" w:rsidRDefault="00CA78BA" w:rsidP="00CA78BA">
            <w:pPr>
              <w:rPr>
                <w:b/>
                <w:sz w:val="28"/>
                <w:szCs w:val="28"/>
              </w:rPr>
            </w:pPr>
            <w:r w:rsidRPr="00D7659A">
              <w:rPr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38" w:type="dxa"/>
            <w:shd w:val="clear" w:color="auto" w:fill="auto"/>
          </w:tcPr>
          <w:p w:rsidR="00AA4C92" w:rsidRPr="00EC1F36" w:rsidRDefault="00AA4C92" w:rsidP="00527A36">
            <w:pPr>
              <w:ind w:firstLine="202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Р</w:t>
            </w:r>
            <w:r w:rsidRPr="00EC1F36">
              <w:rPr>
                <w:color w:val="000000" w:themeColor="text1"/>
                <w:sz w:val="28"/>
                <w:szCs w:val="28"/>
              </w:rPr>
              <w:t>озпорядження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 w:rsidRPr="00EC1F36">
              <w:rPr>
                <w:color w:val="000000" w:themeColor="text1"/>
                <w:sz w:val="28"/>
                <w:szCs w:val="28"/>
              </w:rPr>
              <w:t xml:space="preserve"> Кабінету Міністрів України від 10</w:t>
            </w:r>
            <w:r w:rsidR="00F34DA8">
              <w:rPr>
                <w:color w:val="000000" w:themeColor="text1"/>
                <w:sz w:val="28"/>
                <w:szCs w:val="28"/>
              </w:rPr>
              <w:t xml:space="preserve"> січня </w:t>
            </w:r>
            <w:r w:rsidRPr="00EC1F36">
              <w:rPr>
                <w:color w:val="000000" w:themeColor="text1"/>
                <w:sz w:val="28"/>
                <w:szCs w:val="28"/>
              </w:rPr>
              <w:t>2002</w:t>
            </w:r>
            <w:r w:rsidR="00527A36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F34DA8">
              <w:rPr>
                <w:color w:val="000000" w:themeColor="text1"/>
                <w:sz w:val="28"/>
                <w:szCs w:val="28"/>
              </w:rPr>
              <w:t>року</w:t>
            </w:r>
            <w:r w:rsidRPr="00EC1F36">
              <w:rPr>
                <w:color w:val="000000" w:themeColor="text1"/>
                <w:sz w:val="28"/>
                <w:szCs w:val="28"/>
              </w:rPr>
              <w:t xml:space="preserve"> № 10-р «Про національного оператора поштового зв’язку» (зі змінами) виконання функцій національного оператора поштового зв’язку покладено на</w:t>
            </w:r>
            <w:r w:rsidR="00DC2E68">
              <w:rPr>
                <w:color w:val="000000" w:themeColor="text1"/>
                <w:sz w:val="28"/>
                <w:szCs w:val="28"/>
              </w:rPr>
              <w:t> </w:t>
            </w:r>
            <w:r w:rsidRPr="00EC1F36">
              <w:rPr>
                <w:color w:val="000000" w:themeColor="text1"/>
                <w:sz w:val="28"/>
                <w:szCs w:val="28"/>
              </w:rPr>
              <w:t>АТ</w:t>
            </w:r>
            <w:r w:rsidR="00DC2E68">
              <w:rPr>
                <w:color w:val="000000" w:themeColor="text1"/>
                <w:sz w:val="28"/>
                <w:szCs w:val="28"/>
              </w:rPr>
              <w:t> </w:t>
            </w:r>
            <w:r w:rsidRPr="00EC1F36">
              <w:rPr>
                <w:color w:val="000000" w:themeColor="text1"/>
                <w:sz w:val="28"/>
                <w:szCs w:val="28"/>
              </w:rPr>
              <w:t>«Укрпошта».</w:t>
            </w:r>
          </w:p>
          <w:p w:rsidR="00CA78BA" w:rsidRPr="00EC1F36" w:rsidRDefault="00CA78BA" w:rsidP="00527A36">
            <w:pPr>
              <w:tabs>
                <w:tab w:val="left" w:pos="551"/>
              </w:tabs>
              <w:ind w:firstLine="202"/>
              <w:jc w:val="both"/>
              <w:rPr>
                <w:color w:val="000000" w:themeColor="text1"/>
                <w:sz w:val="28"/>
                <w:szCs w:val="28"/>
              </w:rPr>
            </w:pPr>
            <w:r w:rsidRPr="00EC1F36">
              <w:rPr>
                <w:color w:val="000000" w:themeColor="text1"/>
                <w:sz w:val="28"/>
                <w:szCs w:val="28"/>
              </w:rPr>
              <w:t>Відповідно до частини першої статті 15 Закону України «Про</w:t>
            </w:r>
            <w:r w:rsidR="00DC2E68">
              <w:rPr>
                <w:color w:val="000000" w:themeColor="text1"/>
                <w:sz w:val="28"/>
                <w:szCs w:val="28"/>
              </w:rPr>
              <w:t> </w:t>
            </w:r>
            <w:r w:rsidRPr="00EC1F36">
              <w:rPr>
                <w:color w:val="000000" w:themeColor="text1"/>
                <w:sz w:val="28"/>
                <w:szCs w:val="28"/>
              </w:rPr>
              <w:t>поштовий зв’язок» національний оператор забезпечує надання на всій території України універсальних послуг поштового зв’язку за переліком, який затвердж</w:t>
            </w:r>
            <w:r w:rsidR="00FE528D">
              <w:rPr>
                <w:color w:val="000000" w:themeColor="text1"/>
                <w:sz w:val="28"/>
                <w:szCs w:val="28"/>
              </w:rPr>
              <w:t>ений постановою</w:t>
            </w:r>
            <w:r w:rsidRPr="00EC1F36">
              <w:rPr>
                <w:color w:val="000000" w:themeColor="text1"/>
                <w:sz w:val="28"/>
                <w:szCs w:val="28"/>
              </w:rPr>
              <w:t xml:space="preserve"> Кабінет</w:t>
            </w:r>
            <w:r w:rsidR="00FE528D">
              <w:rPr>
                <w:color w:val="000000" w:themeColor="text1"/>
                <w:sz w:val="28"/>
                <w:szCs w:val="28"/>
              </w:rPr>
              <w:t>у</w:t>
            </w:r>
            <w:r w:rsidRPr="00EC1F36">
              <w:rPr>
                <w:color w:val="000000" w:themeColor="text1"/>
                <w:sz w:val="28"/>
                <w:szCs w:val="28"/>
              </w:rPr>
              <w:t xml:space="preserve"> Міністрів України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C1F36">
              <w:rPr>
                <w:color w:val="000000" w:themeColor="text1"/>
                <w:sz w:val="28"/>
                <w:szCs w:val="28"/>
              </w:rPr>
              <w:t>від 05</w:t>
            </w:r>
            <w:r w:rsidR="00F34DA8">
              <w:rPr>
                <w:color w:val="000000" w:themeColor="text1"/>
                <w:sz w:val="28"/>
                <w:szCs w:val="28"/>
              </w:rPr>
              <w:t xml:space="preserve"> березня</w:t>
            </w:r>
            <w:r w:rsidR="00527A3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C1F36">
              <w:rPr>
                <w:color w:val="000000" w:themeColor="text1"/>
                <w:sz w:val="28"/>
                <w:szCs w:val="28"/>
              </w:rPr>
              <w:t>2009</w:t>
            </w:r>
            <w:r w:rsidR="00F34DA8">
              <w:rPr>
                <w:color w:val="000000" w:themeColor="text1"/>
                <w:sz w:val="28"/>
                <w:szCs w:val="28"/>
              </w:rPr>
              <w:t xml:space="preserve"> року</w:t>
            </w:r>
            <w:r w:rsidRPr="00EC1F36">
              <w:rPr>
                <w:color w:val="000000" w:themeColor="text1"/>
                <w:sz w:val="28"/>
                <w:szCs w:val="28"/>
              </w:rPr>
              <w:t xml:space="preserve"> №</w:t>
            </w:r>
            <w:r w:rsidR="00527A36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EC1F36">
              <w:rPr>
                <w:color w:val="000000" w:themeColor="text1"/>
                <w:sz w:val="28"/>
                <w:szCs w:val="28"/>
              </w:rPr>
              <w:t>270</w:t>
            </w:r>
            <w:r w:rsidR="00527A36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FE528D">
              <w:rPr>
                <w:color w:val="000000" w:themeColor="text1"/>
                <w:sz w:val="28"/>
                <w:szCs w:val="28"/>
              </w:rPr>
              <w:t>«Про</w:t>
            </w:r>
            <w:r w:rsidR="00DC2E68">
              <w:rPr>
                <w:color w:val="000000" w:themeColor="text1"/>
                <w:sz w:val="28"/>
                <w:szCs w:val="28"/>
              </w:rPr>
              <w:t> </w:t>
            </w:r>
            <w:r w:rsidR="00FE528D">
              <w:rPr>
                <w:color w:val="000000" w:themeColor="text1"/>
                <w:sz w:val="28"/>
                <w:szCs w:val="28"/>
              </w:rPr>
              <w:t>затвердження Правил надання послуг поштового зв</w:t>
            </w:r>
            <w:r w:rsidR="00FE528D">
              <w:rPr>
                <w:color w:val="000000" w:themeColor="text1"/>
                <w:sz w:val="28"/>
                <w:szCs w:val="28"/>
                <w:lang w:val="en-US"/>
              </w:rPr>
              <w:t>’</w:t>
            </w:r>
            <w:r w:rsidR="00FE528D">
              <w:rPr>
                <w:color w:val="000000" w:themeColor="text1"/>
                <w:sz w:val="28"/>
                <w:szCs w:val="28"/>
              </w:rPr>
              <w:t xml:space="preserve">язку» </w:t>
            </w:r>
            <w:r w:rsidRPr="00EC1F36">
              <w:rPr>
                <w:color w:val="000000" w:themeColor="text1"/>
                <w:sz w:val="28"/>
                <w:szCs w:val="28"/>
              </w:rPr>
              <w:t>(зі змінами)</w:t>
            </w:r>
            <w:r w:rsidR="00F34DA8">
              <w:rPr>
                <w:color w:val="000000" w:themeColor="text1"/>
                <w:sz w:val="28"/>
                <w:szCs w:val="28"/>
              </w:rPr>
              <w:t xml:space="preserve"> </w:t>
            </w:r>
            <w:r w:rsidR="00FE528D">
              <w:rPr>
                <w:color w:val="000000" w:themeColor="text1"/>
                <w:sz w:val="28"/>
                <w:szCs w:val="28"/>
              </w:rPr>
              <w:t>(далі – Правила)</w:t>
            </w:r>
            <w:r w:rsidRPr="00EC1F36">
              <w:rPr>
                <w:color w:val="000000" w:themeColor="text1"/>
                <w:sz w:val="28"/>
                <w:szCs w:val="28"/>
              </w:rPr>
              <w:t>.</w:t>
            </w:r>
          </w:p>
          <w:p w:rsidR="00CA78BA" w:rsidRPr="00EC1F36" w:rsidRDefault="00FE528D" w:rsidP="00527A36">
            <w:pPr>
              <w:ind w:firstLine="20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CA78BA" w:rsidRPr="00EC1F36">
              <w:rPr>
                <w:color w:val="000000" w:themeColor="text1"/>
                <w:sz w:val="28"/>
                <w:szCs w:val="28"/>
              </w:rPr>
              <w:t xml:space="preserve">унктом </w:t>
            </w:r>
            <w:r w:rsidR="00CA78BA">
              <w:rPr>
                <w:color w:val="000000" w:themeColor="text1"/>
                <w:sz w:val="28"/>
                <w:szCs w:val="28"/>
              </w:rPr>
              <w:t>8</w:t>
            </w:r>
            <w:r w:rsidR="00CA78BA" w:rsidRPr="00EC1F36">
              <w:rPr>
                <w:color w:val="000000" w:themeColor="text1"/>
                <w:sz w:val="28"/>
                <w:szCs w:val="28"/>
              </w:rPr>
              <w:t xml:space="preserve"> Правил до універсальних послуг поштового зв</w:t>
            </w:r>
            <w:r w:rsidR="00DC2E68">
              <w:rPr>
                <w:color w:val="000000" w:themeColor="text1"/>
                <w:sz w:val="28"/>
                <w:szCs w:val="28"/>
              </w:rPr>
              <w:t>’</w:t>
            </w:r>
            <w:r w:rsidR="00CA78BA" w:rsidRPr="00EC1F36">
              <w:rPr>
                <w:color w:val="000000" w:themeColor="text1"/>
                <w:sz w:val="28"/>
                <w:szCs w:val="28"/>
              </w:rPr>
              <w:t xml:space="preserve">язку належать послуги з пересилання </w:t>
            </w:r>
            <w:r>
              <w:rPr>
                <w:color w:val="000000" w:themeColor="text1"/>
                <w:sz w:val="28"/>
                <w:szCs w:val="28"/>
              </w:rPr>
              <w:t>внутрішніх та міжнародних поштових відправлень</w:t>
            </w:r>
            <w:r w:rsidR="00CA78BA" w:rsidRPr="00EC1F36">
              <w:rPr>
                <w:color w:val="000000" w:themeColor="text1"/>
                <w:sz w:val="28"/>
                <w:szCs w:val="28"/>
              </w:rPr>
              <w:t xml:space="preserve"> тощо.</w:t>
            </w:r>
          </w:p>
          <w:p w:rsidR="00401FBE" w:rsidRDefault="00401FBE" w:rsidP="00527A36">
            <w:pPr>
              <w:shd w:val="clear" w:color="auto" w:fill="FFFFFF"/>
              <w:ind w:firstLine="202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256F">
              <w:rPr>
                <w:color w:val="000000" w:themeColor="text1"/>
                <w:sz w:val="28"/>
                <w:szCs w:val="28"/>
              </w:rPr>
              <w:t xml:space="preserve">Відповідно до </w:t>
            </w:r>
            <w:r>
              <w:rPr>
                <w:color w:val="000000" w:themeColor="text1"/>
                <w:sz w:val="28"/>
                <w:szCs w:val="28"/>
              </w:rPr>
              <w:t xml:space="preserve">листа </w:t>
            </w:r>
            <w:r w:rsidRPr="000A08AF">
              <w:rPr>
                <w:color w:val="000000" w:themeColor="text1"/>
                <w:sz w:val="28"/>
                <w:szCs w:val="28"/>
              </w:rPr>
              <w:t>АТ «Укрпошта» від 20.11.2024 №</w:t>
            </w:r>
            <w:r w:rsidR="00A10541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0A08AF">
              <w:rPr>
                <w:color w:val="000000" w:themeColor="text1"/>
                <w:sz w:val="28"/>
                <w:szCs w:val="28"/>
              </w:rPr>
              <w:t>1.01.001.127.001-32954-24 (</w:t>
            </w:r>
            <w:proofErr w:type="spellStart"/>
            <w:r w:rsidRPr="000A08AF">
              <w:rPr>
                <w:color w:val="000000" w:themeColor="text1"/>
                <w:sz w:val="28"/>
                <w:szCs w:val="28"/>
              </w:rPr>
              <w:t>вх</w:t>
            </w:r>
            <w:proofErr w:type="spellEnd"/>
            <w:r w:rsidRPr="000A08AF">
              <w:rPr>
                <w:color w:val="000000" w:themeColor="text1"/>
                <w:sz w:val="28"/>
                <w:szCs w:val="28"/>
              </w:rPr>
              <w:t>. ДПС</w:t>
            </w:r>
            <w:r w:rsidR="00F34DA8" w:rsidRPr="000A08AF">
              <w:rPr>
                <w:color w:val="000000" w:themeColor="text1"/>
                <w:sz w:val="28"/>
                <w:szCs w:val="28"/>
              </w:rPr>
              <w:t xml:space="preserve"> №</w:t>
            </w:r>
            <w:r w:rsidRPr="000A08AF">
              <w:rPr>
                <w:color w:val="000000" w:themeColor="text1"/>
                <w:sz w:val="28"/>
                <w:szCs w:val="28"/>
              </w:rPr>
              <w:t xml:space="preserve"> 44880/6 від</w:t>
            </w:r>
            <w:r w:rsidR="00DC2E68">
              <w:rPr>
                <w:color w:val="000000" w:themeColor="text1"/>
                <w:sz w:val="28"/>
                <w:szCs w:val="28"/>
              </w:rPr>
              <w:t> </w:t>
            </w:r>
            <w:r w:rsidRPr="000A08AF">
              <w:rPr>
                <w:color w:val="000000" w:themeColor="text1"/>
                <w:sz w:val="28"/>
                <w:szCs w:val="28"/>
              </w:rPr>
              <w:t>20.11.2024</w:t>
            </w:r>
            <w:r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21256F">
              <w:rPr>
                <w:color w:val="000000" w:themeColor="text1"/>
                <w:sz w:val="28"/>
                <w:szCs w:val="28"/>
              </w:rPr>
              <w:t xml:space="preserve"> визначено, що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21256F">
              <w:rPr>
                <w:color w:val="000000" w:themeColor="text1"/>
                <w:sz w:val="28"/>
                <w:szCs w:val="28"/>
              </w:rPr>
              <w:t>ідтвердженням оплати послуг поштового зв’язку з пересилання письмової кореспонденції є:</w:t>
            </w:r>
          </w:p>
          <w:p w:rsidR="00401FBE" w:rsidRPr="00DC2E68" w:rsidRDefault="00401FBE" w:rsidP="00DD1F1A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firstLine="202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DC2E68">
              <w:rPr>
                <w:color w:val="000000" w:themeColor="text1"/>
                <w:sz w:val="28"/>
                <w:szCs w:val="28"/>
                <w:lang w:val="ru-RU"/>
              </w:rPr>
              <w:t>оплата е</w:t>
            </w:r>
            <w:r w:rsidRPr="00DC2E68">
              <w:rPr>
                <w:color w:val="000000" w:themeColor="text1"/>
                <w:sz w:val="28"/>
                <w:szCs w:val="28"/>
              </w:rPr>
              <w:t>лектронною маркою (внутрішні та міжнародні реєстровані листи);</w:t>
            </w:r>
          </w:p>
          <w:p w:rsidR="00401FBE" w:rsidRPr="00DC2E68" w:rsidRDefault="00401FBE" w:rsidP="00DD1F1A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firstLine="202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DC2E68">
              <w:rPr>
                <w:color w:val="000000" w:themeColor="text1"/>
                <w:sz w:val="28"/>
                <w:szCs w:val="28"/>
                <w:lang w:val="ru-RU"/>
              </w:rPr>
              <w:t xml:space="preserve">оплата шляхом нанесення </w:t>
            </w:r>
            <w:r w:rsidRPr="00DC2E68">
              <w:rPr>
                <w:color w:val="000000" w:themeColor="text1"/>
                <w:sz w:val="28"/>
                <w:szCs w:val="28"/>
              </w:rPr>
              <w:t>відбитку про оплату (внутрішні прості та реєстровані листи);</w:t>
            </w:r>
          </w:p>
          <w:p w:rsidR="00401FBE" w:rsidRPr="00DC2E68" w:rsidRDefault="00401FBE" w:rsidP="00DD1F1A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firstLine="202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DC2E68">
              <w:rPr>
                <w:color w:val="000000" w:themeColor="text1"/>
                <w:sz w:val="28"/>
                <w:szCs w:val="28"/>
              </w:rPr>
              <w:t>оплата поштовими марками (внутрішні та міжнародні прості та реєстровані листи).</w:t>
            </w:r>
          </w:p>
          <w:p w:rsidR="00CA78BA" w:rsidRPr="00C149E8" w:rsidRDefault="00CA78BA" w:rsidP="00527A36">
            <w:pPr>
              <w:ind w:firstLine="202"/>
              <w:jc w:val="both"/>
              <w:rPr>
                <w:sz w:val="28"/>
                <w:szCs w:val="28"/>
              </w:rPr>
            </w:pPr>
            <w:r w:rsidRPr="00C149E8">
              <w:rPr>
                <w:sz w:val="28"/>
                <w:szCs w:val="28"/>
              </w:rPr>
              <w:t xml:space="preserve">Пунктом 65 </w:t>
            </w:r>
            <w:r w:rsidRPr="0021256F">
              <w:rPr>
                <w:color w:val="000000" w:themeColor="text1"/>
                <w:sz w:val="28"/>
                <w:szCs w:val="28"/>
              </w:rPr>
              <w:t xml:space="preserve">постанови Кабінету Міністрів України </w:t>
            </w:r>
            <w:r w:rsidRPr="0021256F">
              <w:rPr>
                <w:color w:val="000000" w:themeColor="text1"/>
                <w:sz w:val="28"/>
                <w:szCs w:val="28"/>
              </w:rPr>
              <w:br/>
              <w:t>від 10 жовтня 2023 року № 1071 «Про внесення змін</w:t>
            </w:r>
            <w:r w:rsidR="00DC2E68">
              <w:rPr>
                <w:color w:val="000000" w:themeColor="text1"/>
                <w:sz w:val="28"/>
                <w:szCs w:val="28"/>
              </w:rPr>
              <w:t> </w:t>
            </w:r>
            <w:r w:rsidRPr="0021256F">
              <w:rPr>
                <w:color w:val="000000" w:themeColor="text1"/>
                <w:sz w:val="28"/>
                <w:szCs w:val="28"/>
              </w:rPr>
              <w:t>до</w:t>
            </w:r>
            <w:r w:rsidR="00DC2E68">
              <w:rPr>
                <w:color w:val="000000" w:themeColor="text1"/>
                <w:sz w:val="28"/>
                <w:szCs w:val="28"/>
              </w:rPr>
              <w:t> </w:t>
            </w:r>
            <w:r w:rsidRPr="0021256F">
              <w:rPr>
                <w:color w:val="000000" w:themeColor="text1"/>
                <w:sz w:val="28"/>
                <w:szCs w:val="28"/>
              </w:rPr>
              <w:t>Правил</w:t>
            </w:r>
            <w:r w:rsidR="00DC2E68">
              <w:rPr>
                <w:color w:val="000000" w:themeColor="text1"/>
                <w:sz w:val="28"/>
                <w:szCs w:val="28"/>
              </w:rPr>
              <w:t> </w:t>
            </w:r>
            <w:r w:rsidRPr="0021256F">
              <w:rPr>
                <w:color w:val="000000" w:themeColor="text1"/>
                <w:sz w:val="28"/>
                <w:szCs w:val="28"/>
              </w:rPr>
              <w:t>надання послуг поштового зв’язку»</w:t>
            </w:r>
            <w:r w:rsidRPr="00C149E8">
              <w:rPr>
                <w:color w:val="000000" w:themeColor="text1"/>
                <w:sz w:val="28"/>
                <w:szCs w:val="28"/>
              </w:rPr>
              <w:t xml:space="preserve"> визначено, що поштов</w:t>
            </w:r>
            <w:r>
              <w:rPr>
                <w:color w:val="000000" w:themeColor="text1"/>
                <w:sz w:val="28"/>
                <w:szCs w:val="28"/>
              </w:rPr>
              <w:t>і</w:t>
            </w:r>
            <w:r w:rsidRPr="00C149E8">
              <w:rPr>
                <w:color w:val="000000" w:themeColor="text1"/>
                <w:sz w:val="28"/>
                <w:szCs w:val="28"/>
              </w:rPr>
              <w:t xml:space="preserve"> марки, електронні марки та міжнародні ку</w:t>
            </w:r>
            <w:r>
              <w:rPr>
                <w:color w:val="000000" w:themeColor="text1"/>
                <w:sz w:val="28"/>
                <w:szCs w:val="28"/>
              </w:rPr>
              <w:t>пони для</w:t>
            </w:r>
            <w:r w:rsidR="00DC2E68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відповіді використовуються як засіб оплати лише у разі надання послуг з пересилання письмової кореспонденції призначеним оператором поштового зв</w:t>
            </w:r>
            <w:r w:rsidRPr="00C149E8">
              <w:rPr>
                <w:color w:val="000000" w:themeColor="text1"/>
                <w:sz w:val="28"/>
                <w:szCs w:val="28"/>
              </w:rPr>
              <w:t>’</w:t>
            </w:r>
            <w:r>
              <w:rPr>
                <w:color w:val="000000" w:themeColor="text1"/>
                <w:sz w:val="28"/>
                <w:szCs w:val="28"/>
              </w:rPr>
              <w:t>язку.</w:t>
            </w:r>
          </w:p>
        </w:tc>
      </w:tr>
      <w:tr w:rsidR="00CA78BA" w:rsidRPr="00D7659A" w:rsidTr="00527A36">
        <w:trPr>
          <w:trHeight w:val="1182"/>
        </w:trPr>
        <w:tc>
          <w:tcPr>
            <w:tcW w:w="336" w:type="dxa"/>
            <w:shd w:val="clear" w:color="auto" w:fill="auto"/>
          </w:tcPr>
          <w:p w:rsidR="00CA78BA" w:rsidRPr="00D7659A" w:rsidRDefault="00CA78BA" w:rsidP="00CA78BA">
            <w:r w:rsidRPr="00D7659A">
              <w:lastRenderedPageBreak/>
              <w:t>3</w:t>
            </w:r>
          </w:p>
        </w:tc>
        <w:tc>
          <w:tcPr>
            <w:tcW w:w="2216" w:type="dxa"/>
            <w:shd w:val="clear" w:color="auto" w:fill="auto"/>
          </w:tcPr>
          <w:p w:rsidR="00CA78BA" w:rsidRPr="00D7659A" w:rsidRDefault="00CA78BA" w:rsidP="00CA78BA">
            <w:pPr>
              <w:rPr>
                <w:b/>
                <w:sz w:val="28"/>
                <w:szCs w:val="28"/>
              </w:rPr>
            </w:pPr>
            <w:r w:rsidRPr="00D7659A">
              <w:rPr>
                <w:b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938" w:type="dxa"/>
            <w:shd w:val="clear" w:color="auto" w:fill="auto"/>
          </w:tcPr>
          <w:p w:rsidR="0004066B" w:rsidRDefault="00DC2E68" w:rsidP="00527A36">
            <w:pPr>
              <w:ind w:firstLine="202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401FBE">
              <w:rPr>
                <w:bCs/>
                <w:sz w:val="28"/>
                <w:szCs w:val="28"/>
              </w:rPr>
              <w:t xml:space="preserve">Очікувана вартість </w:t>
            </w:r>
            <w:r w:rsidR="00770F42">
              <w:rPr>
                <w:color w:val="000000" w:themeColor="text1"/>
                <w:sz w:val="28"/>
                <w:szCs w:val="28"/>
              </w:rPr>
              <w:t xml:space="preserve">знаків </w:t>
            </w:r>
            <w:r w:rsidR="00AA699A" w:rsidRPr="00401FBE">
              <w:rPr>
                <w:color w:val="000000" w:themeColor="text1"/>
                <w:sz w:val="28"/>
                <w:szCs w:val="28"/>
              </w:rPr>
              <w:t>поштов</w:t>
            </w:r>
            <w:r w:rsidR="00770F42">
              <w:rPr>
                <w:color w:val="000000" w:themeColor="text1"/>
                <w:sz w:val="28"/>
                <w:szCs w:val="28"/>
              </w:rPr>
              <w:t>ої</w:t>
            </w:r>
            <w:r w:rsidR="00AA699A" w:rsidRPr="00401FBE">
              <w:rPr>
                <w:color w:val="000000" w:themeColor="text1"/>
                <w:sz w:val="28"/>
                <w:szCs w:val="28"/>
              </w:rPr>
              <w:t xml:space="preserve"> </w:t>
            </w:r>
            <w:r w:rsidR="00770F42">
              <w:rPr>
                <w:color w:val="000000" w:themeColor="text1"/>
                <w:sz w:val="28"/>
                <w:szCs w:val="28"/>
              </w:rPr>
              <w:t>оплати</w:t>
            </w:r>
            <w:r w:rsidR="00AA699A" w:rsidRPr="00401FBE">
              <w:rPr>
                <w:color w:val="000000" w:themeColor="text1"/>
                <w:sz w:val="28"/>
                <w:szCs w:val="28"/>
              </w:rPr>
              <w:t xml:space="preserve"> </w:t>
            </w:r>
            <w:r w:rsidR="00F95198" w:rsidRPr="00401FBE">
              <w:rPr>
                <w:color w:val="000000" w:themeColor="text1"/>
                <w:sz w:val="28"/>
                <w:szCs w:val="28"/>
              </w:rPr>
              <w:t>станови</w:t>
            </w:r>
            <w:r w:rsidR="00770F42">
              <w:rPr>
                <w:color w:val="000000" w:themeColor="text1"/>
                <w:sz w:val="28"/>
                <w:szCs w:val="28"/>
              </w:rPr>
              <w:t>ть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59633F">
              <w:rPr>
                <w:color w:val="000000" w:themeColor="text1"/>
                <w:sz w:val="28"/>
                <w:szCs w:val="28"/>
              </w:rPr>
              <w:t>187</w:t>
            </w:r>
            <w:r w:rsidR="00770F42">
              <w:rPr>
                <w:color w:val="000000" w:themeColor="text1"/>
                <w:sz w:val="28"/>
                <w:szCs w:val="28"/>
              </w:rPr>
              <w:t> </w:t>
            </w:r>
            <w:r w:rsidR="0059633F">
              <w:rPr>
                <w:color w:val="000000" w:themeColor="text1"/>
                <w:sz w:val="28"/>
                <w:szCs w:val="28"/>
              </w:rPr>
              <w:t>2</w:t>
            </w:r>
            <w:r w:rsidR="00CE5A4A"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 w:rsidR="00770F42">
              <w:rPr>
                <w:color w:val="000000" w:themeColor="text1"/>
                <w:sz w:val="28"/>
                <w:szCs w:val="28"/>
              </w:rPr>
              <w:t>0,00 грн</w:t>
            </w:r>
            <w:r w:rsidR="00F95198" w:rsidRPr="00401FBE">
              <w:rPr>
                <w:color w:val="000000" w:themeColor="text1"/>
                <w:sz w:val="28"/>
                <w:szCs w:val="28"/>
              </w:rPr>
              <w:t xml:space="preserve"> </w:t>
            </w:r>
            <w:r w:rsidR="00D21B93">
              <w:rPr>
                <w:color w:val="000000" w:themeColor="text1"/>
                <w:sz w:val="28"/>
                <w:szCs w:val="28"/>
              </w:rPr>
              <w:t xml:space="preserve">та </w:t>
            </w:r>
            <w:r w:rsidR="0004066B">
              <w:rPr>
                <w:color w:val="000000" w:themeColor="text1"/>
                <w:sz w:val="28"/>
                <w:szCs w:val="28"/>
              </w:rPr>
              <w:t>розрахован</w:t>
            </w:r>
            <w:r w:rsidR="001A1CB0">
              <w:rPr>
                <w:color w:val="000000" w:themeColor="text1"/>
                <w:sz w:val="28"/>
                <w:szCs w:val="28"/>
              </w:rPr>
              <w:t>о</w:t>
            </w:r>
            <w:r w:rsidR="00F95198" w:rsidRPr="00401FBE">
              <w:rPr>
                <w:color w:val="000000" w:themeColor="text1"/>
                <w:sz w:val="28"/>
                <w:szCs w:val="28"/>
              </w:rPr>
              <w:t xml:space="preserve"> з урахуванням </w:t>
            </w:r>
            <w:r w:rsidR="00770F42">
              <w:rPr>
                <w:color w:val="000000" w:themeColor="text1"/>
                <w:sz w:val="28"/>
                <w:szCs w:val="28"/>
              </w:rPr>
              <w:t>вартості знаків поштової оплати</w:t>
            </w:r>
            <w:r w:rsidR="00761E8A">
              <w:rPr>
                <w:color w:val="000000" w:themeColor="text1"/>
                <w:sz w:val="28"/>
                <w:szCs w:val="28"/>
              </w:rPr>
              <w:t xml:space="preserve"> станом на </w:t>
            </w:r>
            <w:r w:rsidR="0059633F">
              <w:rPr>
                <w:color w:val="000000" w:themeColor="text1"/>
                <w:sz w:val="28"/>
                <w:szCs w:val="28"/>
              </w:rPr>
              <w:t>01</w:t>
            </w:r>
            <w:r w:rsidR="00761E8A">
              <w:rPr>
                <w:color w:val="000000" w:themeColor="text1"/>
                <w:sz w:val="28"/>
                <w:szCs w:val="28"/>
              </w:rPr>
              <w:t>.</w:t>
            </w:r>
            <w:r w:rsidR="0059633F">
              <w:rPr>
                <w:color w:val="000000" w:themeColor="text1"/>
                <w:sz w:val="28"/>
                <w:szCs w:val="28"/>
              </w:rPr>
              <w:t>04</w:t>
            </w:r>
            <w:r w:rsidR="00761E8A">
              <w:rPr>
                <w:color w:val="000000" w:themeColor="text1"/>
                <w:sz w:val="28"/>
                <w:szCs w:val="28"/>
              </w:rPr>
              <w:t>.202</w:t>
            </w:r>
            <w:r w:rsidR="0059633F">
              <w:rPr>
                <w:color w:val="000000" w:themeColor="text1"/>
                <w:sz w:val="28"/>
                <w:szCs w:val="28"/>
              </w:rPr>
              <w:t>6</w:t>
            </w:r>
            <w:r w:rsidR="00D21B93">
              <w:rPr>
                <w:color w:val="000000" w:themeColor="text1"/>
                <w:sz w:val="28"/>
                <w:szCs w:val="28"/>
              </w:rPr>
              <w:t>,</w:t>
            </w:r>
            <w:r w:rsidR="00761E8A">
              <w:rPr>
                <w:color w:val="000000" w:themeColor="text1"/>
                <w:sz w:val="28"/>
                <w:szCs w:val="28"/>
              </w:rPr>
              <w:t xml:space="preserve"> а саме</w:t>
            </w:r>
            <w:r w:rsidR="00D21B93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F95198" w:rsidRPr="0004066B" w:rsidRDefault="00512B9F" w:rsidP="0004066B">
            <w:pPr>
              <w:pStyle w:val="a7"/>
              <w:numPr>
                <w:ilvl w:val="0"/>
                <w:numId w:val="2"/>
              </w:numPr>
              <w:tabs>
                <w:tab w:val="left" w:pos="486"/>
              </w:tabs>
              <w:ind w:left="0" w:firstLine="202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04066B">
              <w:rPr>
                <w:color w:val="000000" w:themeColor="text1"/>
                <w:sz w:val="28"/>
                <w:szCs w:val="28"/>
              </w:rPr>
              <w:t xml:space="preserve">знаки поштової оплати (поштова марка) </w:t>
            </w:r>
            <w:r w:rsidRPr="0004066B">
              <w:rPr>
                <w:color w:val="000000" w:themeColor="text1"/>
                <w:sz w:val="28"/>
                <w:szCs w:val="28"/>
                <w:lang w:val="en-US"/>
              </w:rPr>
              <w:t>U</w:t>
            </w:r>
            <w:r w:rsidR="005A1517" w:rsidRPr="0004066B">
              <w:rPr>
                <w:color w:val="000000" w:themeColor="text1"/>
                <w:sz w:val="28"/>
                <w:szCs w:val="28"/>
              </w:rPr>
              <w:t xml:space="preserve"> вартіст</w:t>
            </w:r>
            <w:r w:rsidR="00A33184" w:rsidRPr="0004066B">
              <w:rPr>
                <w:color w:val="000000" w:themeColor="text1"/>
                <w:sz w:val="28"/>
                <w:szCs w:val="28"/>
              </w:rPr>
              <w:t>ю</w:t>
            </w:r>
            <w:r w:rsidR="005A1517" w:rsidRPr="0004066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A1CB0">
              <w:rPr>
                <w:color w:val="000000" w:themeColor="text1"/>
                <w:sz w:val="28"/>
                <w:szCs w:val="28"/>
              </w:rPr>
              <w:br/>
            </w:r>
            <w:r w:rsidR="005A1517" w:rsidRPr="0004066B">
              <w:rPr>
                <w:color w:val="000000" w:themeColor="text1"/>
                <w:sz w:val="28"/>
                <w:szCs w:val="28"/>
              </w:rPr>
              <w:t xml:space="preserve">20,00 грн </w:t>
            </w:r>
            <w:r w:rsidR="00F34DA8" w:rsidRPr="0004066B">
              <w:rPr>
                <w:color w:val="000000" w:themeColor="text1"/>
                <w:sz w:val="28"/>
                <w:szCs w:val="28"/>
              </w:rPr>
              <w:t>у</w:t>
            </w:r>
            <w:r w:rsidR="005A1517" w:rsidRPr="0004066B">
              <w:rPr>
                <w:color w:val="000000" w:themeColor="text1"/>
                <w:sz w:val="28"/>
                <w:szCs w:val="28"/>
              </w:rPr>
              <w:t xml:space="preserve"> кількості</w:t>
            </w:r>
            <w:r w:rsidR="00DD1F1A" w:rsidRPr="0004066B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A10541" w:rsidRPr="0004066B">
              <w:rPr>
                <w:color w:val="000000" w:themeColor="text1"/>
                <w:sz w:val="28"/>
                <w:szCs w:val="28"/>
                <w:lang w:val="en-US"/>
              </w:rPr>
              <w:t>–</w:t>
            </w:r>
            <w:r w:rsidR="00DD1F1A" w:rsidRPr="0004066B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59633F" w:rsidRPr="0004066B">
              <w:rPr>
                <w:color w:val="000000" w:themeColor="text1"/>
                <w:sz w:val="28"/>
                <w:szCs w:val="28"/>
              </w:rPr>
              <w:t>7</w:t>
            </w:r>
            <w:r w:rsidR="00CE5A4A" w:rsidRPr="0004066B">
              <w:rPr>
                <w:color w:val="000000" w:themeColor="text1"/>
                <w:sz w:val="28"/>
                <w:szCs w:val="28"/>
                <w:lang w:val="en-US"/>
              </w:rPr>
              <w:t xml:space="preserve"> 8</w:t>
            </w:r>
            <w:r w:rsidR="0059633F" w:rsidRPr="0004066B">
              <w:rPr>
                <w:color w:val="000000" w:themeColor="text1"/>
                <w:sz w:val="28"/>
                <w:szCs w:val="28"/>
              </w:rPr>
              <w:t>00</w:t>
            </w:r>
            <w:r w:rsidR="005A1517" w:rsidRPr="0004066B">
              <w:rPr>
                <w:color w:val="000000" w:themeColor="text1"/>
                <w:sz w:val="28"/>
                <w:szCs w:val="28"/>
              </w:rPr>
              <w:t xml:space="preserve"> шт</w:t>
            </w:r>
            <w:r w:rsidR="00527A36" w:rsidRPr="0004066B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CE5A4A" w:rsidRPr="00CE5A4A" w:rsidRDefault="00CE5A4A" w:rsidP="00DC2E68">
      <w:pPr>
        <w:rPr>
          <w:sz w:val="28"/>
          <w:szCs w:val="28"/>
        </w:rPr>
      </w:pPr>
    </w:p>
    <w:sectPr w:rsidR="00CE5A4A" w:rsidRPr="00CE5A4A" w:rsidSect="006C4B60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D11" w:rsidRDefault="00657D11" w:rsidP="006C4B60">
      <w:r>
        <w:separator/>
      </w:r>
    </w:p>
  </w:endnote>
  <w:endnote w:type="continuationSeparator" w:id="0">
    <w:p w:rsidR="00657D11" w:rsidRDefault="00657D11" w:rsidP="006C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D11" w:rsidRDefault="00657D11" w:rsidP="006C4B60">
      <w:r>
        <w:separator/>
      </w:r>
    </w:p>
  </w:footnote>
  <w:footnote w:type="continuationSeparator" w:id="0">
    <w:p w:rsidR="00657D11" w:rsidRDefault="00657D11" w:rsidP="006C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8236165"/>
      <w:docPartObj>
        <w:docPartGallery w:val="Page Numbers (Top of Page)"/>
        <w:docPartUnique/>
      </w:docPartObj>
    </w:sdtPr>
    <w:sdtEndPr/>
    <w:sdtContent>
      <w:p w:rsidR="006C4B60" w:rsidRDefault="006C4B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C4B60" w:rsidRDefault="006C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21F0B"/>
    <w:multiLevelType w:val="hybridMultilevel"/>
    <w:tmpl w:val="9A706188"/>
    <w:lvl w:ilvl="0" w:tplc="9448FCE6">
      <w:numFmt w:val="bullet"/>
      <w:lvlText w:val="-"/>
      <w:lvlJc w:val="left"/>
      <w:pPr>
        <w:ind w:left="5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FD"/>
    <w:rsid w:val="0004066B"/>
    <w:rsid w:val="00065A01"/>
    <w:rsid w:val="000A08AF"/>
    <w:rsid w:val="000F6628"/>
    <w:rsid w:val="00103FDB"/>
    <w:rsid w:val="001056FD"/>
    <w:rsid w:val="001658EC"/>
    <w:rsid w:val="00167D2D"/>
    <w:rsid w:val="001A1CB0"/>
    <w:rsid w:val="002009E1"/>
    <w:rsid w:val="002C740A"/>
    <w:rsid w:val="002E09DC"/>
    <w:rsid w:val="003375A6"/>
    <w:rsid w:val="003746F3"/>
    <w:rsid w:val="003D2AA4"/>
    <w:rsid w:val="003F28B6"/>
    <w:rsid w:val="00401FBE"/>
    <w:rsid w:val="00512B9F"/>
    <w:rsid w:val="00527A36"/>
    <w:rsid w:val="00595EBD"/>
    <w:rsid w:val="0059633F"/>
    <w:rsid w:val="005A1517"/>
    <w:rsid w:val="005D5E3B"/>
    <w:rsid w:val="00656557"/>
    <w:rsid w:val="00657D11"/>
    <w:rsid w:val="006C4B60"/>
    <w:rsid w:val="006F23FA"/>
    <w:rsid w:val="0071572F"/>
    <w:rsid w:val="00751C90"/>
    <w:rsid w:val="00761E8A"/>
    <w:rsid w:val="00770F42"/>
    <w:rsid w:val="007A003C"/>
    <w:rsid w:val="007B02FE"/>
    <w:rsid w:val="008421EA"/>
    <w:rsid w:val="00846580"/>
    <w:rsid w:val="008B31AF"/>
    <w:rsid w:val="008C3123"/>
    <w:rsid w:val="00940B4B"/>
    <w:rsid w:val="009576D8"/>
    <w:rsid w:val="00984B2F"/>
    <w:rsid w:val="009C7C5B"/>
    <w:rsid w:val="00A01E22"/>
    <w:rsid w:val="00A06FFA"/>
    <w:rsid w:val="00A10541"/>
    <w:rsid w:val="00A33184"/>
    <w:rsid w:val="00A36E4C"/>
    <w:rsid w:val="00A37CFC"/>
    <w:rsid w:val="00A573A6"/>
    <w:rsid w:val="00AA4C92"/>
    <w:rsid w:val="00AA699A"/>
    <w:rsid w:val="00AF193E"/>
    <w:rsid w:val="00AF7929"/>
    <w:rsid w:val="00BA724D"/>
    <w:rsid w:val="00C04414"/>
    <w:rsid w:val="00C93E6E"/>
    <w:rsid w:val="00CA78BA"/>
    <w:rsid w:val="00CC5528"/>
    <w:rsid w:val="00CE31B2"/>
    <w:rsid w:val="00CE5A4A"/>
    <w:rsid w:val="00D21B93"/>
    <w:rsid w:val="00D225EE"/>
    <w:rsid w:val="00D7659A"/>
    <w:rsid w:val="00D77D70"/>
    <w:rsid w:val="00DC2E68"/>
    <w:rsid w:val="00DD1F1A"/>
    <w:rsid w:val="00DE0EBF"/>
    <w:rsid w:val="00DE0F02"/>
    <w:rsid w:val="00E240B7"/>
    <w:rsid w:val="00F11E35"/>
    <w:rsid w:val="00F33022"/>
    <w:rsid w:val="00F34DA8"/>
    <w:rsid w:val="00F64EBA"/>
    <w:rsid w:val="00F95198"/>
    <w:rsid w:val="00FC2251"/>
    <w:rsid w:val="00FC564D"/>
    <w:rsid w:val="00FE528D"/>
    <w:rsid w:val="00FE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BFA6B"/>
  <w15:docId w15:val="{486422B7-D3C4-49E4-877A-F25B5475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56F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1056FD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056F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1056F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056F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056F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056FD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056FD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056F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56FD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1056F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056FD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1056FD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1056FD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1056FD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1056F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1056FD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1056FD"/>
    <w:rPr>
      <w:rFonts w:ascii="Arial" w:eastAsia="Times New Roman" w:hAnsi="Arial" w:cs="Arial"/>
      <w:lang w:eastAsia="uk-UA"/>
    </w:rPr>
  </w:style>
  <w:style w:type="paragraph" w:styleId="a3">
    <w:name w:val="header"/>
    <w:basedOn w:val="a"/>
    <w:link w:val="a4"/>
    <w:uiPriority w:val="99"/>
    <w:unhideWhenUsed/>
    <w:rsid w:val="006C4B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C4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C4B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C4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C2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F7A0D-2341-43BD-A4A8-C33E50C4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1533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СОЛОДОВНІКОВА КАРИНА ОЛЕГІВНА</dc:creator>
  <cp:lastModifiedBy>КИНАЛИ ДЕНИС СЕРГІЙОВИЧ</cp:lastModifiedBy>
  <cp:revision>13</cp:revision>
  <cp:lastPrinted>2026-06-30T12:51:00Z</cp:lastPrinted>
  <dcterms:created xsi:type="dcterms:W3CDTF">2026-04-07T14:20:00Z</dcterms:created>
  <dcterms:modified xsi:type="dcterms:W3CDTF">2026-06-30T13:08:00Z</dcterms:modified>
</cp:coreProperties>
</file>