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 xml:space="preserve">Обґрунтування технічних та якісних характеристик </w:t>
      </w:r>
    </w:p>
    <w:p w:rsidR="00987B34" w:rsidRPr="00860228" w:rsidRDefault="00987B34" w:rsidP="00987B34">
      <w:pPr>
        <w:jc w:val="center"/>
        <w:rPr>
          <w:b/>
          <w:sz w:val="26"/>
          <w:szCs w:val="26"/>
        </w:rPr>
      </w:pPr>
      <w:r w:rsidRPr="00860228">
        <w:rPr>
          <w:b/>
          <w:sz w:val="26"/>
          <w:szCs w:val="26"/>
        </w:rPr>
        <w:t>предмета закупівлі, розміру бюджетного призначення, очікуваної вартості предмета закупівлі</w:t>
      </w:r>
    </w:p>
    <w:tbl>
      <w:tblPr>
        <w:tblW w:w="101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364"/>
        <w:gridCol w:w="7422"/>
      </w:tblGrid>
      <w:tr w:rsidR="00987B34" w:rsidRPr="00F27860" w:rsidTr="009E32FC">
        <w:trPr>
          <w:trHeight w:hRule="exact" w:val="1813"/>
        </w:trPr>
        <w:tc>
          <w:tcPr>
            <w:tcW w:w="392" w:type="dxa"/>
            <w:shd w:val="clear" w:color="auto" w:fill="auto"/>
          </w:tcPr>
          <w:p w:rsidR="00987B34" w:rsidRPr="0065310A" w:rsidRDefault="00987B34" w:rsidP="00916752">
            <w:r w:rsidRPr="0065310A">
              <w:t>1</w:t>
            </w:r>
          </w:p>
        </w:tc>
        <w:tc>
          <w:tcPr>
            <w:tcW w:w="2364" w:type="dxa"/>
            <w:shd w:val="clear" w:color="auto" w:fill="auto"/>
          </w:tcPr>
          <w:p w:rsidR="00987B34" w:rsidRPr="00BE12F8" w:rsidRDefault="00987B34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7422" w:type="dxa"/>
            <w:shd w:val="clear" w:color="auto" w:fill="auto"/>
          </w:tcPr>
          <w:p w:rsidR="00810EFE" w:rsidRPr="00A362C4" w:rsidRDefault="00810EFE" w:rsidP="00810EFE">
            <w:pPr>
              <w:jc w:val="both"/>
            </w:pPr>
            <w:r w:rsidRPr="00A362C4">
              <w:t xml:space="preserve">Консультаційні послуги з питань систем та з технічних питань – </w:t>
            </w:r>
            <w:r w:rsidR="00FB2073">
              <w:br/>
            </w:r>
            <w:r w:rsidRPr="00A362C4">
              <w:t xml:space="preserve">за кодом ДК 021:2015 </w:t>
            </w:r>
            <w:r w:rsidR="00FB2073">
              <w:t xml:space="preserve">– </w:t>
            </w:r>
            <w:r w:rsidRPr="00A362C4">
              <w:t>72220000-3 (Послуги з проведення авторизації з безпеки інформаційно-комунікаційної системи Кваліфікованого надавача електронних довірчих послуг Державної податкової служби України)</w:t>
            </w:r>
            <w:r w:rsidR="00A362C4">
              <w:t xml:space="preserve"> </w:t>
            </w:r>
          </w:p>
          <w:p w:rsidR="00987B34" w:rsidRPr="00A362C4" w:rsidRDefault="0065310A" w:rsidP="007B33CF">
            <w:pPr>
              <w:jc w:val="both"/>
              <w:rPr>
                <w:sz w:val="26"/>
                <w:szCs w:val="26"/>
              </w:rPr>
            </w:pPr>
            <w:r w:rsidRPr="00A362C4">
              <w:t>(ідентифікатор закупівлі:</w:t>
            </w:r>
            <w:r w:rsidR="00152F12" w:rsidRPr="00A362C4">
              <w:t xml:space="preserve"> </w:t>
            </w:r>
            <w:r w:rsidRPr="00A362C4">
              <w:rPr>
                <w:lang w:val="en-US"/>
              </w:rPr>
              <w:t>UA</w:t>
            </w:r>
            <w:r w:rsidRPr="00A362C4">
              <w:t>-202</w:t>
            </w:r>
            <w:r w:rsidR="00667494" w:rsidRPr="00A362C4">
              <w:t>6</w:t>
            </w:r>
            <w:r w:rsidRPr="00A362C4">
              <w:t>-0</w:t>
            </w:r>
            <w:r w:rsidR="00A362C4" w:rsidRPr="00A362C4">
              <w:t>7</w:t>
            </w:r>
            <w:r w:rsidRPr="00A362C4">
              <w:t>-</w:t>
            </w:r>
            <w:r w:rsidR="00667494" w:rsidRPr="00A362C4">
              <w:t>1</w:t>
            </w:r>
            <w:r w:rsidR="00A362C4" w:rsidRPr="00A362C4">
              <w:t>3</w:t>
            </w:r>
            <w:r w:rsidRPr="00A362C4">
              <w:t>-0</w:t>
            </w:r>
            <w:r w:rsidR="00667494" w:rsidRPr="00A362C4">
              <w:t>10</w:t>
            </w:r>
            <w:r w:rsidR="00A362C4" w:rsidRPr="00A362C4">
              <w:t>945</w:t>
            </w:r>
            <w:r w:rsidRPr="00A362C4">
              <w:t>-</w:t>
            </w:r>
            <w:r w:rsidRPr="00A362C4">
              <w:rPr>
                <w:lang w:val="en-US"/>
              </w:rPr>
              <w:t>a</w:t>
            </w:r>
            <w:r w:rsidRPr="00A362C4">
              <w:t>)</w:t>
            </w:r>
          </w:p>
        </w:tc>
      </w:tr>
      <w:tr w:rsidR="0065310A" w:rsidRPr="00F27860" w:rsidTr="005B029E">
        <w:trPr>
          <w:trHeight w:val="2811"/>
        </w:trPr>
        <w:tc>
          <w:tcPr>
            <w:tcW w:w="392" w:type="dxa"/>
            <w:shd w:val="clear" w:color="auto" w:fill="auto"/>
          </w:tcPr>
          <w:p w:rsidR="0065310A" w:rsidRPr="0065310A" w:rsidRDefault="0065310A" w:rsidP="00916752">
            <w:r w:rsidRPr="0065310A">
              <w:t>2</w:t>
            </w:r>
          </w:p>
        </w:tc>
        <w:tc>
          <w:tcPr>
            <w:tcW w:w="2364" w:type="dxa"/>
            <w:shd w:val="clear" w:color="auto" w:fill="auto"/>
          </w:tcPr>
          <w:p w:rsidR="0065310A" w:rsidRPr="00BE12F8" w:rsidRDefault="0065310A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422" w:type="dxa"/>
            <w:shd w:val="clear" w:color="auto" w:fill="auto"/>
          </w:tcPr>
          <w:p w:rsidR="0065310A" w:rsidRPr="009E32FC" w:rsidRDefault="00810EFE" w:rsidP="00D005C0">
            <w:pPr>
              <w:jc w:val="both"/>
              <w:rPr>
                <w:sz w:val="23"/>
                <w:szCs w:val="23"/>
              </w:rPr>
            </w:pPr>
            <w:r w:rsidRPr="009E32FC">
              <w:rPr>
                <w:sz w:val="23"/>
                <w:szCs w:val="23"/>
              </w:rPr>
              <w:t xml:space="preserve">Проведення авторизації з безпеки та оцінки реалізації цільового профілю безпеки в ІКС Кваліфікованого надавача електронних довірчих послуг Державної податкової служби України встановлено Законом України від 27.03.2025 № 4336-IX «Про внесення змін до деяких законів України щодо захисту інформації та </w:t>
            </w:r>
            <w:proofErr w:type="spellStart"/>
            <w:r w:rsidRPr="009E32FC">
              <w:rPr>
                <w:sz w:val="23"/>
                <w:szCs w:val="23"/>
              </w:rPr>
              <w:t>кіберзахисту</w:t>
            </w:r>
            <w:proofErr w:type="spellEnd"/>
            <w:r w:rsidRPr="009E32FC">
              <w:rPr>
                <w:sz w:val="23"/>
                <w:szCs w:val="23"/>
              </w:rPr>
              <w:t xml:space="preserve"> державних інформаційних ресурсів, об’єктів критичної інформаційної інфраструктури» та постановою Кабінету Міністрів України </w:t>
            </w:r>
            <w:r w:rsidR="00FB2073">
              <w:rPr>
                <w:sz w:val="23"/>
                <w:szCs w:val="23"/>
              </w:rPr>
              <w:br/>
            </w:r>
            <w:r w:rsidRPr="009E32FC">
              <w:rPr>
                <w:sz w:val="23"/>
                <w:szCs w:val="23"/>
              </w:rPr>
              <w:t>від 18 червня 2025 року №</w:t>
            </w:r>
            <w:r w:rsidR="00FB2073">
              <w:rPr>
                <w:sz w:val="23"/>
                <w:szCs w:val="23"/>
              </w:rPr>
              <w:t xml:space="preserve"> </w:t>
            </w:r>
            <w:r w:rsidRPr="009E32FC">
              <w:rPr>
                <w:sz w:val="23"/>
                <w:szCs w:val="23"/>
              </w:rPr>
              <w:t>712 «Деякі питання захисту інформаційних, електронних комунікаційних, інформаційно-комунікаційних, технологічних систем».</w:t>
            </w:r>
          </w:p>
        </w:tc>
      </w:tr>
      <w:tr w:rsidR="0065310A" w:rsidRPr="00F27860" w:rsidTr="005B029E">
        <w:trPr>
          <w:trHeight w:val="2263"/>
        </w:trPr>
        <w:tc>
          <w:tcPr>
            <w:tcW w:w="392" w:type="dxa"/>
            <w:shd w:val="clear" w:color="auto" w:fill="auto"/>
          </w:tcPr>
          <w:p w:rsidR="0065310A" w:rsidRPr="0065310A" w:rsidRDefault="0065310A" w:rsidP="00916752">
            <w:r w:rsidRPr="0065310A">
              <w:t>3</w:t>
            </w:r>
          </w:p>
        </w:tc>
        <w:tc>
          <w:tcPr>
            <w:tcW w:w="2364" w:type="dxa"/>
            <w:shd w:val="clear" w:color="auto" w:fill="auto"/>
          </w:tcPr>
          <w:p w:rsidR="0065310A" w:rsidRPr="00BE12F8" w:rsidRDefault="0065310A" w:rsidP="00916752">
            <w:pPr>
              <w:rPr>
                <w:b/>
                <w:sz w:val="26"/>
                <w:szCs w:val="26"/>
              </w:rPr>
            </w:pPr>
            <w:r w:rsidRPr="00BE12F8">
              <w:rPr>
                <w:b/>
                <w:sz w:val="26"/>
                <w:szCs w:val="26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422" w:type="dxa"/>
            <w:shd w:val="clear" w:color="auto" w:fill="auto"/>
          </w:tcPr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 xml:space="preserve">Розрахунок очікуваної вартості предмета закупівлі було складено </w:t>
            </w:r>
            <w:r w:rsidRPr="009E32FC">
              <w:rPr>
                <w:spacing w:val="-10"/>
                <w:sz w:val="23"/>
                <w:szCs w:val="23"/>
              </w:rPr>
              <w:br/>
              <w:t xml:space="preserve">з урахуванням рекомендацій Примірної методики визначення очікуваної вартості предмета закупівлі, затвердженої наказом Мінекономіки </w:t>
            </w:r>
            <w:r w:rsidRPr="009E32FC">
              <w:rPr>
                <w:spacing w:val="-10"/>
                <w:sz w:val="23"/>
                <w:szCs w:val="23"/>
              </w:rPr>
              <w:br/>
              <w:t>від 18.02.2020 №  275 (зі змінами), зокрема використовуючи метод порівняння ринкових цін на такого типу послуги.</w:t>
            </w:r>
          </w:p>
          <w:p w:rsidR="00810EFE" w:rsidRPr="009E32FC" w:rsidRDefault="00810EFE" w:rsidP="00810EFE">
            <w:pPr>
              <w:pStyle w:val="rvps12"/>
              <w:shd w:val="clear" w:color="auto" w:fill="FFFFFF"/>
              <w:spacing w:before="0" w:beforeAutospacing="0" w:after="0" w:afterAutospacing="0"/>
              <w:ind w:right="57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9E32FC">
              <w:rPr>
                <w:spacing w:val="-10"/>
                <w:sz w:val="23"/>
                <w:szCs w:val="23"/>
                <w:lang w:eastAsia="ru-RU"/>
              </w:rPr>
              <w:t>Визначили очікувану ціну за одиницю як середньоарифметичне значення масиву отриманих даних, а саме</w:t>
            </w:r>
            <w:r w:rsidRPr="009E32FC">
              <w:rPr>
                <w:spacing w:val="-10"/>
                <w:sz w:val="23"/>
                <w:szCs w:val="23"/>
              </w:rPr>
              <w:t xml:space="preserve"> на підставі комерційних пропозиції надавачів такого типу послуг</w:t>
            </w:r>
            <w:r w:rsidR="00FB2073">
              <w:rPr>
                <w:spacing w:val="-10"/>
                <w:sz w:val="23"/>
                <w:szCs w:val="23"/>
              </w:rPr>
              <w:t xml:space="preserve"> </w:t>
            </w:r>
            <w:r w:rsidRPr="009E32FC">
              <w:rPr>
                <w:spacing w:val="-10"/>
                <w:sz w:val="23"/>
                <w:szCs w:val="23"/>
                <w:lang w:eastAsia="ru-RU"/>
              </w:rPr>
              <w:t>за формулою:</w:t>
            </w:r>
          </w:p>
          <w:p w:rsidR="00810EFE" w:rsidRPr="009E32FC" w:rsidRDefault="00810EFE" w:rsidP="00810EFE">
            <w:pPr>
              <w:shd w:val="clear" w:color="auto" w:fill="FFFFFF"/>
              <w:ind w:left="57" w:right="57"/>
              <w:jc w:val="center"/>
              <w:rPr>
                <w:b/>
                <w:bCs/>
                <w:sz w:val="23"/>
                <w:szCs w:val="23"/>
                <w:lang w:eastAsia="uk-UA"/>
              </w:rPr>
            </w:pPr>
            <w:proofErr w:type="spellStart"/>
            <w:r w:rsidRPr="009E32FC">
              <w:rPr>
                <w:b/>
                <w:bCs/>
                <w:sz w:val="23"/>
                <w:szCs w:val="23"/>
                <w:lang w:eastAsia="uk-UA"/>
              </w:rPr>
              <w:t>Ц</w:t>
            </w:r>
            <w:r w:rsidRPr="009E32FC">
              <w:rPr>
                <w:b/>
                <w:bCs/>
                <w:sz w:val="23"/>
                <w:szCs w:val="23"/>
                <w:vertAlign w:val="subscript"/>
                <w:lang w:eastAsia="uk-UA"/>
              </w:rPr>
              <w:t>од</w:t>
            </w:r>
            <w:proofErr w:type="spellEnd"/>
            <w:r w:rsidRPr="009E32FC">
              <w:rPr>
                <w:sz w:val="23"/>
                <w:szCs w:val="23"/>
                <w:lang w:eastAsia="uk-UA"/>
              </w:rPr>
              <w:t> </w:t>
            </w:r>
            <w:r w:rsidRPr="009E32FC">
              <w:rPr>
                <w:b/>
                <w:bCs/>
                <w:sz w:val="23"/>
                <w:szCs w:val="23"/>
                <w:lang w:eastAsia="uk-UA"/>
              </w:rPr>
              <w:t>= (Ц</w:t>
            </w:r>
            <w:r w:rsidRPr="009E32FC">
              <w:rPr>
                <w:b/>
                <w:bCs/>
                <w:sz w:val="23"/>
                <w:szCs w:val="23"/>
                <w:vertAlign w:val="subscript"/>
                <w:lang w:eastAsia="uk-UA"/>
              </w:rPr>
              <w:t>1</w:t>
            </w:r>
            <w:r w:rsidRPr="009E32FC">
              <w:rPr>
                <w:sz w:val="23"/>
                <w:szCs w:val="23"/>
                <w:lang w:eastAsia="uk-UA"/>
              </w:rPr>
              <w:t> </w:t>
            </w:r>
            <w:r w:rsidRPr="009E32FC">
              <w:rPr>
                <w:b/>
                <w:bCs/>
                <w:sz w:val="23"/>
                <w:szCs w:val="23"/>
                <w:lang w:eastAsia="uk-UA"/>
              </w:rPr>
              <w:t xml:space="preserve">+… + </w:t>
            </w:r>
            <w:proofErr w:type="spellStart"/>
            <w:r w:rsidRPr="009E32FC">
              <w:rPr>
                <w:b/>
                <w:bCs/>
                <w:sz w:val="23"/>
                <w:szCs w:val="23"/>
                <w:lang w:eastAsia="uk-UA"/>
              </w:rPr>
              <w:t>Ц</w:t>
            </w:r>
            <w:r w:rsidRPr="009E32FC">
              <w:rPr>
                <w:b/>
                <w:bCs/>
                <w:sz w:val="23"/>
                <w:szCs w:val="23"/>
                <w:vertAlign w:val="subscript"/>
                <w:lang w:eastAsia="uk-UA"/>
              </w:rPr>
              <w:t>к</w:t>
            </w:r>
            <w:proofErr w:type="spellEnd"/>
            <w:r w:rsidRPr="009E32FC">
              <w:rPr>
                <w:b/>
                <w:bCs/>
                <w:sz w:val="23"/>
                <w:szCs w:val="23"/>
                <w:lang w:eastAsia="uk-UA"/>
              </w:rPr>
              <w:t>) / К,</w:t>
            </w:r>
          </w:p>
          <w:tbl>
            <w:tblPr>
              <w:tblW w:w="7206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7"/>
              <w:gridCol w:w="656"/>
              <w:gridCol w:w="221"/>
              <w:gridCol w:w="5822"/>
            </w:tblGrid>
            <w:tr w:rsidR="00810EFE" w:rsidRPr="009E32FC" w:rsidTr="00101E1F">
              <w:tc>
                <w:tcPr>
                  <w:tcW w:w="510" w:type="dxa"/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bookmarkStart w:id="0" w:name="n61"/>
                  <w:bookmarkEnd w:id="0"/>
                  <w:r w:rsidRPr="009E32FC">
                    <w:rPr>
                      <w:sz w:val="23"/>
                      <w:szCs w:val="23"/>
                      <w:lang w:eastAsia="uk-UA"/>
                    </w:rPr>
                    <w:t>де:</w:t>
                  </w:r>
                </w:p>
              </w:tc>
              <w:tc>
                <w:tcPr>
                  <w:tcW w:w="662" w:type="dxa"/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proofErr w:type="spellStart"/>
                  <w:r w:rsidRPr="009E32FC">
                    <w:rPr>
                      <w:b/>
                      <w:bCs/>
                      <w:sz w:val="23"/>
                      <w:szCs w:val="23"/>
                      <w:lang w:eastAsia="uk-UA"/>
                    </w:rPr>
                    <w:t>Ц</w:t>
                  </w:r>
                  <w:r w:rsidRPr="009E32FC">
                    <w:rPr>
                      <w:b/>
                      <w:bCs/>
                      <w:sz w:val="23"/>
                      <w:szCs w:val="23"/>
                      <w:vertAlign w:val="subscript"/>
                      <w:lang w:eastAsia="uk-UA"/>
                    </w:rPr>
                    <w:t>од</w:t>
                  </w:r>
                  <w:proofErr w:type="spellEnd"/>
                </w:p>
              </w:tc>
              <w:tc>
                <w:tcPr>
                  <w:tcW w:w="50" w:type="dxa"/>
                  <w:hideMark/>
                </w:tcPr>
                <w:p w:rsidR="00810EFE" w:rsidRPr="009E32FC" w:rsidRDefault="00810EFE" w:rsidP="00810EFE">
                  <w:pPr>
                    <w:ind w:left="57" w:right="57"/>
                    <w:jc w:val="center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>очікувана ціна за одиницю;</w:t>
                  </w:r>
                </w:p>
              </w:tc>
            </w:tr>
            <w:tr w:rsidR="00810EFE" w:rsidRPr="009E32FC" w:rsidTr="00101E1F">
              <w:tc>
                <w:tcPr>
                  <w:tcW w:w="510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</w:p>
              </w:tc>
              <w:tc>
                <w:tcPr>
                  <w:tcW w:w="662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b/>
                      <w:bCs/>
                      <w:sz w:val="23"/>
                      <w:szCs w:val="23"/>
                      <w:lang w:eastAsia="uk-UA"/>
                    </w:rPr>
                    <w:t>Ц</w:t>
                  </w:r>
                  <w:r w:rsidRPr="009E32FC">
                    <w:rPr>
                      <w:b/>
                      <w:bCs/>
                      <w:sz w:val="23"/>
                      <w:szCs w:val="23"/>
                      <w:vertAlign w:val="subscript"/>
                      <w:lang w:eastAsia="uk-UA"/>
                    </w:rPr>
                    <w:t>1</w:t>
                  </w:r>
                  <w:r w:rsidRPr="009E32FC">
                    <w:rPr>
                      <w:sz w:val="23"/>
                      <w:szCs w:val="23"/>
                      <w:lang w:eastAsia="uk-UA"/>
                    </w:rPr>
                    <w:t xml:space="preserve">, </w:t>
                  </w:r>
                  <w:proofErr w:type="spellStart"/>
                  <w:r w:rsidRPr="009E32FC">
                    <w:rPr>
                      <w:b/>
                      <w:bCs/>
                      <w:sz w:val="23"/>
                      <w:szCs w:val="23"/>
                      <w:lang w:eastAsia="uk-UA"/>
                    </w:rPr>
                    <w:t>Ц</w:t>
                  </w:r>
                  <w:r w:rsidRPr="009E32FC">
                    <w:rPr>
                      <w:b/>
                      <w:bCs/>
                      <w:sz w:val="23"/>
                      <w:szCs w:val="23"/>
                      <w:vertAlign w:val="subscript"/>
                      <w:lang w:eastAsia="uk-UA"/>
                    </w:rPr>
                    <w:t>к</w:t>
                  </w:r>
                  <w:proofErr w:type="spellEnd"/>
                </w:p>
              </w:tc>
              <w:tc>
                <w:tcPr>
                  <w:tcW w:w="50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jc w:val="center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 w:hanging="123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 xml:space="preserve">  ціни, отримані з відкритих джерел інформації, приведені до єдиних умов;</w:t>
                  </w:r>
                </w:p>
              </w:tc>
            </w:tr>
            <w:tr w:rsidR="00810EFE" w:rsidRPr="009E32FC" w:rsidTr="00101E1F">
              <w:tc>
                <w:tcPr>
                  <w:tcW w:w="510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</w:p>
              </w:tc>
              <w:tc>
                <w:tcPr>
                  <w:tcW w:w="662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b/>
                      <w:bCs/>
                      <w:sz w:val="23"/>
                      <w:szCs w:val="23"/>
                      <w:lang w:eastAsia="uk-UA"/>
                    </w:rPr>
                    <w:t>К</w:t>
                  </w:r>
                </w:p>
              </w:tc>
              <w:tc>
                <w:tcPr>
                  <w:tcW w:w="50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jc w:val="center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>-</w:t>
                  </w:r>
                </w:p>
              </w:tc>
              <w:tc>
                <w:tcPr>
                  <w:tcW w:w="5984" w:type="dxa"/>
                  <w:tcBorders>
                    <w:bottom w:val="nil"/>
                  </w:tcBorders>
                  <w:hideMark/>
                </w:tcPr>
                <w:p w:rsidR="00810EFE" w:rsidRPr="009E32FC" w:rsidRDefault="00810EFE" w:rsidP="00810EFE">
                  <w:pPr>
                    <w:ind w:left="57" w:right="57"/>
                    <w:rPr>
                      <w:sz w:val="23"/>
                      <w:szCs w:val="23"/>
                      <w:lang w:eastAsia="uk-UA"/>
                    </w:rPr>
                  </w:pPr>
                  <w:r w:rsidRPr="009E32FC">
                    <w:rPr>
                      <w:sz w:val="23"/>
                      <w:szCs w:val="23"/>
                      <w:lang w:eastAsia="uk-UA"/>
                    </w:rPr>
                    <w:t>кількість цін, отриманих з відкритих джерел інформації</w:t>
                  </w:r>
                  <w:r w:rsidR="00FB2073">
                    <w:rPr>
                      <w:sz w:val="23"/>
                      <w:szCs w:val="23"/>
                      <w:lang w:eastAsia="uk-UA"/>
                    </w:rPr>
                    <w:t>.</w:t>
                  </w:r>
                </w:p>
              </w:tc>
            </w:tr>
          </w:tbl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>Отримано комерційні пропозиції:</w:t>
            </w:r>
          </w:p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>ТОВ  «СПЕЦБАЙТ» від 13.04.2026 № 13/1 (</w:t>
            </w:r>
            <w:proofErr w:type="spellStart"/>
            <w:r w:rsidRPr="009E32FC">
              <w:rPr>
                <w:spacing w:val="-10"/>
                <w:sz w:val="23"/>
                <w:szCs w:val="23"/>
              </w:rPr>
              <w:t>вх</w:t>
            </w:r>
            <w:proofErr w:type="spellEnd"/>
            <w:r w:rsidRPr="009E32FC">
              <w:rPr>
                <w:spacing w:val="-10"/>
                <w:sz w:val="23"/>
                <w:szCs w:val="23"/>
              </w:rPr>
              <w:t>. ДПС від 13.04.2026 № 11204/6) на суму: 1 500 000,00 грн;</w:t>
            </w:r>
          </w:p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>ТОВ  «ВЕБ ПРО» від 21.04.2026 № 2026/04-05 (</w:t>
            </w:r>
            <w:proofErr w:type="spellStart"/>
            <w:r w:rsidRPr="009E32FC">
              <w:rPr>
                <w:spacing w:val="-10"/>
                <w:sz w:val="23"/>
                <w:szCs w:val="23"/>
              </w:rPr>
              <w:t>вх</w:t>
            </w:r>
            <w:proofErr w:type="spellEnd"/>
            <w:r w:rsidRPr="009E32FC">
              <w:rPr>
                <w:spacing w:val="-10"/>
                <w:sz w:val="23"/>
                <w:szCs w:val="23"/>
              </w:rPr>
              <w:t>. ДПС від 21.04.2026 № 12108/6) на суму: 1 800 000,00 грн;</w:t>
            </w:r>
          </w:p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 xml:space="preserve">ПрАТ  «ІІТ» від 28.04.2026 № 284-26/21 </w:t>
            </w:r>
            <w:r w:rsidRPr="009E32FC">
              <w:rPr>
                <w:color w:val="000000"/>
                <w:sz w:val="23"/>
                <w:szCs w:val="23"/>
              </w:rPr>
              <w:t>(</w:t>
            </w:r>
            <w:proofErr w:type="spellStart"/>
            <w:r w:rsidRPr="009E32FC">
              <w:rPr>
                <w:color w:val="000000"/>
                <w:sz w:val="23"/>
                <w:szCs w:val="23"/>
              </w:rPr>
              <w:t>вх</w:t>
            </w:r>
            <w:proofErr w:type="spellEnd"/>
            <w:r w:rsidRPr="009E32FC">
              <w:rPr>
                <w:color w:val="000000"/>
                <w:sz w:val="23"/>
                <w:szCs w:val="23"/>
              </w:rPr>
              <w:t>. ДПС від 29.04.2026 № 13093/6)</w:t>
            </w:r>
            <w:r w:rsidRPr="009E32FC">
              <w:rPr>
                <w:spacing w:val="-10"/>
                <w:sz w:val="23"/>
                <w:szCs w:val="23"/>
              </w:rPr>
              <w:t xml:space="preserve"> на суму: 960 000,00 грн.</w:t>
            </w:r>
          </w:p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 xml:space="preserve">Комерційна пропозиція ПрАТ  «ІІТ» від 28.04.2026 № 284-26/21 </w:t>
            </w:r>
            <w:r w:rsidRPr="009E32FC">
              <w:rPr>
                <w:color w:val="000000"/>
                <w:sz w:val="23"/>
                <w:szCs w:val="23"/>
              </w:rPr>
              <w:t>(</w:t>
            </w:r>
            <w:proofErr w:type="spellStart"/>
            <w:r w:rsidRPr="009E32FC">
              <w:rPr>
                <w:color w:val="000000"/>
                <w:sz w:val="23"/>
                <w:szCs w:val="23"/>
              </w:rPr>
              <w:t>вх</w:t>
            </w:r>
            <w:proofErr w:type="spellEnd"/>
            <w:r w:rsidRPr="009E32FC">
              <w:rPr>
                <w:color w:val="000000"/>
                <w:sz w:val="23"/>
                <w:szCs w:val="23"/>
              </w:rPr>
              <w:t xml:space="preserve">. ДПС </w:t>
            </w:r>
            <w:r w:rsidR="00FB2073">
              <w:rPr>
                <w:color w:val="000000"/>
                <w:sz w:val="23"/>
                <w:szCs w:val="23"/>
              </w:rPr>
              <w:br/>
            </w:r>
            <w:r w:rsidRPr="009E32FC">
              <w:rPr>
                <w:color w:val="000000"/>
                <w:sz w:val="23"/>
                <w:szCs w:val="23"/>
              </w:rPr>
              <w:t>від 29.04.2026 № 13093/6)</w:t>
            </w:r>
            <w:r w:rsidRPr="009E32FC">
              <w:rPr>
                <w:spacing w:val="-10"/>
                <w:sz w:val="23"/>
                <w:szCs w:val="23"/>
              </w:rPr>
              <w:t xml:space="preserve"> на суму: 960 000,00 грн не була виключена з масиву цінових даних та врахована при визначенні очікуваної вартості предмета закупівлі, оскільки зазначене підприємство протягом декількох років здійснює технічну підтримку та супроводження інформаційно-комунікаційної системи </w:t>
            </w:r>
            <w:r w:rsidRPr="009E32FC">
              <w:rPr>
                <w:sz w:val="23"/>
                <w:szCs w:val="23"/>
              </w:rPr>
              <w:t xml:space="preserve">Кваліфікованого надавача електронних довірчих послуг Державної податкової служби України, у тому числі і у 2026 році (договір </w:t>
            </w:r>
            <w:r w:rsidR="00FB2073">
              <w:rPr>
                <w:sz w:val="23"/>
                <w:szCs w:val="23"/>
              </w:rPr>
              <w:br/>
            </w:r>
            <w:r w:rsidRPr="009E32FC">
              <w:rPr>
                <w:sz w:val="23"/>
                <w:szCs w:val="23"/>
              </w:rPr>
              <w:t>від 25.03.2026 № 17).</w:t>
            </w:r>
          </w:p>
          <w:p w:rsidR="00810EFE" w:rsidRPr="009E32FC" w:rsidRDefault="00810EFE" w:rsidP="00810EFE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3"/>
                <w:szCs w:val="23"/>
                <w:lang w:eastAsia="ru-RU"/>
              </w:rPr>
            </w:pPr>
            <w:r w:rsidRPr="009E32FC">
              <w:rPr>
                <w:spacing w:val="-10"/>
                <w:sz w:val="23"/>
                <w:szCs w:val="23"/>
                <w:lang w:eastAsia="ru-RU"/>
              </w:rPr>
              <w:t>Визначення очікуваної вартості за одиницю товару:</w:t>
            </w:r>
          </w:p>
          <w:p w:rsidR="00810EFE" w:rsidRPr="009E32FC" w:rsidRDefault="00810EFE" w:rsidP="00810EFE">
            <w:pPr>
              <w:pStyle w:val="rvps12"/>
              <w:shd w:val="clear" w:color="auto" w:fill="FFFFFF"/>
              <w:spacing w:before="0" w:beforeAutospacing="0" w:after="0" w:afterAutospacing="0"/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>(1 800 000,00 + 1 500 000,00 + 960 000,00)/ 3 = 1 420</w:t>
            </w:r>
            <w:r w:rsidR="00FB2073">
              <w:rPr>
                <w:spacing w:val="-10"/>
                <w:sz w:val="23"/>
                <w:szCs w:val="23"/>
              </w:rPr>
              <w:t> </w:t>
            </w:r>
            <w:r w:rsidRPr="009E32FC">
              <w:rPr>
                <w:spacing w:val="-10"/>
                <w:sz w:val="23"/>
                <w:szCs w:val="23"/>
              </w:rPr>
              <w:t>000</w:t>
            </w:r>
            <w:r w:rsidR="00FB2073">
              <w:rPr>
                <w:spacing w:val="-10"/>
                <w:sz w:val="23"/>
                <w:szCs w:val="23"/>
              </w:rPr>
              <w:t>,00</w:t>
            </w:r>
            <w:r w:rsidRPr="009E32FC">
              <w:rPr>
                <w:spacing w:val="-10"/>
                <w:sz w:val="23"/>
                <w:szCs w:val="23"/>
              </w:rPr>
              <w:t xml:space="preserve">  грн</w:t>
            </w:r>
            <w:r w:rsidR="00A362C4">
              <w:rPr>
                <w:spacing w:val="-10"/>
                <w:sz w:val="23"/>
                <w:szCs w:val="23"/>
              </w:rPr>
              <w:t>.</w:t>
            </w:r>
          </w:p>
          <w:p w:rsidR="00810EFE" w:rsidRPr="009E32FC" w:rsidRDefault="00810EFE" w:rsidP="00810EFE">
            <w:pPr>
              <w:jc w:val="both"/>
              <w:rPr>
                <w:spacing w:val="-10"/>
                <w:sz w:val="23"/>
                <w:szCs w:val="23"/>
              </w:rPr>
            </w:pPr>
            <w:r w:rsidRPr="009E32FC">
              <w:rPr>
                <w:spacing w:val="-10"/>
                <w:sz w:val="23"/>
                <w:szCs w:val="23"/>
              </w:rPr>
              <w:t xml:space="preserve">Розмір бюджетного призначення згідно з розрахунком до кошторису ДПС </w:t>
            </w:r>
            <w:r w:rsidR="00FB2073">
              <w:rPr>
                <w:spacing w:val="-10"/>
                <w:sz w:val="23"/>
                <w:szCs w:val="23"/>
              </w:rPr>
              <w:br/>
            </w:r>
            <w:bookmarkStart w:id="1" w:name="_GoBack"/>
            <w:bookmarkEnd w:id="1"/>
            <w:r w:rsidRPr="009E32FC">
              <w:rPr>
                <w:spacing w:val="-10"/>
                <w:sz w:val="23"/>
                <w:szCs w:val="23"/>
              </w:rPr>
              <w:t>на 2026 рік складає 1 420 000,00  грн.</w:t>
            </w:r>
          </w:p>
          <w:p w:rsidR="0065310A" w:rsidRPr="00C4192A" w:rsidRDefault="0065310A" w:rsidP="00810EFE">
            <w:pPr>
              <w:jc w:val="both"/>
              <w:rPr>
                <w:sz w:val="23"/>
                <w:szCs w:val="23"/>
              </w:rPr>
            </w:pPr>
          </w:p>
        </w:tc>
      </w:tr>
    </w:tbl>
    <w:p w:rsidR="00030843" w:rsidRPr="00F27860" w:rsidRDefault="00030843" w:rsidP="00C4192A">
      <w:pPr>
        <w:rPr>
          <w:sz w:val="26"/>
          <w:szCs w:val="26"/>
        </w:rPr>
      </w:pPr>
      <w:bookmarkStart w:id="2" w:name="n87"/>
      <w:bookmarkStart w:id="3" w:name="n88"/>
      <w:bookmarkStart w:id="4" w:name="n89"/>
      <w:bookmarkStart w:id="5" w:name="n90"/>
      <w:bookmarkStart w:id="6" w:name="n91"/>
      <w:bookmarkStart w:id="7" w:name="n92"/>
      <w:bookmarkStart w:id="8" w:name="n101"/>
      <w:bookmarkStart w:id="9" w:name="n102"/>
      <w:bookmarkStart w:id="10" w:name="n103"/>
      <w:bookmarkStart w:id="11" w:name="n104"/>
      <w:bookmarkStart w:id="12" w:name="n105"/>
      <w:bookmarkStart w:id="13" w:name="n106"/>
      <w:bookmarkStart w:id="14" w:name="n115"/>
      <w:bookmarkStart w:id="15" w:name="n116"/>
      <w:bookmarkStart w:id="16" w:name="n117"/>
      <w:bookmarkStart w:id="17" w:name="n118"/>
      <w:bookmarkStart w:id="18" w:name="n119"/>
      <w:bookmarkStart w:id="19" w:name="n120"/>
      <w:bookmarkStart w:id="20" w:name="n121"/>
      <w:bookmarkStart w:id="21" w:name="n1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sectPr w:rsidR="00030843" w:rsidRPr="00F27860" w:rsidSect="00C4192A">
      <w:pgSz w:w="11906" w:h="16838" w:code="9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64F"/>
    <w:multiLevelType w:val="hybridMultilevel"/>
    <w:tmpl w:val="497811E2"/>
    <w:lvl w:ilvl="0" w:tplc="2470266C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7AD1"/>
    <w:rsid w:val="00030843"/>
    <w:rsid w:val="00031061"/>
    <w:rsid w:val="00140E55"/>
    <w:rsid w:val="00152F12"/>
    <w:rsid w:val="00220017"/>
    <w:rsid w:val="002E606F"/>
    <w:rsid w:val="003B41C5"/>
    <w:rsid w:val="00424EEB"/>
    <w:rsid w:val="004756A0"/>
    <w:rsid w:val="00497AD1"/>
    <w:rsid w:val="004F7C31"/>
    <w:rsid w:val="005B029E"/>
    <w:rsid w:val="006529BB"/>
    <w:rsid w:val="0065310A"/>
    <w:rsid w:val="00667494"/>
    <w:rsid w:val="007A4632"/>
    <w:rsid w:val="007B33CF"/>
    <w:rsid w:val="007F4CEB"/>
    <w:rsid w:val="00810EFE"/>
    <w:rsid w:val="00860228"/>
    <w:rsid w:val="00987B34"/>
    <w:rsid w:val="009E32FC"/>
    <w:rsid w:val="00A362C4"/>
    <w:rsid w:val="00A40C4F"/>
    <w:rsid w:val="00A65D35"/>
    <w:rsid w:val="00AB63D2"/>
    <w:rsid w:val="00B24514"/>
    <w:rsid w:val="00BE12F8"/>
    <w:rsid w:val="00C4192A"/>
    <w:rsid w:val="00D005C0"/>
    <w:rsid w:val="00D9086C"/>
    <w:rsid w:val="00E56345"/>
    <w:rsid w:val="00E64F6F"/>
    <w:rsid w:val="00EA02BA"/>
    <w:rsid w:val="00EF00A9"/>
    <w:rsid w:val="00F27860"/>
    <w:rsid w:val="00FB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81F6"/>
  <w15:docId w15:val="{46DA28EF-EEFA-41FC-9F5C-8F05E29B8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B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3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4EEB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24EE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6">
    <w:name w:val="Знак Знак"/>
    <w:basedOn w:val="a"/>
    <w:rsid w:val="00140E55"/>
    <w:rPr>
      <w:rFonts w:ascii="Verdana" w:hAnsi="Verdana" w:cs="Verdana"/>
      <w:sz w:val="20"/>
      <w:szCs w:val="20"/>
      <w:lang w:val="en-US" w:eastAsia="en-US"/>
    </w:rPr>
  </w:style>
  <w:style w:type="paragraph" w:customStyle="1" w:styleId="rvps12">
    <w:name w:val="rvps12"/>
    <w:basedOn w:val="a"/>
    <w:rsid w:val="00810EFE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1E6C7-DD62-4A21-B226-3508B40D7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ПАХОМОВА ТАМАРА МИКОЛАЇВНА</cp:lastModifiedBy>
  <cp:revision>30</cp:revision>
  <cp:lastPrinted>2025-01-30T09:19:00Z</cp:lastPrinted>
  <dcterms:created xsi:type="dcterms:W3CDTF">2024-03-12T09:33:00Z</dcterms:created>
  <dcterms:modified xsi:type="dcterms:W3CDTF">2026-07-14T08:38:00Z</dcterms:modified>
</cp:coreProperties>
</file>