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XSpec="right" w:tblpY="-178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8"/>
      </w:tblGrid>
      <w:tr w:rsidR="00EB53F2" w:rsidRPr="008964F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EB53F2" w:rsidRPr="008964FA" w:rsidRDefault="00EB53F2" w:rsidP="008B6820">
            <w:pPr>
              <w:pStyle w:val="a4"/>
              <w:rPr>
                <w:sz w:val="20"/>
                <w:szCs w:val="20"/>
                <w:lang w:val="uk-UA"/>
              </w:rPr>
            </w:pPr>
            <w:r w:rsidRPr="008964FA">
              <w:rPr>
                <w:color w:val="000000"/>
                <w:sz w:val="20"/>
                <w:szCs w:val="20"/>
                <w:lang w:val="uk-UA"/>
              </w:rPr>
              <w:t xml:space="preserve">Додаток </w:t>
            </w:r>
            <w:r w:rsidR="009E25AF">
              <w:rPr>
                <w:color w:val="000000"/>
                <w:sz w:val="20"/>
                <w:szCs w:val="20"/>
                <w:lang w:val="uk-UA"/>
              </w:rPr>
              <w:t>ІВ</w:t>
            </w:r>
            <w:r w:rsidRPr="008964FA">
              <w:rPr>
                <w:color w:val="000000"/>
                <w:sz w:val="20"/>
                <w:szCs w:val="20"/>
                <w:lang w:val="uk-UA"/>
              </w:rPr>
              <w:br/>
              <w:t>до рядка 06.</w:t>
            </w:r>
            <w:r w:rsidR="008B6820">
              <w:rPr>
                <w:color w:val="000000"/>
                <w:sz w:val="20"/>
                <w:szCs w:val="20"/>
                <w:lang w:val="uk-UA"/>
              </w:rPr>
              <w:t>4</w:t>
            </w:r>
            <w:r w:rsidRPr="008964FA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058CE" w:rsidRPr="008964FA">
              <w:rPr>
                <w:color w:val="000000"/>
                <w:sz w:val="20"/>
                <w:szCs w:val="20"/>
                <w:lang w:val="uk-UA"/>
              </w:rPr>
              <w:t>П</w:t>
            </w:r>
            <w:r w:rsidRPr="008964FA">
              <w:rPr>
                <w:color w:val="000000"/>
                <w:sz w:val="20"/>
                <w:szCs w:val="20"/>
                <w:lang w:val="uk-UA"/>
              </w:rPr>
              <w:t>одаткової декларації </w:t>
            </w:r>
            <w:r w:rsidR="008964FA" w:rsidRPr="008964FA">
              <w:rPr>
                <w:sz w:val="20"/>
                <w:szCs w:val="20"/>
                <w:lang w:val="uk-UA"/>
              </w:rPr>
              <w:t xml:space="preserve"> про результати спільної діяльності на території України без створення юридичної особи</w:t>
            </w:r>
          </w:p>
        </w:tc>
      </w:tr>
    </w:tbl>
    <w:tbl>
      <w:tblPr>
        <w:tblpPr w:leftFromText="180" w:rightFromText="180" w:vertAnchor="text" w:horzAnchor="margin" w:tblpY="-178"/>
        <w:tblW w:w="175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1521"/>
      </w:tblGrid>
      <w:tr w:rsidR="000B5597" w:rsidRPr="00867792">
        <w:trPr>
          <w:trHeight w:val="262"/>
        </w:trPr>
        <w:tc>
          <w:tcPr>
            <w:tcW w:w="236" w:type="dxa"/>
          </w:tcPr>
          <w:p w:rsidR="000B5597" w:rsidRPr="008964FA" w:rsidRDefault="000B5597" w:rsidP="00867792"/>
        </w:tc>
        <w:tc>
          <w:tcPr>
            <w:tcW w:w="1521" w:type="dxa"/>
          </w:tcPr>
          <w:p w:rsidR="000B5597" w:rsidRPr="00867792" w:rsidRDefault="000B5597" w:rsidP="00867792">
            <w:pPr>
              <w:rPr>
                <w:sz w:val="20"/>
                <w:szCs w:val="20"/>
              </w:rPr>
            </w:pPr>
            <w:r w:rsidRPr="00867792">
              <w:rPr>
                <w:sz w:val="20"/>
                <w:szCs w:val="20"/>
              </w:rPr>
              <w:t>Звітна</w:t>
            </w:r>
          </w:p>
        </w:tc>
      </w:tr>
      <w:tr w:rsidR="000B5597" w:rsidRPr="00867792">
        <w:trPr>
          <w:trHeight w:val="262"/>
        </w:trPr>
        <w:tc>
          <w:tcPr>
            <w:tcW w:w="236" w:type="dxa"/>
          </w:tcPr>
          <w:p w:rsidR="000B5597" w:rsidRPr="008964FA" w:rsidRDefault="000B5597" w:rsidP="00867792"/>
        </w:tc>
        <w:tc>
          <w:tcPr>
            <w:tcW w:w="1521" w:type="dxa"/>
          </w:tcPr>
          <w:p w:rsidR="000B5597" w:rsidRPr="00867792" w:rsidRDefault="000B5597" w:rsidP="00867792">
            <w:pPr>
              <w:rPr>
                <w:sz w:val="20"/>
                <w:szCs w:val="20"/>
              </w:rPr>
            </w:pPr>
            <w:r w:rsidRPr="00867792">
              <w:rPr>
                <w:sz w:val="20"/>
                <w:szCs w:val="20"/>
              </w:rPr>
              <w:t>Звітна нова</w:t>
            </w:r>
          </w:p>
        </w:tc>
      </w:tr>
      <w:tr w:rsidR="000B5597" w:rsidRPr="00867792">
        <w:trPr>
          <w:trHeight w:val="70"/>
        </w:trPr>
        <w:tc>
          <w:tcPr>
            <w:tcW w:w="236" w:type="dxa"/>
          </w:tcPr>
          <w:p w:rsidR="000B5597" w:rsidRPr="008964FA" w:rsidRDefault="000B5597" w:rsidP="00867792"/>
        </w:tc>
        <w:tc>
          <w:tcPr>
            <w:tcW w:w="1521" w:type="dxa"/>
          </w:tcPr>
          <w:p w:rsidR="000B5597" w:rsidRPr="00867792" w:rsidRDefault="000B5597" w:rsidP="00867792">
            <w:pPr>
              <w:rPr>
                <w:sz w:val="20"/>
                <w:szCs w:val="20"/>
              </w:rPr>
            </w:pPr>
            <w:r w:rsidRPr="00867792">
              <w:rPr>
                <w:sz w:val="20"/>
                <w:szCs w:val="20"/>
              </w:rPr>
              <w:t>Уточнююча</w:t>
            </w:r>
          </w:p>
        </w:tc>
      </w:tr>
    </w:tbl>
    <w:p w:rsidR="00EB53F2" w:rsidRPr="008964FA" w:rsidRDefault="00EB53F2" w:rsidP="00EB53F2">
      <w:pPr>
        <w:pStyle w:val="2"/>
        <w:spacing w:after="0" w:line="240" w:lineRule="auto"/>
        <w:ind w:right="-5"/>
        <w:jc w:val="both"/>
      </w:pPr>
    </w:p>
    <w:p w:rsidR="000B5597" w:rsidRPr="008964FA" w:rsidRDefault="000B5597" w:rsidP="00EB53F2">
      <w:pPr>
        <w:pStyle w:val="2"/>
        <w:spacing w:after="0" w:line="240" w:lineRule="auto"/>
        <w:ind w:right="-5"/>
        <w:jc w:val="both"/>
      </w:pPr>
    </w:p>
    <w:p w:rsidR="00765E0E" w:rsidRDefault="00765E0E" w:rsidP="00EB53F2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D3F1E" w:rsidRPr="00CC71D4">
        <w:trPr>
          <w:cantSplit/>
          <w:trHeight w:val="160"/>
        </w:trPr>
        <w:tc>
          <w:tcPr>
            <w:tcW w:w="33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F1E" w:rsidRPr="00CC71D4" w:rsidRDefault="002D3F1E" w:rsidP="00060510">
            <w:pPr>
              <w:spacing w:before="120"/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Податковий номер</w:t>
            </w:r>
          </w:p>
        </w:tc>
      </w:tr>
      <w:tr w:rsidR="002D3F1E" w:rsidRPr="00CC71D4">
        <w:trPr>
          <w:cantSplit/>
          <w:trHeight w:val="27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F1E" w:rsidRPr="00CC71D4" w:rsidRDefault="002D3F1E" w:rsidP="00B54975"/>
        </w:tc>
      </w:tr>
    </w:tbl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2D3F1E" w:rsidRPr="00CC71D4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F1E" w:rsidRPr="00CC71D4" w:rsidRDefault="002D3F1E" w:rsidP="0006051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Звітний</w:t>
            </w:r>
            <w:r w:rsidR="00060510" w:rsidRPr="00CC71D4">
              <w:rPr>
                <w:sz w:val="18"/>
                <w:szCs w:val="18"/>
                <w:lang w:val="en-US"/>
              </w:rPr>
              <w:t xml:space="preserve"> (податковий)</w:t>
            </w:r>
            <w:r w:rsidR="00B21984" w:rsidRPr="00CC71D4">
              <w:rPr>
                <w:sz w:val="18"/>
                <w:szCs w:val="18"/>
              </w:rPr>
              <w:t xml:space="preserve"> період </w:t>
            </w:r>
            <w:r w:rsidR="00060510" w:rsidRPr="00CC71D4">
              <w:rPr>
                <w:sz w:val="18"/>
                <w:szCs w:val="18"/>
                <w:lang w:val="ru-RU"/>
              </w:rPr>
              <w:t>____</w:t>
            </w:r>
            <w:r w:rsidRPr="00CC71D4">
              <w:rPr>
                <w:sz w:val="18"/>
                <w:szCs w:val="18"/>
                <w:lang w:val="ru-RU"/>
              </w:rPr>
              <w:t>_</w:t>
            </w:r>
            <w:r w:rsidRPr="00CC71D4">
              <w:rPr>
                <w:sz w:val="18"/>
                <w:szCs w:val="18"/>
              </w:rPr>
              <w:t xml:space="preserve"> року</w:t>
            </w:r>
          </w:p>
          <w:p w:rsidR="00B3470B" w:rsidRPr="00CC71D4" w:rsidRDefault="00B3470B" w:rsidP="0006051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46D9" w:rsidRPr="00CC71D4" w:rsidTr="00B3470B">
        <w:trPr>
          <w:cantSplit/>
          <w:trHeight w:val="27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D9" w:rsidRPr="00CC71D4" w:rsidRDefault="005246D9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D9" w:rsidRPr="00CC71D4" w:rsidRDefault="005246D9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  <w:lang w:val="en-US"/>
              </w:rPr>
              <w:t>Рік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1</w:t>
            </w:r>
          </w:p>
        </w:tc>
      </w:tr>
      <w:tr w:rsidR="002D3F1E" w:rsidRPr="00CC71D4" w:rsidTr="005246D9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І квартал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Півріччя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Три квартали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Рік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2D3F1E" w:rsidRPr="00CC71D4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ІІ квартал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II - III квартали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4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1E" w:rsidRPr="00CC71D4" w:rsidRDefault="002D3F1E" w:rsidP="00B5233D">
            <w:pPr>
              <w:jc w:val="center"/>
              <w:rPr>
                <w:sz w:val="18"/>
                <w:szCs w:val="18"/>
                <w:lang w:val="en-US"/>
              </w:rPr>
            </w:pPr>
            <w:r w:rsidRPr="00CC71D4">
              <w:rPr>
                <w:sz w:val="18"/>
                <w:szCs w:val="18"/>
              </w:rPr>
              <w:t>II - IV квартали</w:t>
            </w:r>
            <w:r w:rsidR="00B5233D" w:rsidRPr="00CC71D4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</w:tbl>
    <w:p w:rsidR="004A6F76" w:rsidRPr="00CC71D4" w:rsidRDefault="004A6F76" w:rsidP="00445D0A">
      <w:pPr>
        <w:pStyle w:val="2"/>
        <w:spacing w:after="0" w:line="240" w:lineRule="auto"/>
        <w:ind w:left="1260" w:right="-5" w:hanging="1260"/>
        <w:jc w:val="center"/>
        <w:rPr>
          <w:b/>
          <w:color w:val="000000"/>
          <w:sz w:val="24"/>
          <w:lang w:val="en-US"/>
        </w:rPr>
      </w:pPr>
    </w:p>
    <w:p w:rsidR="00F32896" w:rsidRPr="00CC71D4" w:rsidRDefault="00F32896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p w:rsidR="00F32896" w:rsidRPr="00CC71D4" w:rsidRDefault="00F32896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p w:rsidR="00396445" w:rsidRPr="00CC71D4" w:rsidRDefault="00396445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p w:rsidR="00445D0A" w:rsidRPr="00CC71D4" w:rsidRDefault="00445D0A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  <w:r w:rsidRPr="00CC71D4">
        <w:rPr>
          <w:b/>
          <w:sz w:val="22"/>
          <w:szCs w:val="22"/>
        </w:rPr>
        <w:t>Інші витрати звичайної діяльності</w:t>
      </w:r>
      <w:r w:rsidR="00157993" w:rsidRPr="00CC71D4">
        <w:rPr>
          <w:b/>
          <w:sz w:val="22"/>
          <w:szCs w:val="22"/>
        </w:rPr>
        <w:t xml:space="preserve"> та інші операційні витрати</w:t>
      </w:r>
    </w:p>
    <w:p w:rsidR="00E53D61" w:rsidRPr="00CC71D4" w:rsidRDefault="00E53D61" w:rsidP="00445D0A">
      <w:pPr>
        <w:pStyle w:val="2"/>
        <w:spacing w:after="0" w:line="240" w:lineRule="auto"/>
        <w:ind w:left="1260" w:right="-5" w:hanging="1260"/>
        <w:jc w:val="center"/>
        <w:rPr>
          <w:b/>
          <w:sz w:val="22"/>
          <w:szCs w:val="22"/>
        </w:rPr>
      </w:pPr>
    </w:p>
    <w:tbl>
      <w:tblPr>
        <w:tblW w:w="10728" w:type="dxa"/>
        <w:tblInd w:w="-432" w:type="dxa"/>
        <w:tblLayout w:type="fixed"/>
        <w:tblLook w:val="0000"/>
      </w:tblPr>
      <w:tblGrid>
        <w:gridCol w:w="8460"/>
        <w:gridCol w:w="1260"/>
        <w:gridCol w:w="1008"/>
      </w:tblGrid>
      <w:tr w:rsidR="00445D0A" w:rsidRPr="00CC71D4">
        <w:trPr>
          <w:trHeight w:val="27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center"/>
              <w:rPr>
                <w:color w:val="000000"/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Код</w:t>
            </w:r>
          </w:p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 xml:space="preserve"> рядка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</w:t>
            </w:r>
            <w:r w:rsidR="007350F0" w:rsidRPr="00CC71D4">
              <w:rPr>
                <w:sz w:val="20"/>
                <w:szCs w:val="20"/>
              </w:rPr>
              <w:t>, грн</w:t>
            </w:r>
          </w:p>
        </w:tc>
      </w:tr>
      <w:tr w:rsidR="00445D0A" w:rsidRPr="00CC71D4">
        <w:trPr>
          <w:trHeight w:val="13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color w:val="000000"/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center"/>
              <w:rPr>
                <w:color w:val="000000"/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3</w:t>
            </w:r>
          </w:p>
        </w:tc>
      </w:tr>
      <w:tr w:rsidR="00445D0A" w:rsidRPr="00CC71D4">
        <w:trPr>
          <w:trHeight w:val="27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Інші витрати звичайної діяльності</w:t>
            </w:r>
            <w:r w:rsidR="00157993" w:rsidRPr="00CC71D4">
              <w:rPr>
                <w:sz w:val="20"/>
                <w:szCs w:val="20"/>
              </w:rPr>
              <w:t xml:space="preserve"> та інші операційні витрати</w:t>
            </w:r>
            <w:r w:rsidRPr="00CC71D4">
              <w:rPr>
                <w:sz w:val="20"/>
                <w:szCs w:val="20"/>
              </w:rPr>
              <w:t xml:space="preserve"> </w:t>
            </w:r>
            <w:r w:rsidR="003747C3" w:rsidRPr="00CC71D4">
              <w:rPr>
                <w:sz w:val="20"/>
                <w:szCs w:val="20"/>
              </w:rPr>
              <w:t xml:space="preserve">    </w:t>
            </w:r>
            <w:r w:rsidR="00A757E2" w:rsidRPr="00CC71D4">
              <w:rPr>
                <w:sz w:val="20"/>
                <w:szCs w:val="20"/>
              </w:rPr>
              <w:t xml:space="preserve"> </w:t>
            </w:r>
            <w:r w:rsidRPr="00CC71D4">
              <w:rPr>
                <w:sz w:val="20"/>
                <w:szCs w:val="20"/>
              </w:rPr>
              <w:t>(сума рядків 06.</w:t>
            </w:r>
            <w:r w:rsidR="00282A81" w:rsidRPr="00CC71D4">
              <w:rPr>
                <w:sz w:val="20"/>
                <w:szCs w:val="20"/>
              </w:rPr>
              <w:t>4</w:t>
            </w:r>
            <w:r w:rsidRPr="00CC71D4">
              <w:rPr>
                <w:sz w:val="20"/>
                <w:szCs w:val="20"/>
              </w:rPr>
              <w:t xml:space="preserve">.1 </w:t>
            </w:r>
            <w:r w:rsidR="008964FA" w:rsidRPr="00CC71D4">
              <w:rPr>
                <w:sz w:val="20"/>
                <w:szCs w:val="20"/>
              </w:rPr>
              <w:t xml:space="preserve">– </w:t>
            </w: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891369" w:rsidRPr="00CC71D4">
              <w:rPr>
                <w:sz w:val="20"/>
                <w:szCs w:val="20"/>
              </w:rPr>
              <w:t>27</w:t>
            </w:r>
            <w:r w:rsidRPr="00CC71D4"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8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8D525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платника податку, пов'язані з утриманням та експлуатацією фондів природоохоронного призначення, які перебувають у його власності; витрати на самостійне зберігання, переробку, зах</w:t>
            </w:r>
            <w:r w:rsidR="008D525A" w:rsidRPr="00CC71D4">
              <w:rPr>
                <w:sz w:val="20"/>
                <w:szCs w:val="20"/>
              </w:rPr>
              <w:t xml:space="preserve">оронення або придбання послуг зі </w:t>
            </w:r>
            <w:r w:rsidRPr="00CC71D4">
              <w:rPr>
                <w:sz w:val="20"/>
                <w:szCs w:val="20"/>
              </w:rPr>
              <w:t>збирання, зберігання, перевезення, знешкодження, видалення і захоронення відходів від виробничої діяльності платника податку, що надаються сторонніми організаціями, з очищення стічних вод; інші витрати на збереження екологічних систем, які перебувають під негативним впливом господарської діяльності платника податку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CB6855" w:rsidRPr="00CC71D4" w:rsidRDefault="00CB6855" w:rsidP="00445D0A">
            <w:pPr>
              <w:jc w:val="center"/>
              <w:rPr>
                <w:sz w:val="20"/>
                <w:szCs w:val="20"/>
              </w:rPr>
            </w:pPr>
          </w:p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D700F5" w:rsidRPr="00CC71D4">
              <w:rPr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2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Від’ємне значення курсових різниць згідно зі статтею 153 </w:t>
            </w:r>
            <w:r w:rsidR="008964FA" w:rsidRPr="00CC71D4">
              <w:rPr>
                <w:sz w:val="20"/>
                <w:szCs w:val="20"/>
              </w:rPr>
              <w:t xml:space="preserve">розділу ІІІ </w:t>
            </w:r>
            <w:r w:rsidRPr="00CC71D4">
              <w:rPr>
                <w:sz w:val="20"/>
                <w:szCs w:val="20"/>
              </w:rPr>
              <w:t>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5D0A">
            <w:pPr>
              <w:jc w:val="center"/>
              <w:rPr>
                <w:sz w:val="20"/>
                <w:szCs w:val="20"/>
              </w:rPr>
            </w:pPr>
          </w:p>
          <w:p w:rsidR="00445D0A" w:rsidRPr="00CC71D4" w:rsidRDefault="00445D0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425269" w:rsidRPr="00CC71D4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Витрати, визначені відповідно до статті 146 </w:t>
            </w:r>
            <w:r w:rsidR="00CD0149" w:rsidRPr="00CC71D4">
              <w:rPr>
                <w:sz w:val="20"/>
                <w:szCs w:val="20"/>
              </w:rPr>
              <w:t xml:space="preserve">розділу ІІІ </w:t>
            </w:r>
            <w:r w:rsidRPr="00CC71D4">
              <w:rPr>
                <w:sz w:val="20"/>
                <w:szCs w:val="20"/>
              </w:rPr>
              <w:t>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B07C04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E55E9D" w:rsidRPr="00CC71D4">
              <w:rPr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 за операціями з борговими </w:t>
            </w:r>
            <w:r w:rsidR="008964FA" w:rsidRPr="00CC71D4">
              <w:rPr>
                <w:sz w:val="20"/>
                <w:szCs w:val="20"/>
              </w:rPr>
              <w:t xml:space="preserve">вимогами </w:t>
            </w:r>
            <w:r w:rsidRPr="00CC71D4">
              <w:rPr>
                <w:sz w:val="20"/>
                <w:szCs w:val="20"/>
              </w:rPr>
              <w:t xml:space="preserve">та </w:t>
            </w:r>
            <w:r w:rsidR="008964FA" w:rsidRPr="00CC71D4">
              <w:rPr>
                <w:sz w:val="20"/>
                <w:szCs w:val="20"/>
              </w:rPr>
              <w:t>зобов’язаннями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B07C04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425269" w:rsidRPr="00CC71D4">
              <w:rPr>
                <w:sz w:val="20"/>
                <w:szCs w:val="20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445D0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на операції оренди/лізингу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B07C04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="0065514F" w:rsidRPr="00CC71D4">
              <w:rPr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0A" w:rsidRPr="00CC71D4" w:rsidRDefault="00445D0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понесені при першому відступленні права вимоги відповідно до пункту 153.5 статті 153 розділу ІІІ 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5D0A">
            <w:pPr>
              <w:jc w:val="center"/>
              <w:rPr>
                <w:sz w:val="20"/>
                <w:szCs w:val="20"/>
              </w:rPr>
            </w:pPr>
          </w:p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пов’язані з довготривалим (більше 1 року) технологічним циклом виробництва відповідно до пункту 138.2 статті 138 розділу ІІІ 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93572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964FA" w:rsidRPr="00CC71D4" w:rsidRDefault="008964FA" w:rsidP="0093572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2C7F8B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Суми врегул</w:t>
            </w:r>
            <w:r w:rsidR="003747C3" w:rsidRPr="00CC71D4">
              <w:rPr>
                <w:sz w:val="20"/>
                <w:szCs w:val="20"/>
              </w:rPr>
              <w:t>ювання сумнівної  та безнадійної</w:t>
            </w:r>
            <w:r w:rsidRPr="00CC71D4">
              <w:rPr>
                <w:sz w:val="20"/>
                <w:szCs w:val="20"/>
              </w:rPr>
              <w:t xml:space="preserve"> заборгованості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.8 СБ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2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Перерахунок витрат у разі зміни суми компенсації вартості товарів (робіт, послуг)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25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Перерахунок витрат у разі визнання правочину недійсним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8964FA" w:rsidRPr="00CC71D4">
        <w:trPr>
          <w:trHeight w:val="23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A" w:rsidRPr="00CC71D4" w:rsidRDefault="008964FA" w:rsidP="00704C4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Амортизація тимчасової податкової різниці, яка виникла за результатами інвентаризації основних засобів станом на 01</w:t>
            </w:r>
            <w:r w:rsidR="00704C40" w:rsidRPr="00CC71D4">
              <w:rPr>
                <w:sz w:val="20"/>
                <w:szCs w:val="20"/>
                <w:lang w:val="ru-RU"/>
              </w:rPr>
              <w:t xml:space="preserve"> квітня</w:t>
            </w:r>
            <w:r w:rsidR="00704C40" w:rsidRPr="00CC71D4">
              <w:rPr>
                <w:sz w:val="20"/>
                <w:szCs w:val="20"/>
              </w:rPr>
              <w:t xml:space="preserve"> </w:t>
            </w:r>
            <w:r w:rsidRPr="00CC71D4">
              <w:rPr>
                <w:sz w:val="20"/>
                <w:szCs w:val="20"/>
              </w:rPr>
              <w:t>2011</w:t>
            </w:r>
            <w:r w:rsidR="00704C40" w:rsidRPr="00CC71D4">
              <w:rPr>
                <w:sz w:val="20"/>
                <w:szCs w:val="20"/>
              </w:rPr>
              <w:t xml:space="preserve">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5D0A">
            <w:pPr>
              <w:jc w:val="center"/>
              <w:rPr>
                <w:sz w:val="20"/>
                <w:szCs w:val="20"/>
              </w:rPr>
            </w:pPr>
          </w:p>
          <w:p w:rsidR="008964FA" w:rsidRPr="00CC71D4" w:rsidRDefault="008964FA" w:rsidP="00445D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.11 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4FA" w:rsidRPr="00CC71D4" w:rsidRDefault="008964FA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3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8D525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 на придбання послуг (робіт) з інжинірингу, </w:t>
            </w:r>
            <w:r w:rsidR="008D525A" w:rsidRPr="00CC71D4">
              <w:rPr>
                <w:sz w:val="20"/>
                <w:szCs w:val="20"/>
              </w:rPr>
              <w:t>у</w:t>
            </w:r>
            <w:r w:rsidRPr="00CC71D4">
              <w:rPr>
                <w:sz w:val="20"/>
                <w:szCs w:val="20"/>
              </w:rPr>
              <w:t xml:space="preserve">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 xml:space="preserve">.12 </w:t>
            </w:r>
            <w:r w:rsidRPr="00CC71D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5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E733BD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понесен</w:t>
            </w:r>
            <w:r w:rsidR="00F07313" w:rsidRPr="00CC71D4">
              <w:rPr>
                <w:sz w:val="20"/>
                <w:szCs w:val="20"/>
              </w:rPr>
              <w:t>і (нараховані) у зв’язку із придбанням у нерезидента послуг (робіт) з інжиніри</w:t>
            </w:r>
            <w:r w:rsidR="003747C3" w:rsidRPr="00CC71D4">
              <w:rPr>
                <w:sz w:val="20"/>
                <w:szCs w:val="20"/>
              </w:rPr>
              <w:t>нгу в обсязі, що не перевищує 5 відсотків</w:t>
            </w:r>
            <w:r w:rsidR="00F07313" w:rsidRPr="00CC71D4">
              <w:rPr>
                <w:sz w:val="20"/>
                <w:szCs w:val="20"/>
              </w:rPr>
              <w:t xml:space="preserve"> митної вартості обладнання, імпортованого згідно з відповідним контрактом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5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00757F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Нараховані роялті, </w:t>
            </w:r>
            <w:r w:rsidR="0000757F" w:rsidRPr="00CC71D4">
              <w:rPr>
                <w:sz w:val="20"/>
                <w:szCs w:val="20"/>
                <w:lang w:val="ru-RU"/>
              </w:rPr>
              <w:t>у</w:t>
            </w:r>
            <w:r w:rsidRPr="00CC71D4">
              <w:rPr>
                <w:sz w:val="20"/>
                <w:szCs w:val="20"/>
              </w:rPr>
              <w:t xml:space="preserve"> тому числі: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5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8B682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роялті, нараховані на користь нерезидента в обсязі, що не пер</w:t>
            </w:r>
            <w:r w:rsidR="003747C3" w:rsidRPr="00CC71D4">
              <w:rPr>
                <w:sz w:val="20"/>
                <w:szCs w:val="20"/>
              </w:rPr>
              <w:t>евищує 4 відсотк</w:t>
            </w:r>
            <w:r w:rsidR="008B6820" w:rsidRPr="00CC71D4">
              <w:rPr>
                <w:sz w:val="20"/>
                <w:szCs w:val="20"/>
              </w:rPr>
              <w:t>и</w:t>
            </w:r>
            <w:r w:rsidRPr="00CC71D4">
              <w:rPr>
                <w:sz w:val="20"/>
                <w:szCs w:val="20"/>
              </w:rPr>
              <w:t xml:space="preserve"> доходу (виручки) від реалізації продукції (товарів, робіт, послуг) за рік, що передує звітному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8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8B6820" w:rsidP="00445D0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на консалтинг, у</w:t>
            </w:r>
            <w:r w:rsidR="00F07313" w:rsidRPr="00CC71D4">
              <w:rPr>
                <w:sz w:val="20"/>
                <w:szCs w:val="20"/>
              </w:rPr>
              <w:t xml:space="preserve">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34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E733BD" w:rsidP="003747C3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витрати, понесен</w:t>
            </w:r>
            <w:r w:rsidR="00F07313" w:rsidRPr="00CC71D4">
              <w:rPr>
                <w:sz w:val="20"/>
                <w:szCs w:val="20"/>
              </w:rPr>
              <w:t>і (нараховані) у зв’язку із придбанням у нерезидента послуг (робіт) з консалтингу в обсязі, що не перевищує 4</w:t>
            </w:r>
            <w:r w:rsidR="008B6820" w:rsidRPr="00CC71D4">
              <w:rPr>
                <w:sz w:val="20"/>
                <w:szCs w:val="20"/>
              </w:rPr>
              <w:t xml:space="preserve"> відсотки</w:t>
            </w:r>
            <w:r w:rsidR="00F07313" w:rsidRPr="00CC71D4">
              <w:rPr>
                <w:sz w:val="20"/>
                <w:szCs w:val="20"/>
              </w:rPr>
              <w:t xml:space="preserve"> доходу (виручки) від реалізації продукції (товарів, робіт, послуг) за рік, що передує звітному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157BA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фактично повернутої поворотної фінансової допомоги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1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3747C3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Суми списаної безнадійної </w:t>
            </w:r>
            <w:r w:rsidR="003747C3" w:rsidRPr="00CC71D4">
              <w:rPr>
                <w:sz w:val="20"/>
                <w:szCs w:val="20"/>
              </w:rPr>
              <w:t>дебіторської</w:t>
            </w:r>
            <w:r w:rsidRPr="00CC71D4">
              <w:rPr>
                <w:sz w:val="20"/>
                <w:szCs w:val="20"/>
              </w:rPr>
              <w:t xml:space="preserve"> заборгованості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23AC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1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3747C3" w:rsidP="008B6820">
            <w:pPr>
              <w:jc w:val="both"/>
              <w:rPr>
                <w:sz w:val="20"/>
                <w:szCs w:val="20"/>
              </w:rPr>
            </w:pPr>
            <w:r w:rsidRPr="00CC71D4">
              <w:rPr>
                <w:color w:val="000000"/>
                <w:sz w:val="20"/>
                <w:szCs w:val="20"/>
              </w:rPr>
              <w:t xml:space="preserve">Частина витрат із загальної суми </w:t>
            </w:r>
            <w:r w:rsidR="008B6820" w:rsidRPr="00CC71D4">
              <w:rPr>
                <w:color w:val="000000"/>
                <w:sz w:val="20"/>
                <w:szCs w:val="20"/>
              </w:rPr>
              <w:t>85-</w:t>
            </w:r>
            <w:r w:rsidRPr="00CC71D4">
              <w:rPr>
                <w:color w:val="000000"/>
                <w:sz w:val="20"/>
                <w:szCs w:val="20"/>
              </w:rPr>
              <w:t xml:space="preserve">відсоткової вартості </w:t>
            </w:r>
            <w:r w:rsidR="00F07313" w:rsidRPr="00CC71D4">
              <w:rPr>
                <w:color w:val="000000"/>
                <w:sz w:val="20"/>
                <w:szCs w:val="20"/>
              </w:rPr>
              <w:t xml:space="preserve"> товарів (робіт, послуг), придбаних у нерезидентів</w:t>
            </w:r>
            <w:r w:rsidRPr="00CC71D4">
              <w:rPr>
                <w:color w:val="000000"/>
                <w:sz w:val="20"/>
                <w:szCs w:val="20"/>
              </w:rPr>
              <w:t>, що мають офшорний статус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F07313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="00282A81"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.1</w:t>
            </w:r>
            <w:r w:rsidRPr="00CC71D4">
              <w:rPr>
                <w:sz w:val="20"/>
                <w:szCs w:val="20"/>
                <w:lang w:val="en-US"/>
              </w:rPr>
              <w:t xml:space="preserve">7 </w:t>
            </w:r>
            <w:r w:rsidRPr="00CC71D4">
              <w:rPr>
                <w:sz w:val="20"/>
                <w:szCs w:val="20"/>
              </w:rPr>
              <w:t>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F07313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13" w:rsidRPr="00CC71D4" w:rsidRDefault="00F07313" w:rsidP="00BD1230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Витрати на інформаційне забезпечення господарської діяльності платника податку, </w:t>
            </w:r>
            <w:r w:rsidR="00BD1230" w:rsidRPr="00CC71D4">
              <w:rPr>
                <w:sz w:val="20"/>
                <w:szCs w:val="20"/>
              </w:rPr>
              <w:t>у</w:t>
            </w:r>
            <w:r w:rsidRPr="00CC71D4">
              <w:rPr>
                <w:sz w:val="20"/>
                <w:szCs w:val="20"/>
              </w:rPr>
              <w:t xml:space="preserve"> тому числі з питань законодавства, на придбання літератури, оплату </w:t>
            </w:r>
            <w:r w:rsidR="00BD1230" w:rsidRPr="00CC71D4">
              <w:rPr>
                <w:sz w:val="20"/>
                <w:szCs w:val="20"/>
              </w:rPr>
              <w:t>і</w:t>
            </w:r>
            <w:r w:rsidRPr="00CC71D4">
              <w:rPr>
                <w:sz w:val="20"/>
                <w:szCs w:val="20"/>
              </w:rPr>
              <w:t>нтернет-послуг і передплату спеціалізованих періодичних видань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DC1903" w:rsidRPr="00CC71D4" w:rsidRDefault="00DC1903" w:rsidP="004423AC">
            <w:pPr>
              <w:jc w:val="center"/>
              <w:rPr>
                <w:sz w:val="20"/>
                <w:szCs w:val="20"/>
              </w:rPr>
            </w:pPr>
          </w:p>
          <w:p w:rsidR="00F07313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F07313" w:rsidRPr="00CC71D4">
              <w:rPr>
                <w:sz w:val="20"/>
                <w:szCs w:val="20"/>
              </w:rPr>
              <w:t>.</w:t>
            </w:r>
            <w:r w:rsidR="00F07313" w:rsidRPr="00CC71D4">
              <w:rPr>
                <w:sz w:val="20"/>
                <w:szCs w:val="20"/>
                <w:lang w:val="en-US"/>
              </w:rPr>
              <w:t>1</w:t>
            </w:r>
            <w:r w:rsidR="00543DC7" w:rsidRPr="00CC71D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13" w:rsidRPr="00CC71D4" w:rsidRDefault="00F07313" w:rsidP="00445D0A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8B682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Суми коштів або вартість товарів, виконаних робіт, наданих послуг, добровільно перераховані (передані) протягом звітного року до Державного бюджету України або бюджетів місцевого самоврядування, до неприбуткових організацій у розмірі, що не перевищує 4</w:t>
            </w:r>
            <w:r w:rsidR="00E60700" w:rsidRPr="00CC71D4">
              <w:rPr>
                <w:sz w:val="20"/>
                <w:szCs w:val="20"/>
              </w:rPr>
              <w:t xml:space="preserve"> відсотк</w:t>
            </w:r>
            <w:r w:rsidR="008B6820" w:rsidRPr="00CC71D4">
              <w:rPr>
                <w:sz w:val="20"/>
                <w:szCs w:val="20"/>
              </w:rPr>
              <w:t>и</w:t>
            </w:r>
            <w:r w:rsidRPr="00CC71D4">
              <w:rPr>
                <w:sz w:val="20"/>
                <w:szCs w:val="20"/>
              </w:rPr>
              <w:t xml:space="preserve"> оподатковуваного прибутку попереднього звітного 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</w:t>
            </w:r>
            <w:r w:rsidR="00E43D5C" w:rsidRPr="00CC71D4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8A163B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Витрати на створення резерву сумнівної заборгованості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 w:rsidTr="00105313">
        <w:trPr>
          <w:trHeight w:val="9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13" w:rsidRPr="00CC71D4" w:rsidRDefault="006E08FF" w:rsidP="00105313">
            <w:pPr>
              <w:jc w:val="both"/>
              <w:rPr>
                <w:sz w:val="20"/>
                <w:szCs w:val="20"/>
                <w:lang w:val="ru-RU"/>
              </w:rPr>
            </w:pPr>
            <w:r w:rsidRPr="00CC71D4">
              <w:rPr>
                <w:sz w:val="20"/>
                <w:szCs w:val="20"/>
              </w:rPr>
              <w:lastRenderedPageBreak/>
              <w:t xml:space="preserve">Суми коштів або вартість майна, добровільно перераховані/передані для цільового використання з метою охорони культурної спадщини установам науки, освіти, культури, заповідникам, музеям, музеям-заповідникам у розмірі, що не перевищує 10 </w:t>
            </w:r>
            <w:r w:rsidR="00E60700" w:rsidRPr="00CC71D4">
              <w:rPr>
                <w:sz w:val="20"/>
                <w:szCs w:val="20"/>
              </w:rPr>
              <w:t xml:space="preserve">відсотків </w:t>
            </w:r>
            <w:r w:rsidRPr="00CC71D4">
              <w:rPr>
                <w:sz w:val="20"/>
                <w:szCs w:val="20"/>
              </w:rPr>
              <w:t>оподатковуваного прибутку за попередній звітний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 w:rsidTr="00105313">
        <w:trPr>
          <w:trHeight w:val="5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E60700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 xml:space="preserve">Суми коштів або вартість майна, добровільно перераховані/передані на користь резидентів для цільового використання з метою виробництва національних фільмів (у тому числі анімаційних) та аудіовізуальних творів, але не більше 10 </w:t>
            </w:r>
            <w:r w:rsidR="00E60700" w:rsidRPr="00CC71D4">
              <w:rPr>
                <w:sz w:val="20"/>
                <w:szCs w:val="20"/>
              </w:rPr>
              <w:t>відсотків</w:t>
            </w:r>
            <w:r w:rsidRPr="00CC71D4">
              <w:rPr>
                <w:sz w:val="20"/>
                <w:szCs w:val="20"/>
              </w:rPr>
              <w:t xml:space="preserve"> оподатковуваного прибутку за попередній податковий рік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E53D61" w:rsidRPr="00CC71D4" w:rsidRDefault="00E53D61" w:rsidP="004423AC">
            <w:pPr>
              <w:jc w:val="center"/>
              <w:rPr>
                <w:sz w:val="20"/>
                <w:szCs w:val="20"/>
              </w:rPr>
            </w:pPr>
          </w:p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08FF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FF" w:rsidRPr="00CC71D4" w:rsidRDefault="006E08FF" w:rsidP="008A163B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витрат на ремонт та поліпшення необоротних активів, що надані в оперативну оренду відповідно до пункту 146.12 статті 146 розділу ІІІ Податкового кодексу України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6E2363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F" w:rsidRPr="00CC71D4" w:rsidRDefault="006E08FF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6E2363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63" w:rsidRPr="00CC71D4" w:rsidRDefault="006E2363" w:rsidP="008A163B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Суми нарахованих податків та зборів, установлених Податковим кодексом України, а також інших обов'язкових платежів, встановлених законодавчими актами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3" w:rsidRPr="00CC71D4" w:rsidRDefault="00282A81" w:rsidP="004423AC">
            <w:pPr>
              <w:jc w:val="center"/>
              <w:rPr>
                <w:sz w:val="20"/>
                <w:szCs w:val="20"/>
                <w:lang w:val="en-US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="00E43D5C" w:rsidRPr="00CC71D4">
              <w:rPr>
                <w:sz w:val="20"/>
                <w:szCs w:val="20"/>
              </w:rPr>
              <w:t>.2</w:t>
            </w:r>
            <w:r w:rsidR="00E43D5C" w:rsidRPr="00CC71D4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63" w:rsidRPr="00CC71D4" w:rsidRDefault="006E2363" w:rsidP="004423AC">
            <w:pPr>
              <w:jc w:val="both"/>
              <w:rPr>
                <w:sz w:val="20"/>
                <w:szCs w:val="20"/>
              </w:rPr>
            </w:pPr>
          </w:p>
        </w:tc>
      </w:tr>
      <w:tr w:rsidR="00380BF5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5" w:rsidRPr="00CC71D4" w:rsidRDefault="00380BF5" w:rsidP="0068392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самостійного коригування відповідно до статті 39 Податкового кодексу України 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380BF5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06.4.</w:t>
            </w:r>
            <w:r w:rsidRPr="00CC71D4">
              <w:rPr>
                <w:sz w:val="20"/>
                <w:szCs w:val="20"/>
                <w:lang w:val="en-US"/>
              </w:rPr>
              <w:t>25</w:t>
            </w:r>
            <w:r w:rsidRPr="00CC71D4">
              <w:rPr>
                <w:sz w:val="20"/>
                <w:szCs w:val="20"/>
              </w:rPr>
              <w:t xml:space="preserve"> ТЦ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0A3256">
            <w:pPr>
              <w:jc w:val="both"/>
              <w:rPr>
                <w:sz w:val="20"/>
                <w:szCs w:val="20"/>
              </w:rPr>
            </w:pPr>
          </w:p>
        </w:tc>
      </w:tr>
      <w:tr w:rsidR="00380BF5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5" w:rsidRPr="00CC71D4" w:rsidRDefault="00380BF5" w:rsidP="0068392A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Сума п</w:t>
            </w:r>
            <w:r w:rsidR="00C15C51" w:rsidRPr="00CC71D4">
              <w:rPr>
                <w:sz w:val="20"/>
                <w:szCs w:val="20"/>
              </w:rPr>
              <w:t xml:space="preserve">ропорційного та/або зворотного </w:t>
            </w:r>
            <w:r w:rsidRPr="00CC71D4">
              <w:rPr>
                <w:sz w:val="20"/>
                <w:szCs w:val="20"/>
              </w:rPr>
              <w:t>коригування відповідно до статті 39 Податкового кодексу України (+,-)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380BF5">
            <w:pPr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06.4.</w:t>
            </w:r>
            <w:r w:rsidRPr="00CC71D4">
              <w:rPr>
                <w:sz w:val="20"/>
                <w:szCs w:val="20"/>
                <w:lang w:val="en-US"/>
              </w:rPr>
              <w:t>26</w:t>
            </w:r>
            <w:r w:rsidRPr="00CC71D4">
              <w:rPr>
                <w:sz w:val="20"/>
                <w:szCs w:val="20"/>
              </w:rPr>
              <w:t xml:space="preserve"> ТЦ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0A3256">
            <w:pPr>
              <w:jc w:val="both"/>
              <w:rPr>
                <w:sz w:val="20"/>
                <w:szCs w:val="20"/>
              </w:rPr>
            </w:pPr>
          </w:p>
        </w:tc>
      </w:tr>
      <w:tr w:rsidR="00380BF5" w:rsidRPr="00CC71D4">
        <w:trPr>
          <w:trHeight w:val="232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F5" w:rsidRPr="00CC71D4" w:rsidRDefault="00380BF5" w:rsidP="00DC2595">
            <w:pPr>
              <w:jc w:val="both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Інші витрати господарської діяльності, до яких розділом ІІІ Податкового кодексу України прямо не встановлено обмежень щодо віднесення до складу витрат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DC2595">
            <w:pPr>
              <w:jc w:val="center"/>
              <w:rPr>
                <w:sz w:val="20"/>
                <w:szCs w:val="20"/>
              </w:rPr>
            </w:pPr>
          </w:p>
          <w:p w:rsidR="00380BF5" w:rsidRPr="00CC71D4" w:rsidRDefault="00380BF5" w:rsidP="00DC2595">
            <w:pPr>
              <w:jc w:val="center"/>
              <w:rPr>
                <w:sz w:val="20"/>
                <w:szCs w:val="20"/>
              </w:rPr>
            </w:pPr>
            <w:r w:rsidRPr="00CC71D4">
              <w:rPr>
                <w:sz w:val="20"/>
                <w:szCs w:val="20"/>
              </w:rPr>
              <w:t>06.</w:t>
            </w:r>
            <w:r w:rsidRPr="00CC71D4">
              <w:rPr>
                <w:sz w:val="20"/>
                <w:szCs w:val="20"/>
                <w:lang w:val="en-US"/>
              </w:rPr>
              <w:t>4</w:t>
            </w:r>
            <w:r w:rsidRPr="00CC71D4">
              <w:rPr>
                <w:sz w:val="20"/>
                <w:szCs w:val="20"/>
              </w:rPr>
              <w:t>.</w:t>
            </w:r>
            <w:r w:rsidRPr="00CC71D4">
              <w:rPr>
                <w:sz w:val="20"/>
                <w:szCs w:val="20"/>
                <w:lang w:val="en-US"/>
              </w:rPr>
              <w:t>2</w:t>
            </w:r>
            <w:r w:rsidR="00704C40" w:rsidRPr="00CC71D4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F5" w:rsidRPr="00CC71D4" w:rsidRDefault="00380BF5" w:rsidP="000A3256">
            <w:pPr>
              <w:jc w:val="both"/>
              <w:rPr>
                <w:sz w:val="20"/>
                <w:szCs w:val="20"/>
              </w:rPr>
            </w:pPr>
          </w:p>
        </w:tc>
      </w:tr>
    </w:tbl>
    <w:p w:rsidR="004B4CF3" w:rsidRPr="00CC71D4" w:rsidRDefault="004B4CF3" w:rsidP="00C57E83">
      <w:pPr>
        <w:pStyle w:val="2"/>
        <w:spacing w:after="0" w:line="240" w:lineRule="auto"/>
        <w:ind w:right="175"/>
        <w:jc w:val="both"/>
        <w:rPr>
          <w:sz w:val="18"/>
          <w:szCs w:val="18"/>
          <w:vertAlign w:val="superscript"/>
        </w:rPr>
      </w:pPr>
    </w:p>
    <w:p w:rsidR="00E07F75" w:rsidRPr="00CC71D4" w:rsidRDefault="00212709" w:rsidP="00077E8E">
      <w:pPr>
        <w:pStyle w:val="2"/>
        <w:spacing w:after="0" w:line="240" w:lineRule="auto"/>
        <w:ind w:left="-567" w:right="-5"/>
        <w:jc w:val="both"/>
        <w:rPr>
          <w:color w:val="000000"/>
          <w:sz w:val="18"/>
          <w:szCs w:val="18"/>
        </w:rPr>
      </w:pPr>
      <w:r w:rsidRPr="00CC71D4">
        <w:rPr>
          <w:color w:val="000000"/>
          <w:sz w:val="18"/>
          <w:szCs w:val="18"/>
          <w:vertAlign w:val="superscript"/>
        </w:rPr>
        <w:t>1 </w:t>
      </w:r>
      <w:r w:rsidR="00E07F75" w:rsidRPr="00CC71D4">
        <w:rPr>
          <w:color w:val="000000"/>
          <w:sz w:val="18"/>
          <w:szCs w:val="18"/>
        </w:rPr>
        <w:t>З</w:t>
      </w:r>
      <w:r w:rsidR="002B75A4" w:rsidRPr="00CC71D4">
        <w:rPr>
          <w:color w:val="000000"/>
          <w:sz w:val="18"/>
          <w:szCs w:val="18"/>
        </w:rPr>
        <w:t>аповнюється платниками податку,</w:t>
      </w:r>
      <w:r w:rsidR="00E07F75" w:rsidRPr="00CC71D4">
        <w:rPr>
          <w:color w:val="000000"/>
          <w:sz w:val="18"/>
          <w:szCs w:val="18"/>
        </w:rPr>
        <w:t xml:space="preserve"> у яких базовим податковим (звітним) періодом є календарний рік.</w:t>
      </w:r>
      <w:r w:rsidR="00E07F75" w:rsidRPr="00CC71D4">
        <w:rPr>
          <w:sz w:val="18"/>
          <w:szCs w:val="18"/>
        </w:rPr>
        <w:t xml:space="preserve"> </w:t>
      </w:r>
    </w:p>
    <w:p w:rsidR="00E07F75" w:rsidRPr="00CC71D4" w:rsidRDefault="00212709" w:rsidP="00077E8E">
      <w:pPr>
        <w:pStyle w:val="2"/>
        <w:spacing w:after="0" w:line="240" w:lineRule="auto"/>
        <w:ind w:left="-567" w:right="-5"/>
        <w:jc w:val="both"/>
        <w:rPr>
          <w:sz w:val="18"/>
          <w:szCs w:val="18"/>
        </w:rPr>
      </w:pPr>
      <w:r w:rsidRPr="00CC71D4">
        <w:rPr>
          <w:sz w:val="18"/>
          <w:szCs w:val="18"/>
          <w:vertAlign w:val="superscript"/>
        </w:rPr>
        <w:t>2 </w:t>
      </w:r>
      <w:r w:rsidR="00E07F75" w:rsidRPr="00CC71D4">
        <w:rPr>
          <w:sz w:val="18"/>
          <w:szCs w:val="18"/>
        </w:rPr>
        <w:t xml:space="preserve">Заповнюється </w:t>
      </w:r>
      <w:r w:rsidR="00C97A43" w:rsidRPr="00CC71D4">
        <w:rPr>
          <w:sz w:val="18"/>
          <w:szCs w:val="18"/>
        </w:rPr>
        <w:t>п</w:t>
      </w:r>
      <w:r w:rsidR="00E07F75" w:rsidRPr="00CC71D4">
        <w:rPr>
          <w:sz w:val="18"/>
          <w:szCs w:val="18"/>
        </w:rPr>
        <w:t xml:space="preserve">латниками податку, у яких </w:t>
      </w:r>
      <w:r w:rsidR="00E07F75" w:rsidRPr="00CC71D4">
        <w:rPr>
          <w:color w:val="000000"/>
          <w:sz w:val="18"/>
          <w:szCs w:val="18"/>
        </w:rPr>
        <w:t>базовим податковим (звітним) періодом є календарний квартал.</w:t>
      </w:r>
    </w:p>
    <w:p w:rsidR="00E07F75" w:rsidRPr="00CC71D4" w:rsidRDefault="00212709" w:rsidP="00077E8E">
      <w:pPr>
        <w:pStyle w:val="2"/>
        <w:spacing w:after="0" w:line="240" w:lineRule="auto"/>
        <w:ind w:left="-567" w:right="175"/>
        <w:jc w:val="both"/>
        <w:rPr>
          <w:sz w:val="18"/>
          <w:szCs w:val="18"/>
        </w:rPr>
      </w:pPr>
      <w:r w:rsidRPr="00CC71D4">
        <w:rPr>
          <w:sz w:val="18"/>
          <w:szCs w:val="18"/>
          <w:vertAlign w:val="superscript"/>
        </w:rPr>
        <w:t>3 </w:t>
      </w:r>
      <w:r w:rsidR="00E07F75" w:rsidRPr="00CC71D4">
        <w:rPr>
          <w:sz w:val="18"/>
          <w:szCs w:val="18"/>
        </w:rPr>
        <w:t>Звітні (податкові) періоди, що використовувались у 2011 році.</w:t>
      </w:r>
    </w:p>
    <w:p w:rsidR="002D3F1E" w:rsidRPr="00CC71D4" w:rsidRDefault="002D3F1E" w:rsidP="002D3F1E">
      <w:pPr>
        <w:pStyle w:val="2"/>
        <w:spacing w:after="0" w:line="240" w:lineRule="auto"/>
        <w:ind w:right="175"/>
        <w:jc w:val="both"/>
        <w:rPr>
          <w:szCs w:val="28"/>
          <w:lang w:val="ru-RU"/>
        </w:rPr>
      </w:pPr>
    </w:p>
    <w:tbl>
      <w:tblPr>
        <w:tblW w:w="5473" w:type="pct"/>
        <w:tblCellSpacing w:w="15" w:type="dxa"/>
        <w:tblInd w:w="-4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80"/>
        <w:gridCol w:w="3600"/>
        <w:gridCol w:w="3083"/>
        <w:gridCol w:w="186"/>
      </w:tblGrid>
      <w:tr w:rsidR="002D3F1E" w:rsidRPr="00CC71D4" w:rsidTr="003F4C24">
        <w:trPr>
          <w:trHeight w:val="408"/>
          <w:tblCellSpacing w:w="15" w:type="dxa"/>
        </w:trPr>
        <w:tc>
          <w:tcPr>
            <w:tcW w:w="1754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Керівник</w:t>
            </w:r>
            <w:r w:rsidR="00B92363" w:rsidRPr="00CC71D4">
              <w:rPr>
                <w:sz w:val="22"/>
                <w:szCs w:val="22"/>
                <w:lang w:val="ru-RU"/>
              </w:rPr>
              <w:t xml:space="preserve"> (</w:t>
            </w:r>
            <w:r w:rsidRPr="00CC71D4">
              <w:rPr>
                <w:sz w:val="22"/>
                <w:szCs w:val="22"/>
              </w:rPr>
              <w:t>уповноважен</w:t>
            </w:r>
            <w:r w:rsidR="00B92363" w:rsidRPr="00CC71D4">
              <w:rPr>
                <w:sz w:val="22"/>
                <w:szCs w:val="22"/>
                <w:lang w:val="ru-RU"/>
              </w:rPr>
              <w:t>а особа)</w:t>
            </w:r>
          </w:p>
          <w:p w:rsidR="002D3F1E" w:rsidRPr="00CC71D4" w:rsidRDefault="002D3F1E" w:rsidP="00B54975">
            <w:pPr>
              <w:rPr>
                <w:sz w:val="22"/>
                <w:szCs w:val="22"/>
              </w:rPr>
            </w:pPr>
          </w:p>
        </w:tc>
        <w:tc>
          <w:tcPr>
            <w:tcW w:w="1676" w:type="pct"/>
            <w:shd w:val="clear" w:color="auto" w:fill="auto"/>
            <w:vAlign w:val="center"/>
          </w:tcPr>
          <w:p w:rsidR="002D3F1E" w:rsidRPr="00CC71D4" w:rsidRDefault="002D3F1E" w:rsidP="002D3F1E">
            <w:pPr>
              <w:jc w:val="center"/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________________</w:t>
            </w:r>
            <w:r w:rsidRPr="00CC71D4">
              <w:rPr>
                <w:sz w:val="22"/>
                <w:szCs w:val="22"/>
              </w:rPr>
              <w:br/>
              <w:t xml:space="preserve">   (підпис)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 xml:space="preserve">    ____________________</w:t>
            </w:r>
            <w:r w:rsidRPr="00CC71D4">
              <w:rPr>
                <w:sz w:val="22"/>
                <w:szCs w:val="22"/>
              </w:rPr>
              <w:br/>
              <w:t xml:space="preserve">        (ініціали, прізвище) 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  </w:t>
            </w:r>
          </w:p>
        </w:tc>
      </w:tr>
      <w:tr w:rsidR="002D3F1E" w:rsidRPr="00CC71D4" w:rsidTr="003F4C24">
        <w:trPr>
          <w:trHeight w:val="278"/>
          <w:tblCellSpacing w:w="15" w:type="dxa"/>
        </w:trPr>
        <w:tc>
          <w:tcPr>
            <w:tcW w:w="1754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  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2D3F1E" w:rsidRPr="00CC71D4" w:rsidRDefault="002D3F1E" w:rsidP="002D3F1E">
            <w:pPr>
              <w:jc w:val="center"/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 xml:space="preserve">  М. П.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  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D3F1E" w:rsidRPr="00CC71D4" w:rsidRDefault="002D3F1E" w:rsidP="00B54975">
            <w:pPr>
              <w:rPr>
                <w:sz w:val="22"/>
                <w:szCs w:val="22"/>
              </w:rPr>
            </w:pPr>
          </w:p>
        </w:tc>
      </w:tr>
      <w:tr w:rsidR="002D3F1E" w:rsidRPr="003D0A49" w:rsidTr="003F4C24">
        <w:trPr>
          <w:trHeight w:val="408"/>
          <w:tblCellSpacing w:w="15" w:type="dxa"/>
        </w:trPr>
        <w:tc>
          <w:tcPr>
            <w:tcW w:w="1754" w:type="pct"/>
            <w:shd w:val="clear" w:color="auto" w:fill="auto"/>
            <w:vAlign w:val="center"/>
          </w:tcPr>
          <w:p w:rsidR="002D3F1E" w:rsidRPr="00CC71D4" w:rsidRDefault="002D3F1E" w:rsidP="00673800">
            <w:pPr>
              <w:rPr>
                <w:sz w:val="22"/>
                <w:szCs w:val="22"/>
                <w:lang w:val="ru-RU"/>
              </w:rPr>
            </w:pPr>
            <w:r w:rsidRPr="00CC71D4">
              <w:rPr>
                <w:sz w:val="22"/>
                <w:szCs w:val="22"/>
              </w:rPr>
              <w:t>Головний бухгалтер </w:t>
            </w:r>
            <w:r w:rsidR="00B92363" w:rsidRPr="00CC71D4">
              <w:rPr>
                <w:sz w:val="22"/>
                <w:szCs w:val="22"/>
                <w:lang w:val="ru-RU"/>
              </w:rPr>
              <w:t>(особа</w:t>
            </w:r>
            <w:r w:rsidR="00062BA4" w:rsidRPr="00CC71D4">
              <w:rPr>
                <w:sz w:val="22"/>
                <w:szCs w:val="22"/>
                <w:lang w:val="ru-RU"/>
              </w:rPr>
              <w:t>,</w:t>
            </w:r>
            <w:r w:rsidR="00B92363" w:rsidRPr="00CC71D4">
              <w:rPr>
                <w:sz w:val="22"/>
                <w:szCs w:val="22"/>
                <w:lang w:val="ru-RU"/>
              </w:rPr>
              <w:t xml:space="preserve"> в</w:t>
            </w:r>
            <w:r w:rsidR="00B92363" w:rsidRPr="00CC71D4">
              <w:rPr>
                <w:sz w:val="22"/>
                <w:szCs w:val="22"/>
              </w:rPr>
              <w:t>і</w:t>
            </w:r>
            <w:r w:rsidR="00B92363" w:rsidRPr="00CC71D4">
              <w:rPr>
                <w:sz w:val="22"/>
                <w:szCs w:val="22"/>
                <w:lang w:val="ru-RU"/>
              </w:rPr>
              <w:t>дповідальна за ведення бухгалтерського обл</w:t>
            </w:r>
            <w:r w:rsidR="00673800" w:rsidRPr="00CC71D4">
              <w:rPr>
                <w:sz w:val="22"/>
                <w:szCs w:val="22"/>
                <w:lang w:val="ru-RU"/>
              </w:rPr>
              <w:t>і</w:t>
            </w:r>
            <w:r w:rsidR="00B92363" w:rsidRPr="00CC71D4">
              <w:rPr>
                <w:sz w:val="22"/>
                <w:szCs w:val="22"/>
                <w:lang w:val="ru-RU"/>
              </w:rPr>
              <w:t>ку)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B94583" w:rsidRPr="00CC71D4" w:rsidRDefault="00B94583" w:rsidP="00B94583">
            <w:pPr>
              <w:rPr>
                <w:sz w:val="22"/>
                <w:szCs w:val="22"/>
                <w:lang w:val="ru-RU"/>
              </w:rPr>
            </w:pPr>
          </w:p>
          <w:p w:rsidR="00B94583" w:rsidRPr="00CC71D4" w:rsidRDefault="00B94583" w:rsidP="00B94583">
            <w:pPr>
              <w:rPr>
                <w:sz w:val="22"/>
                <w:szCs w:val="22"/>
                <w:lang w:val="ru-RU"/>
              </w:rPr>
            </w:pPr>
          </w:p>
          <w:p w:rsidR="002D3F1E" w:rsidRPr="00CC71D4" w:rsidRDefault="002D3F1E" w:rsidP="002D3F1E">
            <w:pPr>
              <w:jc w:val="center"/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</w:rPr>
              <w:t>____</w:t>
            </w:r>
            <w:r w:rsidR="00BA7C84" w:rsidRPr="00CC71D4">
              <w:rPr>
                <w:sz w:val="22"/>
                <w:szCs w:val="22"/>
                <w:lang w:val="en-US"/>
              </w:rPr>
              <w:t>__</w:t>
            </w:r>
            <w:r w:rsidRPr="00CC71D4">
              <w:rPr>
                <w:sz w:val="22"/>
                <w:szCs w:val="22"/>
              </w:rPr>
              <w:t>_________</w:t>
            </w:r>
            <w:r w:rsidRPr="00CC71D4">
              <w:rPr>
                <w:sz w:val="22"/>
                <w:szCs w:val="22"/>
              </w:rPr>
              <w:br/>
              <w:t xml:space="preserve">    (підпис)</w:t>
            </w:r>
          </w:p>
        </w:tc>
        <w:tc>
          <w:tcPr>
            <w:tcW w:w="1433" w:type="pct"/>
            <w:shd w:val="clear" w:color="auto" w:fill="auto"/>
            <w:vAlign w:val="center"/>
          </w:tcPr>
          <w:p w:rsidR="00B94583" w:rsidRPr="00CC71D4" w:rsidRDefault="00B94583" w:rsidP="00B54975">
            <w:pPr>
              <w:rPr>
                <w:sz w:val="22"/>
                <w:szCs w:val="22"/>
                <w:lang w:val="ru-RU"/>
              </w:rPr>
            </w:pPr>
          </w:p>
          <w:p w:rsidR="002D3F1E" w:rsidRPr="003D0A49" w:rsidRDefault="003F4C24" w:rsidP="00B54975">
            <w:pPr>
              <w:rPr>
                <w:sz w:val="22"/>
                <w:szCs w:val="22"/>
              </w:rPr>
            </w:pPr>
            <w:r w:rsidRPr="00CC71D4">
              <w:rPr>
                <w:sz w:val="22"/>
                <w:szCs w:val="22"/>
                <w:lang w:val="ru-RU"/>
              </w:rPr>
              <w:t xml:space="preserve">     __</w:t>
            </w:r>
            <w:r w:rsidR="002D3F1E" w:rsidRPr="00CC71D4">
              <w:rPr>
                <w:sz w:val="22"/>
                <w:szCs w:val="22"/>
              </w:rPr>
              <w:t>__</w:t>
            </w:r>
            <w:r w:rsidR="00D47217" w:rsidRPr="00CC71D4">
              <w:rPr>
                <w:sz w:val="22"/>
                <w:szCs w:val="22"/>
                <w:lang w:val="ru-RU"/>
              </w:rPr>
              <w:t>___</w:t>
            </w:r>
            <w:r w:rsidR="002D3F1E" w:rsidRPr="00CC71D4">
              <w:rPr>
                <w:sz w:val="22"/>
                <w:szCs w:val="22"/>
              </w:rPr>
              <w:t>______________</w:t>
            </w:r>
            <w:r w:rsidR="002D3F1E" w:rsidRPr="00CC71D4">
              <w:rPr>
                <w:sz w:val="22"/>
                <w:szCs w:val="22"/>
              </w:rPr>
              <w:br/>
              <w:t xml:space="preserve">        (ініціали, прізвище)</w:t>
            </w:r>
            <w:r w:rsidR="002D3F1E" w:rsidRPr="003D0A49">
              <w:rPr>
                <w:sz w:val="22"/>
                <w:szCs w:val="22"/>
              </w:rPr>
              <w:t> 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D3F1E" w:rsidRPr="003D0A49" w:rsidRDefault="002D3F1E" w:rsidP="00B54975">
            <w:pPr>
              <w:rPr>
                <w:sz w:val="22"/>
                <w:szCs w:val="22"/>
              </w:rPr>
            </w:pPr>
            <w:r w:rsidRPr="003D0A49">
              <w:rPr>
                <w:sz w:val="22"/>
                <w:szCs w:val="22"/>
              </w:rPr>
              <w:t>  </w:t>
            </w:r>
          </w:p>
        </w:tc>
      </w:tr>
    </w:tbl>
    <w:p w:rsidR="002D3F1E" w:rsidRPr="003D0A49" w:rsidRDefault="002D3F1E" w:rsidP="002D3F1E">
      <w:pPr>
        <w:rPr>
          <w:lang w:eastAsia="ru-RU"/>
        </w:rPr>
      </w:pPr>
    </w:p>
    <w:p w:rsidR="002D3F1E" w:rsidRPr="008964FA" w:rsidRDefault="002D3F1E" w:rsidP="004F62C7">
      <w:pPr>
        <w:pStyle w:val="2"/>
        <w:spacing w:after="0" w:line="240" w:lineRule="auto"/>
        <w:ind w:right="75"/>
        <w:jc w:val="both"/>
      </w:pPr>
    </w:p>
    <w:sectPr w:rsidR="002D3F1E" w:rsidRPr="008964FA" w:rsidSect="00105313">
      <w:headerReference w:type="even" r:id="rId7"/>
      <w:headerReference w:type="default" r:id="rId8"/>
      <w:pgSz w:w="11906" w:h="16838"/>
      <w:pgMar w:top="540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F8" w:rsidRDefault="004A69F8">
      <w:r>
        <w:separator/>
      </w:r>
    </w:p>
  </w:endnote>
  <w:endnote w:type="continuationSeparator" w:id="1">
    <w:p w:rsidR="004A69F8" w:rsidRDefault="004A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F8" w:rsidRDefault="004A69F8">
      <w:r>
        <w:separator/>
      </w:r>
    </w:p>
  </w:footnote>
  <w:footnote w:type="continuationSeparator" w:id="1">
    <w:p w:rsidR="004A69F8" w:rsidRDefault="004A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61" w:rsidRDefault="00B1373C" w:rsidP="00445D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D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3D61" w:rsidRDefault="00E53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61" w:rsidRDefault="00B1373C" w:rsidP="00445D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1D4">
      <w:rPr>
        <w:rStyle w:val="a6"/>
        <w:noProof/>
      </w:rPr>
      <w:t>2</w:t>
    </w:r>
    <w:r>
      <w:rPr>
        <w:rStyle w:val="a6"/>
      </w:rPr>
      <w:fldChar w:fldCharType="end"/>
    </w:r>
  </w:p>
  <w:p w:rsidR="00062BA4" w:rsidRDefault="00062BA4" w:rsidP="0013239C">
    <w:pPr>
      <w:pStyle w:val="a5"/>
      <w:jc w:val="right"/>
      <w:rPr>
        <w:sz w:val="18"/>
        <w:szCs w:val="18"/>
        <w:lang w:val="ru-RU"/>
      </w:rPr>
    </w:pPr>
  </w:p>
  <w:p w:rsidR="00E53D61" w:rsidRPr="00062BA4" w:rsidRDefault="00E53D61" w:rsidP="0013239C">
    <w:pPr>
      <w:pStyle w:val="a5"/>
      <w:jc w:val="right"/>
      <w:rPr>
        <w:sz w:val="18"/>
        <w:szCs w:val="18"/>
        <w:lang w:val="ru-RU"/>
      </w:rPr>
    </w:pPr>
    <w:r w:rsidRPr="0069394A">
      <w:rPr>
        <w:sz w:val="18"/>
        <w:szCs w:val="18"/>
      </w:rPr>
      <w:t xml:space="preserve">Продовження додатка </w:t>
    </w:r>
    <w:r>
      <w:rPr>
        <w:sz w:val="18"/>
        <w:szCs w:val="18"/>
        <w:lang w:val="en-US"/>
      </w:rPr>
      <w:t>ІВ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9B8"/>
    <w:multiLevelType w:val="hybridMultilevel"/>
    <w:tmpl w:val="E05A7DA4"/>
    <w:lvl w:ilvl="0" w:tplc="0422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D0A"/>
    <w:rsid w:val="0000757F"/>
    <w:rsid w:val="00012FA7"/>
    <w:rsid w:val="000369A1"/>
    <w:rsid w:val="00060510"/>
    <w:rsid w:val="00062BA4"/>
    <w:rsid w:val="0007324B"/>
    <w:rsid w:val="00077E8E"/>
    <w:rsid w:val="00086D57"/>
    <w:rsid w:val="000A1754"/>
    <w:rsid w:val="000A3256"/>
    <w:rsid w:val="000A667D"/>
    <w:rsid w:val="000B3934"/>
    <w:rsid w:val="000B5597"/>
    <w:rsid w:val="000B5EE4"/>
    <w:rsid w:val="000C7767"/>
    <w:rsid w:val="000D69C4"/>
    <w:rsid w:val="000D6A43"/>
    <w:rsid w:val="000E3F06"/>
    <w:rsid w:val="000F32EC"/>
    <w:rsid w:val="000F5D04"/>
    <w:rsid w:val="00101731"/>
    <w:rsid w:val="00105313"/>
    <w:rsid w:val="0011578B"/>
    <w:rsid w:val="00115F1A"/>
    <w:rsid w:val="0013239C"/>
    <w:rsid w:val="00141134"/>
    <w:rsid w:val="00155855"/>
    <w:rsid w:val="00157993"/>
    <w:rsid w:val="00157BAB"/>
    <w:rsid w:val="001636AE"/>
    <w:rsid w:val="00172092"/>
    <w:rsid w:val="001750E0"/>
    <w:rsid w:val="00177C69"/>
    <w:rsid w:val="001C35CB"/>
    <w:rsid w:val="001C4CB4"/>
    <w:rsid w:val="001D558D"/>
    <w:rsid w:val="002058CE"/>
    <w:rsid w:val="00212709"/>
    <w:rsid w:val="0022323B"/>
    <w:rsid w:val="00225FE3"/>
    <w:rsid w:val="00231612"/>
    <w:rsid w:val="0023771D"/>
    <w:rsid w:val="002552B5"/>
    <w:rsid w:val="00282A81"/>
    <w:rsid w:val="002A664E"/>
    <w:rsid w:val="002B75A4"/>
    <w:rsid w:val="002C1C7C"/>
    <w:rsid w:val="002C7F8B"/>
    <w:rsid w:val="002D197F"/>
    <w:rsid w:val="002D3F1E"/>
    <w:rsid w:val="002F3058"/>
    <w:rsid w:val="002F4820"/>
    <w:rsid w:val="00341B20"/>
    <w:rsid w:val="00346B5E"/>
    <w:rsid w:val="0035004B"/>
    <w:rsid w:val="003747C3"/>
    <w:rsid w:val="00374887"/>
    <w:rsid w:val="00380BF5"/>
    <w:rsid w:val="00387E86"/>
    <w:rsid w:val="00396445"/>
    <w:rsid w:val="003A1CEC"/>
    <w:rsid w:val="003A39B1"/>
    <w:rsid w:val="003B0DA0"/>
    <w:rsid w:val="003E1D42"/>
    <w:rsid w:val="003E2F3E"/>
    <w:rsid w:val="003F4C24"/>
    <w:rsid w:val="003F7795"/>
    <w:rsid w:val="00425269"/>
    <w:rsid w:val="00435D10"/>
    <w:rsid w:val="004423AC"/>
    <w:rsid w:val="00445D0A"/>
    <w:rsid w:val="00451EB0"/>
    <w:rsid w:val="00473026"/>
    <w:rsid w:val="00483096"/>
    <w:rsid w:val="004830E5"/>
    <w:rsid w:val="00496079"/>
    <w:rsid w:val="004A69F8"/>
    <w:rsid w:val="004A6F76"/>
    <w:rsid w:val="004B4CF3"/>
    <w:rsid w:val="004C4DAB"/>
    <w:rsid w:val="004F62C7"/>
    <w:rsid w:val="00513C5F"/>
    <w:rsid w:val="005246D9"/>
    <w:rsid w:val="0053655E"/>
    <w:rsid w:val="0054133B"/>
    <w:rsid w:val="00543DC7"/>
    <w:rsid w:val="005553F3"/>
    <w:rsid w:val="00596AD7"/>
    <w:rsid w:val="005B2567"/>
    <w:rsid w:val="005E5D66"/>
    <w:rsid w:val="005F03B8"/>
    <w:rsid w:val="006147BE"/>
    <w:rsid w:val="006168A7"/>
    <w:rsid w:val="00625654"/>
    <w:rsid w:val="00631C2F"/>
    <w:rsid w:val="0065514F"/>
    <w:rsid w:val="00673800"/>
    <w:rsid w:val="0068460D"/>
    <w:rsid w:val="0069394A"/>
    <w:rsid w:val="006A46A6"/>
    <w:rsid w:val="006B795C"/>
    <w:rsid w:val="006C09AF"/>
    <w:rsid w:val="006C4C43"/>
    <w:rsid w:val="006E08FF"/>
    <w:rsid w:val="006E2363"/>
    <w:rsid w:val="00701098"/>
    <w:rsid w:val="00704C40"/>
    <w:rsid w:val="00705E84"/>
    <w:rsid w:val="007226FF"/>
    <w:rsid w:val="007350F0"/>
    <w:rsid w:val="0076173F"/>
    <w:rsid w:val="00765028"/>
    <w:rsid w:val="00765E0E"/>
    <w:rsid w:val="00774C0A"/>
    <w:rsid w:val="007855A9"/>
    <w:rsid w:val="007A2AB3"/>
    <w:rsid w:val="007A36A0"/>
    <w:rsid w:val="007A72AE"/>
    <w:rsid w:val="007C2B79"/>
    <w:rsid w:val="007D7672"/>
    <w:rsid w:val="007F52DC"/>
    <w:rsid w:val="007F65CB"/>
    <w:rsid w:val="0081450B"/>
    <w:rsid w:val="00817CA1"/>
    <w:rsid w:val="008440A6"/>
    <w:rsid w:val="00861773"/>
    <w:rsid w:val="00867792"/>
    <w:rsid w:val="008728CC"/>
    <w:rsid w:val="00891369"/>
    <w:rsid w:val="008964FA"/>
    <w:rsid w:val="008A163B"/>
    <w:rsid w:val="008A3D38"/>
    <w:rsid w:val="008B4354"/>
    <w:rsid w:val="008B6820"/>
    <w:rsid w:val="008D525A"/>
    <w:rsid w:val="008F7DE5"/>
    <w:rsid w:val="009011ED"/>
    <w:rsid w:val="0090122A"/>
    <w:rsid w:val="00935725"/>
    <w:rsid w:val="00963D1F"/>
    <w:rsid w:val="00974446"/>
    <w:rsid w:val="00976140"/>
    <w:rsid w:val="00992F60"/>
    <w:rsid w:val="009E25AF"/>
    <w:rsid w:val="009F40A4"/>
    <w:rsid w:val="00A02CA2"/>
    <w:rsid w:val="00A21AB2"/>
    <w:rsid w:val="00A401D4"/>
    <w:rsid w:val="00A51733"/>
    <w:rsid w:val="00A615ED"/>
    <w:rsid w:val="00A64447"/>
    <w:rsid w:val="00A671B5"/>
    <w:rsid w:val="00A757E2"/>
    <w:rsid w:val="00A779AC"/>
    <w:rsid w:val="00A90192"/>
    <w:rsid w:val="00A96F5D"/>
    <w:rsid w:val="00AB1175"/>
    <w:rsid w:val="00AB2E88"/>
    <w:rsid w:val="00AB33EC"/>
    <w:rsid w:val="00AC5156"/>
    <w:rsid w:val="00AD797D"/>
    <w:rsid w:val="00AF7938"/>
    <w:rsid w:val="00B07C04"/>
    <w:rsid w:val="00B07C2F"/>
    <w:rsid w:val="00B10D6B"/>
    <w:rsid w:val="00B1373C"/>
    <w:rsid w:val="00B21984"/>
    <w:rsid w:val="00B343D8"/>
    <w:rsid w:val="00B3470B"/>
    <w:rsid w:val="00B45089"/>
    <w:rsid w:val="00B5233D"/>
    <w:rsid w:val="00B54975"/>
    <w:rsid w:val="00B54ED3"/>
    <w:rsid w:val="00B57925"/>
    <w:rsid w:val="00B92363"/>
    <w:rsid w:val="00B94583"/>
    <w:rsid w:val="00BA06CB"/>
    <w:rsid w:val="00BA536F"/>
    <w:rsid w:val="00BA5B1C"/>
    <w:rsid w:val="00BA7C84"/>
    <w:rsid w:val="00BB2A52"/>
    <w:rsid w:val="00BD1230"/>
    <w:rsid w:val="00BD7534"/>
    <w:rsid w:val="00BE3CB4"/>
    <w:rsid w:val="00C05E1C"/>
    <w:rsid w:val="00C15C51"/>
    <w:rsid w:val="00C15D46"/>
    <w:rsid w:val="00C207DB"/>
    <w:rsid w:val="00C3341B"/>
    <w:rsid w:val="00C35E8F"/>
    <w:rsid w:val="00C50CF1"/>
    <w:rsid w:val="00C57E83"/>
    <w:rsid w:val="00C72C84"/>
    <w:rsid w:val="00C864A0"/>
    <w:rsid w:val="00C978B6"/>
    <w:rsid w:val="00C97A43"/>
    <w:rsid w:val="00CB4C26"/>
    <w:rsid w:val="00CB6855"/>
    <w:rsid w:val="00CC71D4"/>
    <w:rsid w:val="00CD0149"/>
    <w:rsid w:val="00CE660A"/>
    <w:rsid w:val="00D00490"/>
    <w:rsid w:val="00D4475E"/>
    <w:rsid w:val="00D4696A"/>
    <w:rsid w:val="00D47217"/>
    <w:rsid w:val="00D51118"/>
    <w:rsid w:val="00D700F5"/>
    <w:rsid w:val="00D75275"/>
    <w:rsid w:val="00D83502"/>
    <w:rsid w:val="00D92886"/>
    <w:rsid w:val="00DA19D6"/>
    <w:rsid w:val="00DC1903"/>
    <w:rsid w:val="00DC75B2"/>
    <w:rsid w:val="00DF17DF"/>
    <w:rsid w:val="00E078CF"/>
    <w:rsid w:val="00E07F75"/>
    <w:rsid w:val="00E13820"/>
    <w:rsid w:val="00E43D5C"/>
    <w:rsid w:val="00E464B3"/>
    <w:rsid w:val="00E53D61"/>
    <w:rsid w:val="00E55E9D"/>
    <w:rsid w:val="00E60700"/>
    <w:rsid w:val="00E71D5F"/>
    <w:rsid w:val="00E733BD"/>
    <w:rsid w:val="00E811E5"/>
    <w:rsid w:val="00E9309B"/>
    <w:rsid w:val="00EB3A77"/>
    <w:rsid w:val="00EB53F2"/>
    <w:rsid w:val="00ED45DF"/>
    <w:rsid w:val="00ED4A2D"/>
    <w:rsid w:val="00F07313"/>
    <w:rsid w:val="00F22C49"/>
    <w:rsid w:val="00F315F6"/>
    <w:rsid w:val="00F32896"/>
    <w:rsid w:val="00F4161A"/>
    <w:rsid w:val="00F55083"/>
    <w:rsid w:val="00F6020D"/>
    <w:rsid w:val="00F66A24"/>
    <w:rsid w:val="00F71659"/>
    <w:rsid w:val="00F84F74"/>
    <w:rsid w:val="00F9315F"/>
    <w:rsid w:val="00FC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0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445D0A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445D0A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rsid w:val="00445D0A"/>
    <w:pPr>
      <w:spacing w:after="120" w:line="480" w:lineRule="auto"/>
    </w:pPr>
    <w:rPr>
      <w:sz w:val="28"/>
      <w:lang w:eastAsia="ru-RU"/>
    </w:rPr>
  </w:style>
  <w:style w:type="paragraph" w:styleId="a5">
    <w:name w:val="header"/>
    <w:basedOn w:val="a"/>
    <w:rsid w:val="00445D0A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45D0A"/>
  </w:style>
  <w:style w:type="paragraph" w:styleId="a7">
    <w:name w:val="footer"/>
    <w:basedOn w:val="a"/>
    <w:rsid w:val="0013239C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0B5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"/>
    <w:basedOn w:val="a"/>
    <w:rsid w:val="008964F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"/>
    <w:basedOn w:val="a"/>
    <w:rsid w:val="002C1C7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aliases w:val=" Знак"/>
    <w:basedOn w:val="a"/>
    <w:link w:val="ac"/>
    <w:uiPriority w:val="99"/>
    <w:semiHidden/>
    <w:unhideWhenUsed/>
    <w:rsid w:val="004960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 Знак Знак"/>
    <w:basedOn w:val="a0"/>
    <w:link w:val="ab"/>
    <w:rsid w:val="0049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ІВ</vt:lpstr>
    </vt:vector>
  </TitlesOfParts>
  <Company>Minfin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ІВ</dc:title>
  <dc:subject/>
  <dc:creator>d15-stas</dc:creator>
  <cp:keywords/>
  <cp:lastModifiedBy>user</cp:lastModifiedBy>
  <cp:revision>50</cp:revision>
  <cp:lastPrinted>2014-01-10T13:48:00Z</cp:lastPrinted>
  <dcterms:created xsi:type="dcterms:W3CDTF">2013-07-25T13:41:00Z</dcterms:created>
  <dcterms:modified xsi:type="dcterms:W3CDTF">2014-01-10T13:48:00Z</dcterms:modified>
</cp:coreProperties>
</file>