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048"/>
        <w:gridCol w:w="3780"/>
      </w:tblGrid>
      <w:tr w:rsidR="00443D89" w:rsidRPr="00B775D7" w:rsidTr="007D627F">
        <w:tc>
          <w:tcPr>
            <w:tcW w:w="6048" w:type="dxa"/>
          </w:tcPr>
          <w:p w:rsidR="00443D89" w:rsidRPr="009E43FA" w:rsidRDefault="00443D89" w:rsidP="000060A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80" w:type="dxa"/>
          </w:tcPr>
          <w:p w:rsidR="00443D89" w:rsidRPr="009E43FA" w:rsidRDefault="00443D89" w:rsidP="003F3FEF">
            <w:pPr>
              <w:jc w:val="both"/>
              <w:rPr>
                <w:sz w:val="28"/>
                <w:szCs w:val="28"/>
                <w:lang w:val="uk-UA"/>
              </w:rPr>
            </w:pPr>
            <w:r w:rsidRPr="009E43FA">
              <w:rPr>
                <w:sz w:val="28"/>
                <w:szCs w:val="28"/>
                <w:lang w:val="uk-UA"/>
              </w:rPr>
              <w:t>ЗАТВЕРДЖЕНО</w:t>
            </w:r>
          </w:p>
          <w:p w:rsidR="00443D89" w:rsidRPr="009E43FA" w:rsidRDefault="00443D89" w:rsidP="00A765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3D89" w:rsidRPr="00B775D7" w:rsidRDefault="00443D89" w:rsidP="000060A3">
            <w:pPr>
              <w:jc w:val="both"/>
              <w:rPr>
                <w:sz w:val="28"/>
                <w:szCs w:val="28"/>
                <w:lang w:val="en-US"/>
              </w:rPr>
            </w:pPr>
            <w:r w:rsidRPr="007D627F">
              <w:rPr>
                <w:sz w:val="28"/>
                <w:szCs w:val="28"/>
                <w:lang w:val="uk-UA"/>
              </w:rPr>
              <w:t xml:space="preserve">наказ ДФС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775D7" w:rsidRPr="00B775D7">
              <w:rPr>
                <w:sz w:val="28"/>
                <w:szCs w:val="28"/>
                <w:lang w:val="uk-UA"/>
              </w:rPr>
              <w:t>26.12.</w:t>
            </w:r>
            <w:r w:rsidR="00B775D7">
              <w:rPr>
                <w:sz w:val="28"/>
                <w:szCs w:val="28"/>
                <w:lang w:val="en-US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7D627F">
              <w:rPr>
                <w:sz w:val="28"/>
                <w:szCs w:val="28"/>
                <w:lang w:val="uk-UA"/>
              </w:rPr>
              <w:t>№</w:t>
            </w:r>
            <w:r w:rsidR="00B775D7">
              <w:rPr>
                <w:sz w:val="28"/>
                <w:szCs w:val="28"/>
                <w:lang w:val="en-US"/>
              </w:rPr>
              <w:t>1035</w:t>
            </w:r>
          </w:p>
        </w:tc>
      </w:tr>
    </w:tbl>
    <w:p w:rsidR="00443D89" w:rsidRPr="00B775D7" w:rsidRDefault="00443D89" w:rsidP="00EF2D4D">
      <w:pPr>
        <w:pStyle w:val="11"/>
        <w:ind w:right="-1"/>
        <w:jc w:val="both"/>
      </w:pPr>
    </w:p>
    <w:p w:rsidR="00443D89" w:rsidRPr="00B775D7" w:rsidRDefault="00443D89" w:rsidP="00EF2D4D">
      <w:pPr>
        <w:pStyle w:val="11"/>
        <w:ind w:right="-1"/>
        <w:jc w:val="both"/>
      </w:pPr>
    </w:p>
    <w:p w:rsidR="00443D89" w:rsidRPr="009E43FA" w:rsidRDefault="00443D89" w:rsidP="0082187D">
      <w:pPr>
        <w:pStyle w:val="11"/>
        <w:ind w:right="-1"/>
        <w:jc w:val="center"/>
        <w:rPr>
          <w:szCs w:val="28"/>
        </w:rPr>
      </w:pPr>
      <w:r w:rsidRPr="009E43FA">
        <w:rPr>
          <w:szCs w:val="28"/>
        </w:rPr>
        <w:t>ПЛАН ЗАХОДІВ</w:t>
      </w:r>
    </w:p>
    <w:p w:rsidR="00443D89" w:rsidRPr="009E43FA" w:rsidRDefault="00443D89" w:rsidP="0082187D">
      <w:pPr>
        <w:pStyle w:val="11"/>
        <w:ind w:right="-1"/>
        <w:jc w:val="center"/>
        <w:rPr>
          <w:szCs w:val="28"/>
        </w:rPr>
      </w:pPr>
      <w:r w:rsidRPr="009E43FA">
        <w:rPr>
          <w:szCs w:val="28"/>
        </w:rPr>
        <w:t>щодо передачі СЗЗД РРО від НБУ до ДФС</w:t>
      </w:r>
    </w:p>
    <w:p w:rsidR="00443D89" w:rsidRPr="00B775D7" w:rsidRDefault="00443D89" w:rsidP="00EF2D4D">
      <w:pPr>
        <w:pStyle w:val="11"/>
        <w:ind w:right="-1"/>
        <w:jc w:val="both"/>
        <w:rPr>
          <w:szCs w:val="28"/>
        </w:rPr>
      </w:pPr>
    </w:p>
    <w:p w:rsidR="00443D89" w:rsidRPr="00B775D7" w:rsidRDefault="00443D89" w:rsidP="00EF2D4D">
      <w:pPr>
        <w:pStyle w:val="11"/>
        <w:ind w:right="-1"/>
        <w:jc w:val="both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3240"/>
      </w:tblGrid>
      <w:tr w:rsidR="00443D89" w:rsidRPr="00B775D7" w:rsidTr="00F1211C">
        <w:tc>
          <w:tcPr>
            <w:tcW w:w="648" w:type="dxa"/>
            <w:vAlign w:val="center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t xml:space="preserve">№ </w:t>
            </w:r>
            <w:r>
              <w:t>з</w:t>
            </w:r>
            <w:r w:rsidRPr="009E43FA">
              <w:t>/п</w:t>
            </w:r>
          </w:p>
        </w:tc>
        <w:tc>
          <w:tcPr>
            <w:tcW w:w="5940" w:type="dxa"/>
            <w:vAlign w:val="center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t>Назва заходу</w:t>
            </w:r>
          </w:p>
        </w:tc>
        <w:tc>
          <w:tcPr>
            <w:tcW w:w="3240" w:type="dxa"/>
            <w:vAlign w:val="center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t>Виконавці</w:t>
            </w:r>
          </w:p>
        </w:tc>
      </w:tr>
      <w:tr w:rsidR="00443D89" w:rsidRPr="009E43FA" w:rsidTr="00F1211C">
        <w:tc>
          <w:tcPr>
            <w:tcW w:w="648" w:type="dxa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t>1</w:t>
            </w:r>
          </w:p>
        </w:tc>
        <w:tc>
          <w:tcPr>
            <w:tcW w:w="59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</w:pPr>
            <w:r w:rsidRPr="009E43FA">
              <w:t>Створення міжвідомчої комісії з передачі майна СЗЗД РРО від НБУ до ДФС</w:t>
            </w:r>
          </w:p>
        </w:tc>
        <w:tc>
          <w:tcPr>
            <w:tcW w:w="3240" w:type="dxa"/>
          </w:tcPr>
          <w:p w:rsidR="00443D89" w:rsidRPr="009E43FA" w:rsidRDefault="00443D89" w:rsidP="00116C51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матеріального забезпечення та розвитку інфраструктури</w:t>
            </w:r>
          </w:p>
          <w:p w:rsidR="00443D89" w:rsidRPr="009E43FA" w:rsidRDefault="00443D89" w:rsidP="00116C51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фінансування, бухгалтерського обліку та звітності</w:t>
            </w:r>
          </w:p>
          <w:p w:rsidR="00443D89" w:rsidRPr="009E43FA" w:rsidRDefault="00443D89" w:rsidP="00116C51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Регуляторно-правовий департамент</w:t>
            </w:r>
          </w:p>
          <w:p w:rsidR="00443D89" w:rsidRPr="009E43FA" w:rsidRDefault="00443D89" w:rsidP="00116C51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інформаційних технологій</w:t>
            </w:r>
          </w:p>
          <w:p w:rsidR="00443D89" w:rsidRPr="009E43FA" w:rsidRDefault="00443D89" w:rsidP="00116C51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обслуговування платників</w:t>
            </w:r>
          </w:p>
          <w:p w:rsidR="00443D89" w:rsidRPr="009E43FA" w:rsidRDefault="00443D89" w:rsidP="00695E59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аудиту</w:t>
            </w:r>
          </w:p>
          <w:p w:rsidR="00443D89" w:rsidRPr="009E43FA" w:rsidRDefault="00443D89" w:rsidP="00695E59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охорони державної таємниці, технічного та криптографічного захисту інформації</w:t>
            </w:r>
          </w:p>
          <w:p w:rsidR="00443D89" w:rsidRPr="009E43FA" w:rsidRDefault="00443D89" w:rsidP="00695E59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9E43FA">
              <w:rPr>
                <w:sz w:val="24"/>
                <w:szCs w:val="24"/>
              </w:rPr>
              <w:t>ДП</w:t>
            </w:r>
            <w:proofErr w:type="spellEnd"/>
            <w:r w:rsidRPr="009E43FA">
              <w:rPr>
                <w:sz w:val="24"/>
                <w:szCs w:val="24"/>
              </w:rPr>
              <w:t xml:space="preserve"> «</w:t>
            </w:r>
            <w:proofErr w:type="spellStart"/>
            <w:r w:rsidRPr="009E43FA">
              <w:rPr>
                <w:sz w:val="24"/>
                <w:szCs w:val="24"/>
              </w:rPr>
              <w:t>Укрелекон</w:t>
            </w:r>
            <w:proofErr w:type="spellEnd"/>
            <w:r w:rsidRPr="009E43FA">
              <w:rPr>
                <w:sz w:val="24"/>
                <w:szCs w:val="24"/>
              </w:rPr>
              <w:t>»</w:t>
            </w:r>
          </w:p>
        </w:tc>
      </w:tr>
      <w:tr w:rsidR="00443D89" w:rsidRPr="009E43FA" w:rsidTr="00F1211C">
        <w:tc>
          <w:tcPr>
            <w:tcW w:w="648" w:type="dxa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t>2</w:t>
            </w:r>
          </w:p>
        </w:tc>
        <w:tc>
          <w:tcPr>
            <w:tcW w:w="59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</w:pPr>
            <w:r w:rsidRPr="009E43FA">
              <w:t>Підготовка та подання на затвердження до Міністерства фінансів України змін до наказу Міністерства фінансів України від</w:t>
            </w:r>
            <w:r w:rsidRPr="009E43FA">
              <w:rPr>
                <w:b/>
              </w:rPr>
              <w:t xml:space="preserve"> </w:t>
            </w:r>
            <w:r w:rsidRPr="009E43FA">
              <w:t>08.10.2012 №1057 «Про затвердження Вимог щодо створення контрольної стрічки в електронній формі у реєстраторах розрахункових операцій та модемів для передачі даних та Порядку передачі електронних копій розрахункових документів і фіскальних звітних чеків реєстраторів розрахункових операцій дротовими або бездротовими каналами зв’язку до органів державної податкової служби»</w:t>
            </w:r>
          </w:p>
        </w:tc>
        <w:tc>
          <w:tcPr>
            <w:tcW w:w="32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аудиту</w:t>
            </w:r>
          </w:p>
          <w:p w:rsidR="00443D89" w:rsidRPr="009E43FA" w:rsidRDefault="00443D89" w:rsidP="00FE7033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обслуговування платників</w:t>
            </w:r>
          </w:p>
          <w:p w:rsidR="00443D89" w:rsidRPr="009E43FA" w:rsidRDefault="00443D89" w:rsidP="00FE7033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інформаційних технологій</w:t>
            </w:r>
          </w:p>
          <w:p w:rsidR="00443D89" w:rsidRPr="009E43FA" w:rsidRDefault="00443D89" w:rsidP="00FE7033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Регуляторно-правовий департамент</w:t>
            </w:r>
          </w:p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9E43FA">
              <w:rPr>
                <w:sz w:val="24"/>
                <w:szCs w:val="24"/>
              </w:rPr>
              <w:t>ДП</w:t>
            </w:r>
            <w:proofErr w:type="spellEnd"/>
            <w:r w:rsidRPr="009E43FA">
              <w:rPr>
                <w:sz w:val="24"/>
                <w:szCs w:val="24"/>
              </w:rPr>
              <w:t xml:space="preserve"> «</w:t>
            </w:r>
            <w:proofErr w:type="spellStart"/>
            <w:r w:rsidRPr="009E43FA">
              <w:rPr>
                <w:sz w:val="24"/>
                <w:szCs w:val="24"/>
              </w:rPr>
              <w:t>Укрелекон</w:t>
            </w:r>
            <w:proofErr w:type="spellEnd"/>
            <w:r w:rsidRPr="009E43FA">
              <w:rPr>
                <w:sz w:val="24"/>
                <w:szCs w:val="24"/>
              </w:rPr>
              <w:t>»</w:t>
            </w:r>
          </w:p>
        </w:tc>
      </w:tr>
      <w:tr w:rsidR="00443D89" w:rsidRPr="009E43FA" w:rsidTr="00116C51">
        <w:trPr>
          <w:trHeight w:val="3224"/>
        </w:trPr>
        <w:tc>
          <w:tcPr>
            <w:tcW w:w="648" w:type="dxa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lastRenderedPageBreak/>
              <w:t>3</w:t>
            </w:r>
          </w:p>
        </w:tc>
        <w:tc>
          <w:tcPr>
            <w:tcW w:w="59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</w:pPr>
            <w:r w:rsidRPr="009E43FA">
              <w:t>Визначення обсягу та переліку активів, які мають бути передані від НБУ до ДФС, підготовка відповідних пропозицій на адресу НБУ</w:t>
            </w:r>
          </w:p>
        </w:tc>
        <w:tc>
          <w:tcPr>
            <w:tcW w:w="32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матеріального забезпечення та розвитку інфраструктури</w:t>
            </w:r>
          </w:p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фінансування, бухгалтерського обліку та звітності</w:t>
            </w:r>
          </w:p>
          <w:p w:rsidR="00443D89" w:rsidRPr="009E43FA" w:rsidRDefault="00443D89" w:rsidP="00FE7033">
            <w:pPr>
              <w:pStyle w:val="11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9E43FA">
              <w:rPr>
                <w:sz w:val="24"/>
                <w:szCs w:val="24"/>
              </w:rPr>
              <w:t>Департамент інформаційних технологій</w:t>
            </w:r>
          </w:p>
          <w:p w:rsidR="00443D89" w:rsidRPr="009E43FA" w:rsidRDefault="00443D89" w:rsidP="00116C51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обслуговування платників</w:t>
            </w:r>
          </w:p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Регуляторно-правовий департамент</w:t>
            </w:r>
          </w:p>
        </w:tc>
      </w:tr>
      <w:tr w:rsidR="00443D89" w:rsidRPr="00B775D7" w:rsidTr="00F1211C">
        <w:tc>
          <w:tcPr>
            <w:tcW w:w="648" w:type="dxa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t>4</w:t>
            </w:r>
          </w:p>
        </w:tc>
        <w:tc>
          <w:tcPr>
            <w:tcW w:w="5940" w:type="dxa"/>
          </w:tcPr>
          <w:p w:rsidR="00443D89" w:rsidRPr="004039C6" w:rsidRDefault="00443D89" w:rsidP="00F1211C">
            <w:pPr>
              <w:pStyle w:val="11"/>
              <w:ind w:right="-1"/>
              <w:jc w:val="both"/>
            </w:pPr>
            <w:r w:rsidRPr="009E43FA">
              <w:t xml:space="preserve">Приймання майна від НБУ до ДФС з його одночасною передачею до </w:t>
            </w:r>
            <w:proofErr w:type="spellStart"/>
            <w:r w:rsidRPr="009E43FA">
              <w:t>ДП</w:t>
            </w:r>
            <w:proofErr w:type="spellEnd"/>
            <w:r w:rsidRPr="009E43FA">
              <w:t xml:space="preserve"> «</w:t>
            </w:r>
            <w:proofErr w:type="spellStart"/>
            <w:r w:rsidRPr="009E43FA">
              <w:t>Укрелекон</w:t>
            </w:r>
            <w:proofErr w:type="spellEnd"/>
            <w:r w:rsidRPr="009E43FA">
              <w:t>»</w:t>
            </w:r>
            <w:r>
              <w:t xml:space="preserve"> з врахуванням вимог </w:t>
            </w:r>
            <w:r>
              <w:rPr>
                <w:szCs w:val="28"/>
              </w:rPr>
              <w:t xml:space="preserve">Положення про порядок передачі об’єктів права державної власності, затвердженого постановою Кабінету Міністрів України від 21 вересня 1998 року № 1482, за погодженням з </w:t>
            </w:r>
            <w:proofErr w:type="spellStart"/>
            <w:r>
              <w:rPr>
                <w:szCs w:val="28"/>
              </w:rPr>
              <w:t>балансоутримувачами</w:t>
            </w:r>
            <w:proofErr w:type="spellEnd"/>
            <w:r>
              <w:rPr>
                <w:szCs w:val="28"/>
              </w:rPr>
              <w:t>, Міністерством фінансів України, Фондом державного майна України та Міністерством економічного розвитку і торгівлі України</w:t>
            </w:r>
          </w:p>
        </w:tc>
        <w:tc>
          <w:tcPr>
            <w:tcW w:w="3240" w:type="dxa"/>
          </w:tcPr>
          <w:p w:rsidR="00443D89" w:rsidRPr="009E43FA" w:rsidRDefault="00443D89" w:rsidP="00980786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Міжвідомча комісія у складі згідно з пунктом 1</w:t>
            </w:r>
          </w:p>
        </w:tc>
      </w:tr>
      <w:tr w:rsidR="00443D89" w:rsidRPr="009E43FA" w:rsidTr="00F1211C">
        <w:tc>
          <w:tcPr>
            <w:tcW w:w="648" w:type="dxa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t>5</w:t>
            </w:r>
          </w:p>
        </w:tc>
        <w:tc>
          <w:tcPr>
            <w:tcW w:w="59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</w:pPr>
            <w:r w:rsidRPr="009E43FA">
              <w:t xml:space="preserve">Налаштування та запуск в роботу майнового комплексу СЗЗД РРО в </w:t>
            </w:r>
            <w:proofErr w:type="spellStart"/>
            <w:r w:rsidRPr="009E43FA">
              <w:t>ДП</w:t>
            </w:r>
            <w:proofErr w:type="spellEnd"/>
            <w:r w:rsidRPr="009E43FA">
              <w:t xml:space="preserve"> «</w:t>
            </w:r>
            <w:proofErr w:type="spellStart"/>
            <w:r w:rsidRPr="009E43FA">
              <w:t>Укрелекон</w:t>
            </w:r>
            <w:proofErr w:type="spellEnd"/>
            <w:r w:rsidRPr="009E43FA">
              <w:t>»</w:t>
            </w:r>
          </w:p>
        </w:tc>
        <w:tc>
          <w:tcPr>
            <w:tcW w:w="32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9E43FA">
              <w:rPr>
                <w:sz w:val="24"/>
                <w:szCs w:val="24"/>
              </w:rPr>
              <w:t>ДП</w:t>
            </w:r>
            <w:proofErr w:type="spellEnd"/>
            <w:r w:rsidRPr="009E43FA">
              <w:rPr>
                <w:sz w:val="24"/>
                <w:szCs w:val="24"/>
              </w:rPr>
              <w:t xml:space="preserve"> «</w:t>
            </w:r>
            <w:proofErr w:type="spellStart"/>
            <w:r w:rsidRPr="009E43FA">
              <w:rPr>
                <w:sz w:val="24"/>
                <w:szCs w:val="24"/>
              </w:rPr>
              <w:t>Укрелекон</w:t>
            </w:r>
            <w:proofErr w:type="spellEnd"/>
            <w:r w:rsidRPr="009E43FA">
              <w:rPr>
                <w:sz w:val="24"/>
                <w:szCs w:val="24"/>
              </w:rPr>
              <w:t>»</w:t>
            </w:r>
          </w:p>
          <w:p w:rsidR="00443D89" w:rsidRPr="009E43FA" w:rsidRDefault="00443D89" w:rsidP="00FE7033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інформаційних технологій</w:t>
            </w:r>
          </w:p>
          <w:p w:rsidR="00443D89" w:rsidRPr="009E43FA" w:rsidRDefault="00443D89" w:rsidP="00FE7033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обслуговування платників</w:t>
            </w:r>
          </w:p>
          <w:p w:rsidR="00443D89" w:rsidRPr="009E43FA" w:rsidRDefault="00443D89" w:rsidP="00116C51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охорони державної таємниці, технічного та криптографічного захисту інформації</w:t>
            </w:r>
          </w:p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аудиту</w:t>
            </w:r>
          </w:p>
        </w:tc>
      </w:tr>
      <w:tr w:rsidR="00443D89" w:rsidRPr="003642E8" w:rsidTr="00F1211C">
        <w:tc>
          <w:tcPr>
            <w:tcW w:w="648" w:type="dxa"/>
          </w:tcPr>
          <w:p w:rsidR="00443D89" w:rsidRPr="009E43FA" w:rsidRDefault="00443D89" w:rsidP="00F1211C">
            <w:pPr>
              <w:pStyle w:val="11"/>
              <w:ind w:right="-1"/>
              <w:jc w:val="center"/>
            </w:pPr>
            <w:r w:rsidRPr="009E43FA">
              <w:t>6</w:t>
            </w:r>
          </w:p>
        </w:tc>
        <w:tc>
          <w:tcPr>
            <w:tcW w:w="59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</w:pPr>
            <w:r w:rsidRPr="009E43FA">
              <w:t>Супроводження роботи СЗЗД РРО в</w:t>
            </w:r>
          </w:p>
          <w:p w:rsidR="00443D89" w:rsidRPr="009E43FA" w:rsidRDefault="00443D89" w:rsidP="00F1211C">
            <w:pPr>
              <w:pStyle w:val="11"/>
              <w:ind w:right="-1"/>
              <w:jc w:val="both"/>
            </w:pPr>
            <w:proofErr w:type="spellStart"/>
            <w:r w:rsidRPr="009E43FA">
              <w:t>ДП</w:t>
            </w:r>
            <w:proofErr w:type="spellEnd"/>
            <w:r w:rsidRPr="009E43FA">
              <w:t xml:space="preserve"> «</w:t>
            </w:r>
            <w:proofErr w:type="spellStart"/>
            <w:r w:rsidRPr="009E43FA">
              <w:t>Укрелекон</w:t>
            </w:r>
            <w:proofErr w:type="spellEnd"/>
            <w:r w:rsidRPr="009E43FA">
              <w:t>»</w:t>
            </w:r>
          </w:p>
        </w:tc>
        <w:tc>
          <w:tcPr>
            <w:tcW w:w="3240" w:type="dxa"/>
          </w:tcPr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9E43FA">
              <w:rPr>
                <w:sz w:val="24"/>
                <w:szCs w:val="24"/>
              </w:rPr>
              <w:t>ДП</w:t>
            </w:r>
            <w:proofErr w:type="spellEnd"/>
            <w:r w:rsidRPr="009E43FA">
              <w:rPr>
                <w:sz w:val="24"/>
                <w:szCs w:val="24"/>
              </w:rPr>
              <w:t xml:space="preserve"> «</w:t>
            </w:r>
            <w:proofErr w:type="spellStart"/>
            <w:r w:rsidRPr="009E43FA">
              <w:rPr>
                <w:sz w:val="24"/>
                <w:szCs w:val="24"/>
              </w:rPr>
              <w:t>Укрелекон</w:t>
            </w:r>
            <w:proofErr w:type="spellEnd"/>
            <w:r w:rsidRPr="009E43FA">
              <w:rPr>
                <w:sz w:val="24"/>
                <w:szCs w:val="24"/>
              </w:rPr>
              <w:t>»</w:t>
            </w:r>
          </w:p>
          <w:p w:rsidR="00443D89" w:rsidRPr="009E43FA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інформаційних технологій</w:t>
            </w:r>
          </w:p>
          <w:p w:rsidR="00443D89" w:rsidRPr="009E43FA" w:rsidRDefault="00443D89" w:rsidP="00247760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 w:rsidRPr="009E43FA">
              <w:rPr>
                <w:sz w:val="24"/>
                <w:szCs w:val="24"/>
              </w:rPr>
              <w:t>Департамент обслуговування платників</w:t>
            </w:r>
          </w:p>
          <w:p w:rsidR="00443D89" w:rsidRPr="00116C51" w:rsidRDefault="00443D89" w:rsidP="00F1211C">
            <w:pPr>
              <w:pStyle w:val="11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9E43FA">
              <w:rPr>
                <w:sz w:val="24"/>
                <w:szCs w:val="24"/>
              </w:rPr>
              <w:t>Департамент аудиту</w:t>
            </w:r>
          </w:p>
        </w:tc>
      </w:tr>
    </w:tbl>
    <w:p w:rsidR="00443D89" w:rsidRPr="00960827" w:rsidRDefault="00443D89" w:rsidP="00EF2D4D">
      <w:pPr>
        <w:pStyle w:val="11"/>
        <w:ind w:right="-1"/>
        <w:jc w:val="both"/>
      </w:pPr>
    </w:p>
    <w:sectPr w:rsidR="00443D89" w:rsidRPr="00960827" w:rsidSect="003F3FEF">
      <w:headerReference w:type="even" r:id="rId6"/>
      <w:headerReference w:type="default" r:id="rId7"/>
      <w:pgSz w:w="11906" w:h="16838"/>
      <w:pgMar w:top="1134" w:right="926" w:bottom="143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F2" w:rsidRDefault="00111AF2">
      <w:r>
        <w:separator/>
      </w:r>
    </w:p>
  </w:endnote>
  <w:endnote w:type="continuationSeparator" w:id="0">
    <w:p w:rsidR="00111AF2" w:rsidRDefault="0011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F2" w:rsidRDefault="00111AF2">
      <w:r>
        <w:separator/>
      </w:r>
    </w:p>
  </w:footnote>
  <w:footnote w:type="continuationSeparator" w:id="0">
    <w:p w:rsidR="00111AF2" w:rsidRDefault="00111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89" w:rsidRDefault="00C57050" w:rsidP="006D07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43D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3D89" w:rsidRDefault="00443D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89" w:rsidRDefault="00443D89" w:rsidP="006D07E9">
    <w:pPr>
      <w:pStyle w:val="a8"/>
      <w:framePr w:wrap="around" w:vAnchor="text" w:hAnchor="margin" w:xAlign="center" w:y="1"/>
      <w:rPr>
        <w:rStyle w:val="aa"/>
      </w:rPr>
    </w:pPr>
  </w:p>
  <w:p w:rsidR="00443D89" w:rsidRDefault="00443D8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111"/>
    <w:rsid w:val="000025F1"/>
    <w:rsid w:val="00004625"/>
    <w:rsid w:val="000060A3"/>
    <w:rsid w:val="00013ED9"/>
    <w:rsid w:val="00036051"/>
    <w:rsid w:val="000408B0"/>
    <w:rsid w:val="0007583E"/>
    <w:rsid w:val="00075C6C"/>
    <w:rsid w:val="00077C3C"/>
    <w:rsid w:val="000B04AE"/>
    <w:rsid w:val="000B1D31"/>
    <w:rsid w:val="000B41BC"/>
    <w:rsid w:val="000B4483"/>
    <w:rsid w:val="000C333E"/>
    <w:rsid w:val="000C7897"/>
    <w:rsid w:val="000E442B"/>
    <w:rsid w:val="00100985"/>
    <w:rsid w:val="001023CD"/>
    <w:rsid w:val="00105A52"/>
    <w:rsid w:val="00111AF2"/>
    <w:rsid w:val="00116C51"/>
    <w:rsid w:val="00142940"/>
    <w:rsid w:val="00191251"/>
    <w:rsid w:val="001B42B1"/>
    <w:rsid w:val="001B50C5"/>
    <w:rsid w:val="001C4D66"/>
    <w:rsid w:val="001D714D"/>
    <w:rsid w:val="001E1292"/>
    <w:rsid w:val="001F52D3"/>
    <w:rsid w:val="00207D25"/>
    <w:rsid w:val="00211E92"/>
    <w:rsid w:val="0021431A"/>
    <w:rsid w:val="002458E5"/>
    <w:rsid w:val="00247760"/>
    <w:rsid w:val="002640AD"/>
    <w:rsid w:val="0029376E"/>
    <w:rsid w:val="002A3111"/>
    <w:rsid w:val="002C166A"/>
    <w:rsid w:val="002F2195"/>
    <w:rsid w:val="0031112D"/>
    <w:rsid w:val="00315041"/>
    <w:rsid w:val="00334D86"/>
    <w:rsid w:val="00344A36"/>
    <w:rsid w:val="00351762"/>
    <w:rsid w:val="00361CD1"/>
    <w:rsid w:val="003642E8"/>
    <w:rsid w:val="00373681"/>
    <w:rsid w:val="00375FBE"/>
    <w:rsid w:val="00381462"/>
    <w:rsid w:val="00383133"/>
    <w:rsid w:val="003C272D"/>
    <w:rsid w:val="003D505A"/>
    <w:rsid w:val="003E3484"/>
    <w:rsid w:val="003F3FEF"/>
    <w:rsid w:val="003F53F2"/>
    <w:rsid w:val="004039C6"/>
    <w:rsid w:val="00412518"/>
    <w:rsid w:val="0042721F"/>
    <w:rsid w:val="00442455"/>
    <w:rsid w:val="00443D89"/>
    <w:rsid w:val="00482FE7"/>
    <w:rsid w:val="00490783"/>
    <w:rsid w:val="00497C48"/>
    <w:rsid w:val="004A0F5B"/>
    <w:rsid w:val="004B6F60"/>
    <w:rsid w:val="004C0F7B"/>
    <w:rsid w:val="004C1AB6"/>
    <w:rsid w:val="004C3C1E"/>
    <w:rsid w:val="004D5AAB"/>
    <w:rsid w:val="00521552"/>
    <w:rsid w:val="00526B39"/>
    <w:rsid w:val="00572F7B"/>
    <w:rsid w:val="0057455D"/>
    <w:rsid w:val="00576815"/>
    <w:rsid w:val="0059699D"/>
    <w:rsid w:val="005A04B8"/>
    <w:rsid w:val="005D587F"/>
    <w:rsid w:val="005D665D"/>
    <w:rsid w:val="005E31F1"/>
    <w:rsid w:val="005E5C32"/>
    <w:rsid w:val="005E6C0B"/>
    <w:rsid w:val="005F7B37"/>
    <w:rsid w:val="00600681"/>
    <w:rsid w:val="006143A8"/>
    <w:rsid w:val="0063100D"/>
    <w:rsid w:val="006360A3"/>
    <w:rsid w:val="00652853"/>
    <w:rsid w:val="00695E59"/>
    <w:rsid w:val="006B35C5"/>
    <w:rsid w:val="006B48F4"/>
    <w:rsid w:val="006D07E9"/>
    <w:rsid w:val="00717AF5"/>
    <w:rsid w:val="007332B9"/>
    <w:rsid w:val="00755968"/>
    <w:rsid w:val="00757DE3"/>
    <w:rsid w:val="00760A78"/>
    <w:rsid w:val="007671A1"/>
    <w:rsid w:val="00767744"/>
    <w:rsid w:val="00770B09"/>
    <w:rsid w:val="00780A8A"/>
    <w:rsid w:val="00787B78"/>
    <w:rsid w:val="00796E40"/>
    <w:rsid w:val="007A11E4"/>
    <w:rsid w:val="007A1210"/>
    <w:rsid w:val="007B0794"/>
    <w:rsid w:val="007B4633"/>
    <w:rsid w:val="007B4812"/>
    <w:rsid w:val="007D5624"/>
    <w:rsid w:val="007D5EF0"/>
    <w:rsid w:val="007D627F"/>
    <w:rsid w:val="007E185A"/>
    <w:rsid w:val="00804E27"/>
    <w:rsid w:val="0082187D"/>
    <w:rsid w:val="00831DEC"/>
    <w:rsid w:val="00855DFD"/>
    <w:rsid w:val="008814C7"/>
    <w:rsid w:val="00885D84"/>
    <w:rsid w:val="00890D80"/>
    <w:rsid w:val="008A3B8B"/>
    <w:rsid w:val="008C4C56"/>
    <w:rsid w:val="008C56D3"/>
    <w:rsid w:val="008D01E6"/>
    <w:rsid w:val="008E08DE"/>
    <w:rsid w:val="008E6F79"/>
    <w:rsid w:val="00905F05"/>
    <w:rsid w:val="00907DC0"/>
    <w:rsid w:val="00920249"/>
    <w:rsid w:val="00920E6B"/>
    <w:rsid w:val="009260D4"/>
    <w:rsid w:val="0093204E"/>
    <w:rsid w:val="0093465B"/>
    <w:rsid w:val="0094573D"/>
    <w:rsid w:val="00960827"/>
    <w:rsid w:val="00966E92"/>
    <w:rsid w:val="00980786"/>
    <w:rsid w:val="0098647C"/>
    <w:rsid w:val="00995F98"/>
    <w:rsid w:val="009A7A46"/>
    <w:rsid w:val="009B0FAD"/>
    <w:rsid w:val="009C3C9C"/>
    <w:rsid w:val="009D1DA3"/>
    <w:rsid w:val="009D649B"/>
    <w:rsid w:val="009E1B7B"/>
    <w:rsid w:val="009E3E67"/>
    <w:rsid w:val="009E43FA"/>
    <w:rsid w:val="00A157B0"/>
    <w:rsid w:val="00A24821"/>
    <w:rsid w:val="00A409CD"/>
    <w:rsid w:val="00A46792"/>
    <w:rsid w:val="00A50814"/>
    <w:rsid w:val="00A512F6"/>
    <w:rsid w:val="00A62569"/>
    <w:rsid w:val="00A62C53"/>
    <w:rsid w:val="00A65431"/>
    <w:rsid w:val="00A65F33"/>
    <w:rsid w:val="00A73F75"/>
    <w:rsid w:val="00A7658F"/>
    <w:rsid w:val="00A84797"/>
    <w:rsid w:val="00A95290"/>
    <w:rsid w:val="00AC677E"/>
    <w:rsid w:val="00AD06C3"/>
    <w:rsid w:val="00AD183A"/>
    <w:rsid w:val="00AE1851"/>
    <w:rsid w:val="00AF1BF9"/>
    <w:rsid w:val="00AF7EB5"/>
    <w:rsid w:val="00AF7FD6"/>
    <w:rsid w:val="00B14E14"/>
    <w:rsid w:val="00B238B2"/>
    <w:rsid w:val="00B3318F"/>
    <w:rsid w:val="00B350DC"/>
    <w:rsid w:val="00B42447"/>
    <w:rsid w:val="00B42D2D"/>
    <w:rsid w:val="00B540F7"/>
    <w:rsid w:val="00B63436"/>
    <w:rsid w:val="00B715F5"/>
    <w:rsid w:val="00B72586"/>
    <w:rsid w:val="00B775D7"/>
    <w:rsid w:val="00BC5DE1"/>
    <w:rsid w:val="00BE30C7"/>
    <w:rsid w:val="00BE44C9"/>
    <w:rsid w:val="00BF04B9"/>
    <w:rsid w:val="00C10CEE"/>
    <w:rsid w:val="00C1147D"/>
    <w:rsid w:val="00C16092"/>
    <w:rsid w:val="00C57050"/>
    <w:rsid w:val="00C81C09"/>
    <w:rsid w:val="00C92433"/>
    <w:rsid w:val="00CB39CF"/>
    <w:rsid w:val="00CC2E8F"/>
    <w:rsid w:val="00CC6EAB"/>
    <w:rsid w:val="00CD04D2"/>
    <w:rsid w:val="00CE5EED"/>
    <w:rsid w:val="00CF3F1B"/>
    <w:rsid w:val="00D338D0"/>
    <w:rsid w:val="00D47C0F"/>
    <w:rsid w:val="00D65A86"/>
    <w:rsid w:val="00D7450A"/>
    <w:rsid w:val="00D853FE"/>
    <w:rsid w:val="00D87043"/>
    <w:rsid w:val="00D937DA"/>
    <w:rsid w:val="00DA6281"/>
    <w:rsid w:val="00DB63A3"/>
    <w:rsid w:val="00DC2158"/>
    <w:rsid w:val="00DC4724"/>
    <w:rsid w:val="00DE323F"/>
    <w:rsid w:val="00E029B0"/>
    <w:rsid w:val="00E1697E"/>
    <w:rsid w:val="00E23663"/>
    <w:rsid w:val="00E412D5"/>
    <w:rsid w:val="00E50E25"/>
    <w:rsid w:val="00E54A52"/>
    <w:rsid w:val="00E73FA6"/>
    <w:rsid w:val="00E74471"/>
    <w:rsid w:val="00E917FE"/>
    <w:rsid w:val="00EA1A0A"/>
    <w:rsid w:val="00EA291D"/>
    <w:rsid w:val="00EA3EE4"/>
    <w:rsid w:val="00EB1E55"/>
    <w:rsid w:val="00EF2D4D"/>
    <w:rsid w:val="00F1211C"/>
    <w:rsid w:val="00F15314"/>
    <w:rsid w:val="00F205E3"/>
    <w:rsid w:val="00F4295E"/>
    <w:rsid w:val="00F83492"/>
    <w:rsid w:val="00F85DC7"/>
    <w:rsid w:val="00F87C7C"/>
    <w:rsid w:val="00FB4B05"/>
    <w:rsid w:val="00FB6BEC"/>
    <w:rsid w:val="00FD1756"/>
    <w:rsid w:val="00FE36E9"/>
    <w:rsid w:val="00FE61A0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1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2C5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A3111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2A3111"/>
    <w:rPr>
      <w:sz w:val="28"/>
      <w:szCs w:val="20"/>
      <w:lang w:val="uk-UA"/>
    </w:rPr>
  </w:style>
  <w:style w:type="table" w:styleId="a4">
    <w:name w:val="Table Grid"/>
    <w:basedOn w:val="a1"/>
    <w:uiPriority w:val="99"/>
    <w:rsid w:val="002A31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A2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2C53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C677E"/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3F3F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65A8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F3FEF"/>
    <w:rPr>
      <w:rFonts w:cs="Times New Roman"/>
    </w:rPr>
  </w:style>
  <w:style w:type="paragraph" w:styleId="ab">
    <w:name w:val="footer"/>
    <w:basedOn w:val="a"/>
    <w:link w:val="ac"/>
    <w:uiPriority w:val="99"/>
    <w:rsid w:val="003F3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65A8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2109</Characters>
  <Application>Microsoft Office Word</Application>
  <DocSecurity>0</DocSecurity>
  <Lines>17</Lines>
  <Paragraphs>4</Paragraphs>
  <ScaleCrop>false</ScaleCrop>
  <Company>dsa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”П Р О Е К Т”</dc:title>
  <dc:creator>d22-31ova</dc:creator>
  <cp:lastModifiedBy>user</cp:lastModifiedBy>
  <cp:revision>2</cp:revision>
  <cp:lastPrinted>2016-12-07T15:46:00Z</cp:lastPrinted>
  <dcterms:created xsi:type="dcterms:W3CDTF">2017-01-19T13:57:00Z</dcterms:created>
  <dcterms:modified xsi:type="dcterms:W3CDTF">2017-01-19T13:57:00Z</dcterms:modified>
</cp:coreProperties>
</file>