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BB" w:rsidRPr="002252D9" w:rsidRDefault="00F865BB" w:rsidP="0076466B">
      <w:pPr>
        <w:widowControl w:val="0"/>
        <w:spacing w:after="0" w:line="240" w:lineRule="auto"/>
        <w:jc w:val="center"/>
        <w:rPr>
          <w:rFonts w:ascii="Times New Roman" w:hAnsi="Times New Roman" w:cs="Times New Roman"/>
          <w:b/>
          <w:sz w:val="28"/>
          <w:szCs w:val="28"/>
          <w:lang w:val="ru-RU"/>
        </w:rPr>
      </w:pPr>
      <w:r w:rsidRPr="00246C1E">
        <w:rPr>
          <w:rFonts w:ascii="Times New Roman" w:hAnsi="Times New Roman" w:cs="Times New Roman"/>
          <w:b/>
          <w:sz w:val="28"/>
          <w:szCs w:val="28"/>
        </w:rPr>
        <w:t>АНАЛІЗ РЕГУЛЯТОРНОГО ВПЛИВУ</w:t>
      </w:r>
    </w:p>
    <w:p w:rsidR="0079479F" w:rsidRPr="0079479F" w:rsidRDefault="00F865BB" w:rsidP="0076466B">
      <w:pPr>
        <w:widowControl w:val="0"/>
        <w:tabs>
          <w:tab w:val="center" w:pos="4896"/>
          <w:tab w:val="right" w:pos="9072"/>
        </w:tabs>
        <w:ind w:firstLine="709"/>
        <w:jc w:val="center"/>
        <w:rPr>
          <w:rFonts w:ascii="Times New Roman" w:hAnsi="Times New Roman" w:cs="Times New Roman"/>
          <w:b/>
          <w:sz w:val="28"/>
          <w:szCs w:val="28"/>
        </w:rPr>
      </w:pPr>
      <w:r w:rsidRPr="00246C1E">
        <w:rPr>
          <w:rFonts w:ascii="Times New Roman" w:hAnsi="Times New Roman" w:cs="Times New Roman"/>
          <w:b/>
          <w:sz w:val="28"/>
          <w:szCs w:val="28"/>
        </w:rPr>
        <w:t xml:space="preserve">до проекту </w:t>
      </w:r>
      <w:r w:rsidR="00E448FE">
        <w:rPr>
          <w:rFonts w:ascii="Times New Roman" w:hAnsi="Times New Roman" w:cs="Times New Roman"/>
          <w:b/>
          <w:sz w:val="28"/>
          <w:szCs w:val="28"/>
        </w:rPr>
        <w:t>постанови Кабінету Міністрів України</w:t>
      </w:r>
      <w:r w:rsidRPr="00246C1E">
        <w:rPr>
          <w:rFonts w:ascii="Times New Roman" w:hAnsi="Times New Roman" w:cs="Times New Roman"/>
          <w:b/>
          <w:sz w:val="28"/>
          <w:szCs w:val="28"/>
        </w:rPr>
        <w:t xml:space="preserve"> </w:t>
      </w:r>
      <w:r w:rsidR="006F52D6">
        <w:rPr>
          <w:rFonts w:ascii="Times New Roman" w:hAnsi="Times New Roman" w:cs="Times New Roman"/>
          <w:b/>
          <w:sz w:val="28"/>
          <w:szCs w:val="28"/>
        </w:rPr>
        <w:br/>
      </w:r>
      <w:r w:rsidR="0079479F" w:rsidRPr="0079479F">
        <w:rPr>
          <w:rFonts w:ascii="Times New Roman" w:hAnsi="Times New Roman" w:cs="Times New Roman"/>
          <w:b/>
          <w:sz w:val="28"/>
          <w:szCs w:val="28"/>
        </w:rPr>
        <w:t xml:space="preserve">«Про затвердження </w:t>
      </w:r>
      <w:r w:rsidR="00525338">
        <w:rPr>
          <w:rFonts w:ascii="Times New Roman" w:hAnsi="Times New Roman" w:cs="Times New Roman"/>
          <w:b/>
          <w:sz w:val="28"/>
          <w:szCs w:val="28"/>
        </w:rPr>
        <w:t>П</w:t>
      </w:r>
      <w:r w:rsidR="0079479F" w:rsidRPr="0079479F">
        <w:rPr>
          <w:rFonts w:ascii="Times New Roman" w:hAnsi="Times New Roman" w:cs="Times New Roman"/>
          <w:b/>
          <w:sz w:val="28"/>
          <w:szCs w:val="28"/>
        </w:rPr>
        <w:t xml:space="preserve">орядку застосування  контролюючими органами заходів впливу </w:t>
      </w:r>
      <w:r w:rsidR="00DF5275">
        <w:rPr>
          <w:rFonts w:ascii="Times New Roman" w:hAnsi="Times New Roman" w:cs="Times New Roman"/>
          <w:b/>
          <w:sz w:val="28"/>
          <w:szCs w:val="28"/>
        </w:rPr>
        <w:t xml:space="preserve">у вигляді </w:t>
      </w:r>
      <w:r w:rsidR="00DF5275" w:rsidRPr="00D86DD2">
        <w:rPr>
          <w:rFonts w:ascii="Times New Roman" w:hAnsi="Times New Roman" w:cs="Times New Roman"/>
          <w:b/>
          <w:sz w:val="28"/>
          <w:szCs w:val="28"/>
        </w:rPr>
        <w:t>штрафних санкцій</w:t>
      </w:r>
      <w:r w:rsidR="0079479F" w:rsidRPr="0079479F">
        <w:rPr>
          <w:rFonts w:ascii="Times New Roman" w:hAnsi="Times New Roman" w:cs="Times New Roman"/>
          <w:b/>
          <w:sz w:val="28"/>
          <w:szCs w:val="28"/>
        </w:rPr>
        <w:t xml:space="preserve"> до юридичних осіб (крім уповноважених установ) за порушення вимог валютного законодавства»</w:t>
      </w:r>
    </w:p>
    <w:p w:rsidR="000F09D2" w:rsidRPr="00110AD5" w:rsidRDefault="00F865BB" w:rsidP="0076466B">
      <w:pPr>
        <w:widowControl w:val="0"/>
        <w:spacing w:after="0" w:line="240" w:lineRule="auto"/>
        <w:ind w:firstLine="567"/>
        <w:rPr>
          <w:rFonts w:ascii="Times New Roman" w:hAnsi="Times New Roman" w:cs="Times New Roman"/>
          <w:b/>
          <w:sz w:val="28"/>
          <w:szCs w:val="28"/>
        </w:rPr>
      </w:pPr>
      <w:r w:rsidRPr="00110AD5">
        <w:rPr>
          <w:rFonts w:ascii="Times New Roman" w:hAnsi="Times New Roman" w:cs="Times New Roman"/>
          <w:b/>
          <w:sz w:val="28"/>
          <w:szCs w:val="28"/>
        </w:rPr>
        <w:t>I. Визначення проблеми</w:t>
      </w:r>
    </w:p>
    <w:p w:rsidR="00BD60A7" w:rsidRDefault="00BD60A7" w:rsidP="0076466B">
      <w:pPr>
        <w:pStyle w:val="a5"/>
        <w:widowControl w:val="0"/>
        <w:spacing w:before="120" w:beforeAutospacing="0" w:after="0" w:afterAutospacing="0"/>
        <w:ind w:firstLine="567"/>
        <w:jc w:val="both"/>
        <w:rPr>
          <w:sz w:val="28"/>
          <w:szCs w:val="28"/>
        </w:rPr>
      </w:pPr>
      <w:r>
        <w:rPr>
          <w:sz w:val="28"/>
          <w:szCs w:val="28"/>
        </w:rPr>
        <w:t xml:space="preserve">Відповідно до частини першої </w:t>
      </w:r>
      <w:r w:rsidRPr="007839E4">
        <w:rPr>
          <w:sz w:val="28"/>
          <w:szCs w:val="28"/>
        </w:rPr>
        <w:t>статті 1</w:t>
      </w:r>
      <w:r>
        <w:rPr>
          <w:sz w:val="28"/>
          <w:szCs w:val="28"/>
        </w:rPr>
        <w:t>4</w:t>
      </w:r>
      <w:r w:rsidRPr="007839E4">
        <w:rPr>
          <w:sz w:val="28"/>
          <w:szCs w:val="28"/>
        </w:rPr>
        <w:t xml:space="preserve"> Закону України «Про валюту і валютні операції» (далі – Закон)</w:t>
      </w:r>
      <w:r w:rsidR="0083395E">
        <w:rPr>
          <w:sz w:val="28"/>
          <w:szCs w:val="28"/>
        </w:rPr>
        <w:t>, який введено в дію 07.02</w:t>
      </w:r>
      <w:r w:rsidR="002E343E">
        <w:rPr>
          <w:sz w:val="28"/>
          <w:szCs w:val="28"/>
        </w:rPr>
        <w:t>.</w:t>
      </w:r>
      <w:r w:rsidR="0083395E">
        <w:rPr>
          <w:sz w:val="28"/>
          <w:szCs w:val="28"/>
        </w:rPr>
        <w:t>2019,</w:t>
      </w:r>
      <w:r>
        <w:rPr>
          <w:sz w:val="28"/>
          <w:szCs w:val="28"/>
        </w:rPr>
        <w:t xml:space="preserve"> </w:t>
      </w:r>
      <w:r w:rsidR="002D12D6">
        <w:rPr>
          <w:sz w:val="28"/>
          <w:szCs w:val="28"/>
        </w:rPr>
        <w:t xml:space="preserve">до юридичних осіб </w:t>
      </w:r>
      <w:r w:rsidR="002D12D6" w:rsidRPr="002A72D6">
        <w:rPr>
          <w:sz w:val="27"/>
          <w:szCs w:val="27"/>
        </w:rPr>
        <w:t>(крім уповноважених установ)</w:t>
      </w:r>
      <w:r w:rsidR="002D12D6">
        <w:rPr>
          <w:sz w:val="27"/>
          <w:szCs w:val="27"/>
        </w:rPr>
        <w:t xml:space="preserve"> за порушення вимог валютного законодавства </w:t>
      </w:r>
      <w:r w:rsidR="002D12D6" w:rsidRPr="002A72D6">
        <w:rPr>
          <w:sz w:val="27"/>
          <w:szCs w:val="27"/>
        </w:rPr>
        <w:t>(крім порушення строків за операціями з експорту та імпорту товарів, відповідальність за яке встановлюється згідно з</w:t>
      </w:r>
      <w:r w:rsidR="0020068F" w:rsidRPr="002A72D6">
        <w:rPr>
          <w:sz w:val="27"/>
          <w:szCs w:val="27"/>
        </w:rPr>
        <w:t>і</w:t>
      </w:r>
      <w:r w:rsidR="002D12D6" w:rsidRPr="002A72D6">
        <w:rPr>
          <w:sz w:val="27"/>
          <w:szCs w:val="27"/>
        </w:rPr>
        <w:t xml:space="preserve"> статтею 13 цього Закону</w:t>
      </w:r>
      <w:r w:rsidR="00CC0E92">
        <w:rPr>
          <w:sz w:val="27"/>
          <w:szCs w:val="27"/>
        </w:rPr>
        <w:t>)</w:t>
      </w:r>
      <w:r w:rsidR="002D12D6" w:rsidRPr="002A72D6">
        <w:rPr>
          <w:sz w:val="27"/>
          <w:szCs w:val="27"/>
        </w:rPr>
        <w:t xml:space="preserve"> можуть бути застосовані</w:t>
      </w:r>
      <w:r w:rsidR="002D12D6">
        <w:rPr>
          <w:sz w:val="27"/>
          <w:szCs w:val="27"/>
        </w:rPr>
        <w:t xml:space="preserve"> заходи впливу у вигляді штрафних санкцій.</w:t>
      </w:r>
    </w:p>
    <w:p w:rsidR="007839E4" w:rsidRDefault="001538CA" w:rsidP="0076466B">
      <w:pPr>
        <w:pStyle w:val="a5"/>
        <w:widowControl w:val="0"/>
        <w:spacing w:before="0" w:beforeAutospacing="0" w:after="0" w:afterAutospacing="0"/>
        <w:ind w:firstLine="567"/>
        <w:jc w:val="both"/>
        <w:rPr>
          <w:sz w:val="27"/>
          <w:szCs w:val="27"/>
        </w:rPr>
      </w:pPr>
      <w:r>
        <w:rPr>
          <w:sz w:val="28"/>
          <w:szCs w:val="28"/>
        </w:rPr>
        <w:t xml:space="preserve">Частиною </w:t>
      </w:r>
      <w:r w:rsidR="007839E4">
        <w:rPr>
          <w:sz w:val="28"/>
          <w:szCs w:val="28"/>
        </w:rPr>
        <w:t xml:space="preserve">четвертою </w:t>
      </w:r>
      <w:r w:rsidR="007839E4" w:rsidRPr="007839E4">
        <w:rPr>
          <w:sz w:val="28"/>
          <w:szCs w:val="28"/>
        </w:rPr>
        <w:t>статті 1</w:t>
      </w:r>
      <w:r w:rsidR="00BD60A7">
        <w:rPr>
          <w:sz w:val="28"/>
          <w:szCs w:val="28"/>
        </w:rPr>
        <w:t>4</w:t>
      </w:r>
      <w:r w:rsidR="007839E4" w:rsidRPr="007839E4">
        <w:rPr>
          <w:sz w:val="28"/>
          <w:szCs w:val="28"/>
        </w:rPr>
        <w:t xml:space="preserve"> Закону </w:t>
      </w:r>
      <w:r w:rsidRPr="007839E4">
        <w:rPr>
          <w:sz w:val="28"/>
          <w:szCs w:val="28"/>
        </w:rPr>
        <w:t>встановлено, щ</w:t>
      </w:r>
      <w:r>
        <w:rPr>
          <w:sz w:val="28"/>
          <w:szCs w:val="28"/>
        </w:rPr>
        <w:t xml:space="preserve">о </w:t>
      </w:r>
      <w:r w:rsidR="00702D8C">
        <w:rPr>
          <w:sz w:val="27"/>
          <w:szCs w:val="27"/>
        </w:rPr>
        <w:t>ц</w:t>
      </w:r>
      <w:r w:rsidR="007839E4" w:rsidRPr="002A72D6">
        <w:rPr>
          <w:sz w:val="27"/>
          <w:szCs w:val="27"/>
        </w:rPr>
        <w:t xml:space="preserve">ентральний орган виконавчої влади, що реалізує державну податкову та митну політику, має право адекватно вчиненому порушенню застосувати до юридичних осіб (крім уповноважених установ) захід впливу у вигляді штрафних санкцій у розмірі до </w:t>
      </w:r>
      <w:r w:rsidR="00702D8C">
        <w:rPr>
          <w:sz w:val="27"/>
          <w:szCs w:val="27"/>
        </w:rPr>
        <w:br/>
      </w:r>
      <w:r w:rsidR="007839E4" w:rsidRPr="002A72D6">
        <w:rPr>
          <w:sz w:val="27"/>
          <w:szCs w:val="27"/>
        </w:rPr>
        <w:t>100 відсотків суми операції, проведеної з порушенням валютного законодавства.</w:t>
      </w:r>
    </w:p>
    <w:p w:rsidR="007839E4" w:rsidRDefault="002D12D6" w:rsidP="0076466B">
      <w:pPr>
        <w:widowControl w:val="0"/>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Згідно з положеннями</w:t>
      </w:r>
      <w:r w:rsidR="007839E4">
        <w:rPr>
          <w:rFonts w:ascii="Times New Roman" w:eastAsia="Times New Roman" w:hAnsi="Times New Roman" w:cs="Times New Roman"/>
          <w:color w:val="000000"/>
          <w:sz w:val="27"/>
          <w:szCs w:val="27"/>
          <w:lang w:eastAsia="ru-RU"/>
        </w:rPr>
        <w:t xml:space="preserve"> </w:t>
      </w:r>
      <w:r w:rsidR="005940F2">
        <w:rPr>
          <w:rFonts w:ascii="Times New Roman" w:eastAsia="Times New Roman" w:hAnsi="Times New Roman" w:cs="Times New Roman"/>
          <w:color w:val="000000"/>
          <w:sz w:val="27"/>
          <w:szCs w:val="27"/>
          <w:lang w:eastAsia="ru-RU"/>
        </w:rPr>
        <w:t>абзац</w:t>
      </w:r>
      <w:r w:rsidR="00702D8C">
        <w:rPr>
          <w:rFonts w:ascii="Times New Roman" w:eastAsia="Times New Roman" w:hAnsi="Times New Roman" w:cs="Times New Roman"/>
          <w:color w:val="000000"/>
          <w:sz w:val="27"/>
          <w:szCs w:val="27"/>
          <w:lang w:eastAsia="ru-RU"/>
        </w:rPr>
        <w:t>ів</w:t>
      </w:r>
      <w:r w:rsidR="005940F2">
        <w:rPr>
          <w:rFonts w:ascii="Times New Roman" w:eastAsia="Times New Roman" w:hAnsi="Times New Roman" w:cs="Times New Roman"/>
          <w:color w:val="000000"/>
          <w:sz w:val="27"/>
          <w:szCs w:val="27"/>
          <w:lang w:eastAsia="ru-RU"/>
        </w:rPr>
        <w:t xml:space="preserve"> першого</w:t>
      </w:r>
      <w:r w:rsidR="009B6AAB">
        <w:rPr>
          <w:rFonts w:ascii="Times New Roman" w:eastAsia="Times New Roman" w:hAnsi="Times New Roman" w:cs="Times New Roman"/>
          <w:color w:val="000000"/>
          <w:sz w:val="27"/>
          <w:szCs w:val="27"/>
          <w:lang w:eastAsia="ru-RU"/>
        </w:rPr>
        <w:t xml:space="preserve"> та</w:t>
      </w:r>
      <w:r w:rsidR="005940F2">
        <w:rPr>
          <w:rFonts w:ascii="Times New Roman" w:eastAsia="Times New Roman" w:hAnsi="Times New Roman" w:cs="Times New Roman"/>
          <w:color w:val="000000"/>
          <w:sz w:val="27"/>
          <w:szCs w:val="27"/>
          <w:lang w:eastAsia="ru-RU"/>
        </w:rPr>
        <w:t xml:space="preserve"> третього </w:t>
      </w:r>
      <w:r w:rsidR="007839E4">
        <w:rPr>
          <w:rFonts w:ascii="Times New Roman" w:eastAsia="Times New Roman" w:hAnsi="Times New Roman" w:cs="Times New Roman"/>
          <w:color w:val="000000"/>
          <w:sz w:val="27"/>
          <w:szCs w:val="27"/>
          <w:lang w:eastAsia="ru-RU"/>
        </w:rPr>
        <w:t>ч</w:t>
      </w:r>
      <w:r w:rsidR="007839E4" w:rsidRPr="007839E4">
        <w:rPr>
          <w:rFonts w:ascii="Times New Roman" w:eastAsia="Times New Roman" w:hAnsi="Times New Roman" w:cs="Times New Roman"/>
          <w:color w:val="000000"/>
          <w:sz w:val="27"/>
          <w:szCs w:val="27"/>
          <w:lang w:eastAsia="ru-RU"/>
        </w:rPr>
        <w:t>астин</w:t>
      </w:r>
      <w:r w:rsidR="007839E4">
        <w:rPr>
          <w:rFonts w:ascii="Times New Roman" w:eastAsia="Times New Roman" w:hAnsi="Times New Roman" w:cs="Times New Roman"/>
          <w:color w:val="000000"/>
          <w:sz w:val="27"/>
          <w:szCs w:val="27"/>
          <w:lang w:eastAsia="ru-RU"/>
        </w:rPr>
        <w:t>и</w:t>
      </w:r>
      <w:r w:rsidR="007839E4" w:rsidRPr="007839E4">
        <w:rPr>
          <w:rFonts w:ascii="Times New Roman" w:eastAsia="Times New Roman" w:hAnsi="Times New Roman" w:cs="Times New Roman"/>
          <w:color w:val="000000"/>
          <w:sz w:val="27"/>
          <w:szCs w:val="27"/>
          <w:lang w:eastAsia="ru-RU"/>
        </w:rPr>
        <w:t xml:space="preserve"> </w:t>
      </w:r>
      <w:r w:rsidR="00BD60A7">
        <w:rPr>
          <w:rFonts w:ascii="Times New Roman" w:eastAsia="Times New Roman" w:hAnsi="Times New Roman" w:cs="Times New Roman"/>
          <w:color w:val="000000"/>
          <w:sz w:val="27"/>
          <w:szCs w:val="27"/>
          <w:lang w:eastAsia="ru-RU"/>
        </w:rPr>
        <w:t>першої</w:t>
      </w:r>
      <w:r w:rsidR="007839E4" w:rsidRPr="007839E4">
        <w:rPr>
          <w:rFonts w:ascii="Times New Roman" w:eastAsia="Times New Roman" w:hAnsi="Times New Roman" w:cs="Times New Roman"/>
          <w:color w:val="000000"/>
          <w:sz w:val="27"/>
          <w:szCs w:val="27"/>
          <w:lang w:eastAsia="ru-RU"/>
        </w:rPr>
        <w:t xml:space="preserve"> статті 15 Закону поряд</w:t>
      </w:r>
      <w:r w:rsidR="00BD60A7">
        <w:rPr>
          <w:rFonts w:ascii="Times New Roman" w:eastAsia="Times New Roman" w:hAnsi="Times New Roman" w:cs="Times New Roman"/>
          <w:color w:val="000000"/>
          <w:sz w:val="27"/>
          <w:szCs w:val="27"/>
          <w:lang w:eastAsia="ru-RU"/>
        </w:rPr>
        <w:t>о</w:t>
      </w:r>
      <w:r w:rsidR="007839E4" w:rsidRPr="007839E4">
        <w:rPr>
          <w:rFonts w:ascii="Times New Roman" w:eastAsia="Times New Roman" w:hAnsi="Times New Roman" w:cs="Times New Roman"/>
          <w:color w:val="000000"/>
          <w:sz w:val="27"/>
          <w:szCs w:val="27"/>
          <w:lang w:eastAsia="ru-RU"/>
        </w:rPr>
        <w:t>к застосування заходів впливу</w:t>
      </w:r>
      <w:r w:rsidR="00BD60A7">
        <w:rPr>
          <w:rFonts w:ascii="Times New Roman" w:eastAsia="Times New Roman" w:hAnsi="Times New Roman" w:cs="Times New Roman"/>
          <w:color w:val="000000"/>
          <w:sz w:val="27"/>
          <w:szCs w:val="27"/>
          <w:lang w:eastAsia="ru-RU"/>
        </w:rPr>
        <w:t xml:space="preserve">, передбачених статтею 14 Закону, у тому числі розмір </w:t>
      </w:r>
      <w:r w:rsidR="007839E4" w:rsidRPr="007839E4">
        <w:rPr>
          <w:rFonts w:ascii="Times New Roman" w:eastAsia="Times New Roman" w:hAnsi="Times New Roman" w:cs="Times New Roman"/>
          <w:color w:val="000000"/>
          <w:sz w:val="27"/>
          <w:szCs w:val="27"/>
          <w:lang w:eastAsia="ru-RU"/>
        </w:rPr>
        <w:t>штрафних санкцій</w:t>
      </w:r>
      <w:r w:rsidR="00702D8C">
        <w:rPr>
          <w:rFonts w:ascii="Times New Roman" w:eastAsia="Times New Roman" w:hAnsi="Times New Roman" w:cs="Times New Roman"/>
          <w:color w:val="000000"/>
          <w:sz w:val="27"/>
          <w:szCs w:val="27"/>
          <w:lang w:eastAsia="ru-RU"/>
        </w:rPr>
        <w:t>,</w:t>
      </w:r>
      <w:r w:rsidR="007839E4" w:rsidRPr="007839E4">
        <w:rPr>
          <w:rFonts w:ascii="Times New Roman" w:eastAsia="Times New Roman" w:hAnsi="Times New Roman" w:cs="Times New Roman"/>
          <w:color w:val="000000"/>
          <w:sz w:val="27"/>
          <w:szCs w:val="27"/>
          <w:lang w:eastAsia="ru-RU"/>
        </w:rPr>
        <w:t xml:space="preserve"> до юридичних осіб (крім уповноважених установ) за порушення вимог валютного законодавства</w:t>
      </w:r>
      <w:r w:rsidR="00BD60A7">
        <w:rPr>
          <w:rFonts w:ascii="Times New Roman" w:eastAsia="Times New Roman" w:hAnsi="Times New Roman" w:cs="Times New Roman"/>
          <w:color w:val="000000"/>
          <w:sz w:val="27"/>
          <w:szCs w:val="27"/>
          <w:lang w:eastAsia="ru-RU"/>
        </w:rPr>
        <w:t xml:space="preserve"> </w:t>
      </w:r>
      <w:r w:rsidR="00BD60A7" w:rsidRPr="007839E4">
        <w:rPr>
          <w:rFonts w:ascii="Times New Roman" w:eastAsia="Times New Roman" w:hAnsi="Times New Roman" w:cs="Times New Roman"/>
          <w:color w:val="000000"/>
          <w:sz w:val="27"/>
          <w:szCs w:val="27"/>
          <w:lang w:eastAsia="ru-RU"/>
        </w:rPr>
        <w:t>встановл</w:t>
      </w:r>
      <w:r w:rsidR="00BD60A7">
        <w:rPr>
          <w:rFonts w:ascii="Times New Roman" w:eastAsia="Times New Roman" w:hAnsi="Times New Roman" w:cs="Times New Roman"/>
          <w:color w:val="000000"/>
          <w:sz w:val="27"/>
          <w:szCs w:val="27"/>
          <w:lang w:eastAsia="ru-RU"/>
        </w:rPr>
        <w:t>юється</w:t>
      </w:r>
      <w:r w:rsidR="00BD60A7" w:rsidRPr="00BD60A7">
        <w:rPr>
          <w:sz w:val="27"/>
          <w:szCs w:val="27"/>
        </w:rPr>
        <w:t xml:space="preserve"> </w:t>
      </w:r>
      <w:r w:rsidR="00BD60A7" w:rsidRPr="007839E4">
        <w:rPr>
          <w:rFonts w:ascii="Times New Roman" w:eastAsia="Times New Roman" w:hAnsi="Times New Roman" w:cs="Times New Roman"/>
          <w:color w:val="000000"/>
          <w:sz w:val="27"/>
          <w:szCs w:val="27"/>
          <w:lang w:eastAsia="ru-RU"/>
        </w:rPr>
        <w:t>центральним органом виконавчої влади, що реалізує державну податкову і митну політику</w:t>
      </w:r>
      <w:r w:rsidR="007839E4" w:rsidRPr="007839E4">
        <w:rPr>
          <w:rFonts w:ascii="Times New Roman" w:eastAsia="Times New Roman" w:hAnsi="Times New Roman" w:cs="Times New Roman"/>
          <w:color w:val="000000"/>
          <w:sz w:val="27"/>
          <w:szCs w:val="27"/>
          <w:lang w:eastAsia="ru-RU"/>
        </w:rPr>
        <w:t>.</w:t>
      </w:r>
    </w:p>
    <w:p w:rsidR="00815132" w:rsidRPr="002E2E2E" w:rsidRDefault="00525476" w:rsidP="002E2E2E">
      <w:pPr>
        <w:pStyle w:val="a5"/>
        <w:widowControl w:val="0"/>
        <w:spacing w:before="0" w:beforeAutospacing="0" w:after="0" w:afterAutospacing="0"/>
        <w:ind w:firstLine="567"/>
        <w:jc w:val="both"/>
        <w:rPr>
          <w:sz w:val="28"/>
          <w:szCs w:val="28"/>
        </w:rPr>
      </w:pPr>
      <w:r>
        <w:rPr>
          <w:sz w:val="27"/>
          <w:szCs w:val="27"/>
        </w:rPr>
        <w:t>Н</w:t>
      </w:r>
      <w:r w:rsidR="002207EC" w:rsidRPr="002207EC">
        <w:rPr>
          <w:sz w:val="27"/>
          <w:szCs w:val="27"/>
        </w:rPr>
        <w:t xml:space="preserve">а </w:t>
      </w:r>
      <w:r w:rsidR="002E343E">
        <w:rPr>
          <w:sz w:val="27"/>
          <w:szCs w:val="27"/>
        </w:rPr>
        <w:t>це</w:t>
      </w:r>
      <w:r w:rsidR="002207EC" w:rsidRPr="002207EC">
        <w:rPr>
          <w:sz w:val="27"/>
          <w:szCs w:val="27"/>
        </w:rPr>
        <w:t xml:space="preserve">й час нормативно-правові акти з </w:t>
      </w:r>
      <w:r w:rsidR="002E343E">
        <w:rPr>
          <w:sz w:val="27"/>
          <w:szCs w:val="27"/>
        </w:rPr>
        <w:t>у</w:t>
      </w:r>
      <w:r w:rsidR="002207EC" w:rsidRPr="002207EC">
        <w:rPr>
          <w:sz w:val="27"/>
          <w:szCs w:val="27"/>
        </w:rPr>
        <w:t xml:space="preserve">регулювання зазначених вище </w:t>
      </w:r>
      <w:r w:rsidR="002207EC" w:rsidRPr="002E2E2E">
        <w:rPr>
          <w:sz w:val="28"/>
          <w:szCs w:val="28"/>
        </w:rPr>
        <w:t>питань не дають можливості контролюючим органам реалізувати норми</w:t>
      </w:r>
      <w:r w:rsidR="003C3B8D" w:rsidRPr="002E2E2E">
        <w:rPr>
          <w:sz w:val="28"/>
          <w:szCs w:val="28"/>
        </w:rPr>
        <w:t xml:space="preserve"> </w:t>
      </w:r>
      <w:r w:rsidRPr="002E2E2E">
        <w:rPr>
          <w:sz w:val="28"/>
          <w:szCs w:val="28"/>
        </w:rPr>
        <w:t xml:space="preserve">Закону, </w:t>
      </w:r>
      <w:r w:rsidR="0029449D">
        <w:rPr>
          <w:sz w:val="28"/>
          <w:szCs w:val="28"/>
        </w:rPr>
        <w:t xml:space="preserve">так </w:t>
      </w:r>
      <w:r w:rsidR="004D3FCA">
        <w:rPr>
          <w:sz w:val="28"/>
          <w:szCs w:val="28"/>
        </w:rPr>
        <w:t>поза</w:t>
      </w:r>
      <w:r w:rsidRPr="002E2E2E">
        <w:rPr>
          <w:sz w:val="28"/>
          <w:szCs w:val="28"/>
        </w:rPr>
        <w:t xml:space="preserve">як були прийняті </w:t>
      </w:r>
      <w:r w:rsidR="00815132" w:rsidRPr="002E2E2E">
        <w:rPr>
          <w:sz w:val="28"/>
          <w:szCs w:val="28"/>
        </w:rPr>
        <w:t xml:space="preserve">на </w:t>
      </w:r>
      <w:r w:rsidR="001A779A" w:rsidRPr="002E2E2E">
        <w:rPr>
          <w:sz w:val="28"/>
          <w:szCs w:val="28"/>
        </w:rPr>
        <w:t xml:space="preserve">виконання законодавчих актів, які відповідно до пункту 2 статті 16 Закону втратили чинність. </w:t>
      </w:r>
    </w:p>
    <w:p w:rsidR="0054721A" w:rsidRPr="003A4294" w:rsidRDefault="00AF16C0" w:rsidP="002E2E2E">
      <w:pPr>
        <w:pStyle w:val="a5"/>
        <w:widowControl w:val="0"/>
        <w:spacing w:before="0" w:beforeAutospacing="0" w:after="0" w:afterAutospacing="0"/>
        <w:ind w:firstLine="567"/>
        <w:jc w:val="both"/>
        <w:rPr>
          <w:sz w:val="28"/>
          <w:szCs w:val="28"/>
        </w:rPr>
      </w:pPr>
      <w:r>
        <w:rPr>
          <w:sz w:val="28"/>
          <w:szCs w:val="28"/>
        </w:rPr>
        <w:t>Так, д</w:t>
      </w:r>
      <w:r w:rsidR="0054721A">
        <w:rPr>
          <w:sz w:val="28"/>
          <w:szCs w:val="28"/>
        </w:rPr>
        <w:t xml:space="preserve">о введення у дію Закону до суб’єктів зовнішньоекономічної діяльності </w:t>
      </w:r>
      <w:r w:rsidRPr="00AF16C0">
        <w:rPr>
          <w:sz w:val="28"/>
          <w:szCs w:val="28"/>
        </w:rPr>
        <w:t xml:space="preserve">за порушення валютного законодавства </w:t>
      </w:r>
      <w:r w:rsidR="0054721A">
        <w:rPr>
          <w:sz w:val="28"/>
          <w:szCs w:val="28"/>
        </w:rPr>
        <w:t>застосовувалась відповідальність</w:t>
      </w:r>
      <w:r w:rsidR="002E343E">
        <w:rPr>
          <w:sz w:val="28"/>
          <w:szCs w:val="28"/>
        </w:rPr>
        <w:t>,</w:t>
      </w:r>
      <w:r w:rsidR="0054721A">
        <w:rPr>
          <w:sz w:val="28"/>
          <w:szCs w:val="28"/>
        </w:rPr>
        <w:t xml:space="preserve"> встановлена статтею 16 Декрету Кабінету Міністрів України «</w:t>
      </w:r>
      <w:r w:rsidR="0054721A" w:rsidRPr="0054721A">
        <w:rPr>
          <w:sz w:val="28"/>
          <w:szCs w:val="28"/>
        </w:rPr>
        <w:t>Про систему валютного регулювання і валютного контролю</w:t>
      </w:r>
      <w:r w:rsidR="0054721A">
        <w:rPr>
          <w:sz w:val="28"/>
          <w:szCs w:val="28"/>
        </w:rPr>
        <w:t>»</w:t>
      </w:r>
      <w:r>
        <w:rPr>
          <w:sz w:val="28"/>
          <w:szCs w:val="28"/>
        </w:rPr>
        <w:t>, яка</w:t>
      </w:r>
      <w:r w:rsidR="0054721A">
        <w:rPr>
          <w:sz w:val="28"/>
          <w:szCs w:val="28"/>
        </w:rPr>
        <w:t xml:space="preserve"> передбачала </w:t>
      </w:r>
      <w:r w:rsidRPr="00AF16C0">
        <w:rPr>
          <w:sz w:val="28"/>
          <w:szCs w:val="28"/>
        </w:rPr>
        <w:t>за здійснення операцій з валютними цінностями</w:t>
      </w:r>
      <w:r>
        <w:rPr>
          <w:sz w:val="28"/>
          <w:szCs w:val="28"/>
        </w:rPr>
        <w:t xml:space="preserve"> з порушенням </w:t>
      </w:r>
      <w:r w:rsidRPr="0054721A">
        <w:rPr>
          <w:sz w:val="28"/>
          <w:szCs w:val="28"/>
        </w:rPr>
        <w:t xml:space="preserve">правил валютного регулювання і валютного контролю </w:t>
      </w:r>
      <w:r w:rsidR="0054721A" w:rsidRPr="0054721A">
        <w:rPr>
          <w:sz w:val="28"/>
          <w:szCs w:val="28"/>
        </w:rPr>
        <w:t>штраф у сумі, еквівалентній сумі (вартості) зазначених валютних цінностей,</w:t>
      </w:r>
      <w:r>
        <w:rPr>
          <w:sz w:val="28"/>
          <w:szCs w:val="28"/>
        </w:rPr>
        <w:t xml:space="preserve"> тобто 100 відс</w:t>
      </w:r>
      <w:r w:rsidR="002E343E">
        <w:rPr>
          <w:sz w:val="28"/>
          <w:szCs w:val="28"/>
        </w:rPr>
        <w:t>отків</w:t>
      </w:r>
      <w:r>
        <w:rPr>
          <w:sz w:val="28"/>
          <w:szCs w:val="28"/>
        </w:rPr>
        <w:t>.</w:t>
      </w:r>
    </w:p>
    <w:p w:rsidR="00B4617F" w:rsidRDefault="00AF16C0" w:rsidP="002E2E2E">
      <w:pPr>
        <w:pStyle w:val="a5"/>
        <w:widowControl w:val="0"/>
        <w:spacing w:before="0" w:beforeAutospacing="0" w:after="0" w:afterAutospacing="0"/>
        <w:ind w:firstLine="567"/>
        <w:jc w:val="both"/>
        <w:rPr>
          <w:sz w:val="28"/>
          <w:szCs w:val="28"/>
        </w:rPr>
      </w:pPr>
      <w:r>
        <w:rPr>
          <w:sz w:val="28"/>
          <w:szCs w:val="28"/>
        </w:rPr>
        <w:t>На сьогодні здійснюють зовнішньоекономічну діяльність понад 45 тисяч суб’єктів господарювання – юридичних осіб. У</w:t>
      </w:r>
      <w:r w:rsidR="00B4617F" w:rsidRPr="002E2E2E">
        <w:rPr>
          <w:sz w:val="28"/>
          <w:szCs w:val="28"/>
        </w:rPr>
        <w:t xml:space="preserve"> 2018 році з питань дотримання вимог ч</w:t>
      </w:r>
      <w:r w:rsidR="002E343E">
        <w:rPr>
          <w:sz w:val="28"/>
          <w:szCs w:val="28"/>
        </w:rPr>
        <w:t>инн</w:t>
      </w:r>
      <w:r w:rsidR="00B4617F" w:rsidRPr="002E2E2E">
        <w:rPr>
          <w:sz w:val="28"/>
          <w:szCs w:val="28"/>
        </w:rPr>
        <w:t xml:space="preserve">их на той час законодавчих та нормативно-правових актів проведено 6078 перевірок, за результатами яких донараховано 2078,9 млн грн штрафних санкцій за порушення правил валютного регулювання та строків розрахунків </w:t>
      </w:r>
      <w:r w:rsidR="002E343E">
        <w:rPr>
          <w:sz w:val="28"/>
          <w:szCs w:val="28"/>
        </w:rPr>
        <w:t>у</w:t>
      </w:r>
      <w:r w:rsidR="00B4617F" w:rsidRPr="002E2E2E">
        <w:rPr>
          <w:sz w:val="28"/>
          <w:szCs w:val="28"/>
        </w:rPr>
        <w:t xml:space="preserve"> сфері ЗЕД.</w:t>
      </w:r>
    </w:p>
    <w:p w:rsidR="00AF16C0" w:rsidRDefault="00AF16C0" w:rsidP="002E2E2E">
      <w:pPr>
        <w:pStyle w:val="a5"/>
        <w:widowControl w:val="0"/>
        <w:spacing w:before="0" w:beforeAutospacing="0" w:after="0" w:afterAutospacing="0"/>
        <w:ind w:firstLine="567"/>
        <w:jc w:val="both"/>
        <w:rPr>
          <w:sz w:val="28"/>
          <w:szCs w:val="28"/>
        </w:rPr>
      </w:pPr>
      <w:r>
        <w:rPr>
          <w:sz w:val="28"/>
          <w:szCs w:val="28"/>
        </w:rPr>
        <w:t xml:space="preserve">Норми </w:t>
      </w:r>
      <w:r w:rsidR="00483D1C">
        <w:rPr>
          <w:sz w:val="28"/>
          <w:szCs w:val="28"/>
        </w:rPr>
        <w:t xml:space="preserve">ж </w:t>
      </w:r>
      <w:r>
        <w:rPr>
          <w:sz w:val="28"/>
          <w:szCs w:val="28"/>
        </w:rPr>
        <w:t xml:space="preserve">Закону </w:t>
      </w:r>
      <w:r w:rsidR="00483D1C">
        <w:rPr>
          <w:sz w:val="28"/>
          <w:szCs w:val="28"/>
        </w:rPr>
        <w:t xml:space="preserve">передбачають </w:t>
      </w:r>
      <w:r w:rsidR="00036614">
        <w:rPr>
          <w:sz w:val="28"/>
          <w:szCs w:val="28"/>
        </w:rPr>
        <w:t xml:space="preserve">необхідність </w:t>
      </w:r>
      <w:r w:rsidR="00483D1C">
        <w:rPr>
          <w:sz w:val="28"/>
          <w:szCs w:val="28"/>
        </w:rPr>
        <w:t xml:space="preserve">визначення порядку </w:t>
      </w:r>
      <w:r w:rsidR="00483D1C" w:rsidRPr="00483D1C">
        <w:rPr>
          <w:sz w:val="28"/>
          <w:szCs w:val="28"/>
        </w:rPr>
        <w:t>застосування заходів впливу</w:t>
      </w:r>
      <w:r w:rsidR="00483D1C">
        <w:rPr>
          <w:sz w:val="28"/>
          <w:szCs w:val="28"/>
        </w:rPr>
        <w:t xml:space="preserve"> </w:t>
      </w:r>
      <w:r w:rsidR="00036614">
        <w:rPr>
          <w:sz w:val="28"/>
          <w:szCs w:val="28"/>
        </w:rPr>
        <w:t xml:space="preserve">за порушення вимог валютного законодавства окремо </w:t>
      </w:r>
      <w:r w:rsidR="00036614" w:rsidRPr="00036614">
        <w:rPr>
          <w:sz w:val="28"/>
          <w:szCs w:val="28"/>
        </w:rPr>
        <w:t xml:space="preserve">до уповноважених установ </w:t>
      </w:r>
      <w:r w:rsidR="00036614">
        <w:rPr>
          <w:sz w:val="28"/>
          <w:szCs w:val="28"/>
        </w:rPr>
        <w:t xml:space="preserve">та </w:t>
      </w:r>
      <w:r w:rsidR="00036614" w:rsidRPr="00036614">
        <w:rPr>
          <w:sz w:val="28"/>
          <w:szCs w:val="28"/>
        </w:rPr>
        <w:t>юридичних осіб (крім уповноважених установ)</w:t>
      </w:r>
      <w:r w:rsidR="00036614">
        <w:rPr>
          <w:sz w:val="28"/>
          <w:szCs w:val="28"/>
        </w:rPr>
        <w:t xml:space="preserve"> відповідно</w:t>
      </w:r>
      <w:r w:rsidR="00036614" w:rsidRPr="00036614">
        <w:rPr>
          <w:sz w:val="28"/>
          <w:szCs w:val="28"/>
        </w:rPr>
        <w:t xml:space="preserve"> Національним банком України </w:t>
      </w:r>
      <w:r w:rsidR="001B72BB">
        <w:rPr>
          <w:sz w:val="28"/>
          <w:szCs w:val="28"/>
        </w:rPr>
        <w:t>та</w:t>
      </w:r>
      <w:r w:rsidR="00036614" w:rsidRPr="00036614">
        <w:rPr>
          <w:sz w:val="28"/>
          <w:szCs w:val="28"/>
        </w:rPr>
        <w:t xml:space="preserve"> центральним органом виконавчої влади, що реалізує державну податкову та митну політику</w:t>
      </w:r>
      <w:r w:rsidR="009B2585">
        <w:rPr>
          <w:sz w:val="28"/>
          <w:szCs w:val="28"/>
        </w:rPr>
        <w:t xml:space="preserve"> з </w:t>
      </w:r>
      <w:r w:rsidR="009B2585">
        <w:rPr>
          <w:sz w:val="28"/>
          <w:szCs w:val="28"/>
        </w:rPr>
        <w:lastRenderedPageBreak/>
        <w:t>урахуванням</w:t>
      </w:r>
      <w:r w:rsidR="00036614" w:rsidRPr="00036614">
        <w:rPr>
          <w:sz w:val="28"/>
          <w:szCs w:val="28"/>
        </w:rPr>
        <w:t>.</w:t>
      </w:r>
      <w:r w:rsidR="00483D1C">
        <w:rPr>
          <w:sz w:val="28"/>
          <w:szCs w:val="28"/>
        </w:rPr>
        <w:t xml:space="preserve"> </w:t>
      </w:r>
      <w:r w:rsidR="009B2585">
        <w:rPr>
          <w:sz w:val="28"/>
          <w:szCs w:val="28"/>
        </w:rPr>
        <w:t xml:space="preserve">При цьому заходи </w:t>
      </w:r>
      <w:r w:rsidR="009B2585" w:rsidRPr="009B2585">
        <w:rPr>
          <w:sz w:val="28"/>
          <w:szCs w:val="28"/>
        </w:rPr>
        <w:t>впливу у вигляді штрафних санкцій</w:t>
      </w:r>
      <w:r w:rsidR="009B2585">
        <w:rPr>
          <w:sz w:val="28"/>
          <w:szCs w:val="28"/>
        </w:rPr>
        <w:t xml:space="preserve"> мають бути </w:t>
      </w:r>
      <w:r w:rsidR="009B2585" w:rsidRPr="009B2585">
        <w:rPr>
          <w:sz w:val="28"/>
          <w:szCs w:val="28"/>
        </w:rPr>
        <w:t>адекватн</w:t>
      </w:r>
      <w:r w:rsidR="009B2585">
        <w:rPr>
          <w:sz w:val="28"/>
          <w:szCs w:val="28"/>
        </w:rPr>
        <w:t>ими</w:t>
      </w:r>
      <w:r w:rsidR="009B2585" w:rsidRPr="009B2585">
        <w:rPr>
          <w:sz w:val="28"/>
          <w:szCs w:val="28"/>
        </w:rPr>
        <w:t xml:space="preserve"> вчиненому порушенню</w:t>
      </w:r>
      <w:r w:rsidR="009B2585">
        <w:rPr>
          <w:sz w:val="28"/>
          <w:szCs w:val="28"/>
        </w:rPr>
        <w:t>.</w:t>
      </w:r>
    </w:p>
    <w:p w:rsidR="00AF16C0" w:rsidRDefault="00AF16C0" w:rsidP="00AF16C0">
      <w:pPr>
        <w:pStyle w:val="a5"/>
        <w:widowControl w:val="0"/>
        <w:spacing w:before="0" w:beforeAutospacing="0" w:after="0" w:afterAutospacing="0"/>
        <w:ind w:firstLine="567"/>
        <w:jc w:val="both"/>
        <w:rPr>
          <w:sz w:val="28"/>
          <w:szCs w:val="28"/>
        </w:rPr>
      </w:pPr>
      <w:r w:rsidRPr="009B2585">
        <w:rPr>
          <w:sz w:val="28"/>
          <w:szCs w:val="28"/>
        </w:rPr>
        <w:t xml:space="preserve">Отже, реалізація норм Закону потребує затвердження Порядку застосування  контролюючими органами заходів впливу </w:t>
      </w:r>
      <w:r w:rsidR="003F54FA" w:rsidRPr="009B2585">
        <w:rPr>
          <w:sz w:val="28"/>
          <w:szCs w:val="28"/>
        </w:rPr>
        <w:t>у вигляді штрафних санкцій</w:t>
      </w:r>
      <w:r w:rsidRPr="009B2585">
        <w:rPr>
          <w:sz w:val="28"/>
          <w:szCs w:val="28"/>
        </w:rPr>
        <w:t xml:space="preserve"> до юридичних осіб (крім уповноважених установ) за порушення вимог валютного законодавства.</w:t>
      </w:r>
      <w:r w:rsidRPr="003A4294">
        <w:rPr>
          <w:sz w:val="28"/>
          <w:szCs w:val="28"/>
        </w:rPr>
        <w:t xml:space="preserve"> </w:t>
      </w:r>
    </w:p>
    <w:p w:rsidR="00AF16C0" w:rsidRPr="002E2E2E" w:rsidRDefault="00AF16C0" w:rsidP="002E2E2E">
      <w:pPr>
        <w:pStyle w:val="a5"/>
        <w:widowControl w:val="0"/>
        <w:spacing w:before="0" w:beforeAutospacing="0" w:after="0" w:afterAutospacing="0"/>
        <w:ind w:firstLine="567"/>
        <w:jc w:val="both"/>
        <w:rPr>
          <w:sz w:val="28"/>
          <w:szCs w:val="28"/>
        </w:rPr>
      </w:pPr>
    </w:p>
    <w:p w:rsidR="00C366DE" w:rsidRDefault="0013217B" w:rsidP="0076466B">
      <w:pPr>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w:t>
      </w:r>
      <w:r w:rsidR="00C366DE" w:rsidRPr="00C366DE">
        <w:rPr>
          <w:rFonts w:ascii="Times New Roman" w:hAnsi="Times New Roman" w:cs="Times New Roman"/>
          <w:sz w:val="28"/>
          <w:szCs w:val="28"/>
        </w:rPr>
        <w:t>сновні групи (підгрупи), на які проблема справляє вплив:</w:t>
      </w:r>
    </w:p>
    <w:p w:rsidR="00561169" w:rsidRPr="00561169" w:rsidRDefault="00561169" w:rsidP="0076466B">
      <w:pPr>
        <w:widowControl w:val="0"/>
        <w:spacing w:after="0" w:line="240" w:lineRule="auto"/>
        <w:rPr>
          <w:rFonts w:ascii="Times New Roman" w:hAnsi="Times New Roman" w:cs="Times New Roman"/>
          <w:sz w:val="16"/>
          <w:szCs w:val="16"/>
        </w:rPr>
      </w:pPr>
    </w:p>
    <w:tbl>
      <w:tblPr>
        <w:tblStyle w:val="a4"/>
        <w:tblW w:w="0" w:type="auto"/>
        <w:tblLook w:val="04A0" w:firstRow="1" w:lastRow="0" w:firstColumn="1" w:lastColumn="0" w:noHBand="0" w:noVBand="1"/>
      </w:tblPr>
      <w:tblGrid>
        <w:gridCol w:w="3793"/>
        <w:gridCol w:w="3118"/>
        <w:gridCol w:w="2943"/>
      </w:tblGrid>
      <w:tr w:rsidR="00C366DE" w:rsidTr="00BB5E49">
        <w:tc>
          <w:tcPr>
            <w:tcW w:w="3793" w:type="dxa"/>
          </w:tcPr>
          <w:p w:rsidR="00C366DE" w:rsidRDefault="0013217B" w:rsidP="0076466B">
            <w:pPr>
              <w:widowControl w:val="0"/>
              <w:jc w:val="center"/>
              <w:rPr>
                <w:rFonts w:ascii="Times New Roman" w:hAnsi="Times New Roman" w:cs="Times New Roman"/>
                <w:sz w:val="28"/>
                <w:szCs w:val="28"/>
              </w:rPr>
            </w:pPr>
            <w:r w:rsidRPr="0013217B">
              <w:rPr>
                <w:rFonts w:ascii="Times New Roman" w:hAnsi="Times New Roman" w:cs="Times New Roman"/>
                <w:sz w:val="28"/>
                <w:szCs w:val="28"/>
              </w:rPr>
              <w:t>Групи (підгрупи)</w:t>
            </w:r>
          </w:p>
        </w:tc>
        <w:tc>
          <w:tcPr>
            <w:tcW w:w="3118" w:type="dxa"/>
          </w:tcPr>
          <w:p w:rsidR="00C366DE" w:rsidRDefault="0013217B" w:rsidP="0076466B">
            <w:pPr>
              <w:widowControl w:val="0"/>
              <w:jc w:val="center"/>
              <w:rPr>
                <w:rFonts w:ascii="Times New Roman" w:hAnsi="Times New Roman" w:cs="Times New Roman"/>
                <w:sz w:val="28"/>
                <w:szCs w:val="28"/>
              </w:rPr>
            </w:pPr>
            <w:r>
              <w:rPr>
                <w:rFonts w:ascii="Times New Roman" w:hAnsi="Times New Roman" w:cs="Times New Roman"/>
                <w:sz w:val="28"/>
                <w:szCs w:val="28"/>
              </w:rPr>
              <w:t>Так</w:t>
            </w:r>
          </w:p>
        </w:tc>
        <w:tc>
          <w:tcPr>
            <w:tcW w:w="2943" w:type="dxa"/>
          </w:tcPr>
          <w:p w:rsidR="00C366DE" w:rsidRDefault="0013217B" w:rsidP="0076466B">
            <w:pPr>
              <w:widowControl w:val="0"/>
              <w:jc w:val="center"/>
              <w:rPr>
                <w:rFonts w:ascii="Times New Roman" w:hAnsi="Times New Roman" w:cs="Times New Roman"/>
                <w:sz w:val="28"/>
                <w:szCs w:val="28"/>
              </w:rPr>
            </w:pPr>
            <w:r>
              <w:rPr>
                <w:rFonts w:ascii="Times New Roman" w:hAnsi="Times New Roman" w:cs="Times New Roman"/>
                <w:sz w:val="28"/>
                <w:szCs w:val="28"/>
              </w:rPr>
              <w:t>Ні</w:t>
            </w:r>
          </w:p>
        </w:tc>
      </w:tr>
      <w:tr w:rsidR="00C366DE" w:rsidTr="00BB5E49">
        <w:tc>
          <w:tcPr>
            <w:tcW w:w="3793" w:type="dxa"/>
          </w:tcPr>
          <w:p w:rsidR="00C366DE" w:rsidRPr="00BB5E49" w:rsidRDefault="0013217B" w:rsidP="0076466B">
            <w:pPr>
              <w:widowControl w:val="0"/>
              <w:rPr>
                <w:rFonts w:ascii="Times New Roman" w:hAnsi="Times New Roman" w:cs="Times New Roman"/>
                <w:sz w:val="24"/>
                <w:szCs w:val="24"/>
              </w:rPr>
            </w:pPr>
            <w:r w:rsidRPr="00BB5E49">
              <w:rPr>
                <w:rFonts w:ascii="Times New Roman" w:hAnsi="Times New Roman" w:cs="Times New Roman"/>
                <w:sz w:val="24"/>
                <w:szCs w:val="24"/>
              </w:rPr>
              <w:t>Громадяни</w:t>
            </w:r>
          </w:p>
        </w:tc>
        <w:tc>
          <w:tcPr>
            <w:tcW w:w="3118" w:type="dxa"/>
          </w:tcPr>
          <w:p w:rsidR="00C366DE" w:rsidRDefault="00AC5469" w:rsidP="0076466B">
            <w:pPr>
              <w:widowControl w:val="0"/>
              <w:jc w:val="center"/>
              <w:rPr>
                <w:rFonts w:ascii="Times New Roman" w:hAnsi="Times New Roman" w:cs="Times New Roman"/>
                <w:sz w:val="28"/>
                <w:szCs w:val="28"/>
              </w:rPr>
            </w:pPr>
            <w:r>
              <w:rPr>
                <w:rFonts w:ascii="Times New Roman" w:hAnsi="Times New Roman" w:cs="Times New Roman"/>
                <w:sz w:val="28"/>
                <w:szCs w:val="28"/>
              </w:rPr>
              <w:t>–</w:t>
            </w:r>
          </w:p>
        </w:tc>
        <w:tc>
          <w:tcPr>
            <w:tcW w:w="2943" w:type="dxa"/>
          </w:tcPr>
          <w:p w:rsidR="00AC5469" w:rsidRDefault="00AC5469" w:rsidP="0076466B">
            <w:pPr>
              <w:widowControl w:val="0"/>
              <w:jc w:val="center"/>
              <w:rPr>
                <w:rFonts w:ascii="Times New Roman" w:hAnsi="Times New Roman" w:cs="Times New Roman"/>
                <w:sz w:val="28"/>
                <w:szCs w:val="28"/>
              </w:rPr>
            </w:pPr>
            <w:r>
              <w:rPr>
                <w:rFonts w:ascii="Times New Roman" w:hAnsi="Times New Roman" w:cs="Times New Roman"/>
                <w:sz w:val="28"/>
                <w:szCs w:val="28"/>
              </w:rPr>
              <w:t>–</w:t>
            </w:r>
          </w:p>
        </w:tc>
      </w:tr>
      <w:tr w:rsidR="00C366DE" w:rsidTr="00BB5E49">
        <w:tc>
          <w:tcPr>
            <w:tcW w:w="3793" w:type="dxa"/>
          </w:tcPr>
          <w:p w:rsidR="00C366DE" w:rsidRPr="00BB5E49" w:rsidRDefault="0013217B" w:rsidP="0076466B">
            <w:pPr>
              <w:widowControl w:val="0"/>
              <w:rPr>
                <w:rFonts w:ascii="Times New Roman" w:hAnsi="Times New Roman" w:cs="Times New Roman"/>
                <w:sz w:val="24"/>
                <w:szCs w:val="24"/>
              </w:rPr>
            </w:pPr>
            <w:r w:rsidRPr="00BB5E49">
              <w:rPr>
                <w:rFonts w:ascii="Times New Roman" w:hAnsi="Times New Roman" w:cs="Times New Roman"/>
                <w:sz w:val="24"/>
                <w:szCs w:val="24"/>
              </w:rPr>
              <w:t>Держава</w:t>
            </w:r>
          </w:p>
        </w:tc>
        <w:tc>
          <w:tcPr>
            <w:tcW w:w="3118" w:type="dxa"/>
          </w:tcPr>
          <w:p w:rsidR="00C366DE" w:rsidRDefault="00FB12EF" w:rsidP="0076466B">
            <w:pPr>
              <w:widowControl w:val="0"/>
              <w:jc w:val="center"/>
              <w:rPr>
                <w:rFonts w:ascii="Times New Roman" w:hAnsi="Times New Roman" w:cs="Times New Roman"/>
                <w:sz w:val="28"/>
                <w:szCs w:val="28"/>
              </w:rPr>
            </w:pPr>
            <w:r>
              <w:rPr>
                <w:rFonts w:ascii="Times New Roman" w:hAnsi="Times New Roman" w:cs="Times New Roman"/>
                <w:sz w:val="28"/>
                <w:szCs w:val="28"/>
              </w:rPr>
              <w:t>+</w:t>
            </w:r>
          </w:p>
        </w:tc>
        <w:tc>
          <w:tcPr>
            <w:tcW w:w="2943" w:type="dxa"/>
          </w:tcPr>
          <w:p w:rsidR="00C366DE" w:rsidRDefault="00AC5469" w:rsidP="0076466B">
            <w:pPr>
              <w:widowControl w:val="0"/>
              <w:jc w:val="center"/>
              <w:rPr>
                <w:rFonts w:ascii="Times New Roman" w:hAnsi="Times New Roman" w:cs="Times New Roman"/>
                <w:sz w:val="28"/>
                <w:szCs w:val="28"/>
              </w:rPr>
            </w:pPr>
            <w:r>
              <w:rPr>
                <w:rFonts w:ascii="Times New Roman" w:hAnsi="Times New Roman" w:cs="Times New Roman"/>
                <w:sz w:val="28"/>
                <w:szCs w:val="28"/>
              </w:rPr>
              <w:t>–</w:t>
            </w:r>
          </w:p>
        </w:tc>
      </w:tr>
      <w:tr w:rsidR="00C366DE" w:rsidTr="00BB5E49">
        <w:tc>
          <w:tcPr>
            <w:tcW w:w="3793" w:type="dxa"/>
          </w:tcPr>
          <w:p w:rsidR="00C366DE" w:rsidRPr="00BB5E49" w:rsidRDefault="006B077A" w:rsidP="0076466B">
            <w:pPr>
              <w:widowControl w:val="0"/>
              <w:rPr>
                <w:rFonts w:ascii="Times New Roman" w:hAnsi="Times New Roman" w:cs="Times New Roman"/>
                <w:sz w:val="24"/>
                <w:szCs w:val="24"/>
                <w:lang w:val="ru-RU"/>
              </w:rPr>
            </w:pPr>
            <w:r w:rsidRPr="00BB5E49">
              <w:rPr>
                <w:rFonts w:ascii="Times New Roman" w:hAnsi="Times New Roman" w:cs="Times New Roman"/>
                <w:sz w:val="24"/>
                <w:szCs w:val="24"/>
              </w:rPr>
              <w:t>Суб’</w:t>
            </w:r>
            <w:r w:rsidR="009671CF" w:rsidRPr="00BB5E49">
              <w:rPr>
                <w:rFonts w:ascii="Times New Roman" w:hAnsi="Times New Roman" w:cs="Times New Roman"/>
                <w:sz w:val="24"/>
                <w:szCs w:val="24"/>
              </w:rPr>
              <w:t xml:space="preserve">єкти </w:t>
            </w:r>
            <w:r w:rsidR="0013217B" w:rsidRPr="00BB5E49">
              <w:rPr>
                <w:rFonts w:ascii="Times New Roman" w:hAnsi="Times New Roman" w:cs="Times New Roman"/>
                <w:sz w:val="24"/>
                <w:szCs w:val="24"/>
              </w:rPr>
              <w:t>господарювання,</w:t>
            </w:r>
            <w:r w:rsidR="00BB5E49" w:rsidRPr="00BB5E49">
              <w:rPr>
                <w:rFonts w:ascii="Times New Roman" w:hAnsi="Times New Roman" w:cs="Times New Roman"/>
                <w:sz w:val="24"/>
                <w:szCs w:val="24"/>
              </w:rPr>
              <w:t xml:space="preserve"> у тому числі суб’єкти малого підприємництва</w:t>
            </w:r>
            <w:r w:rsidR="00BB5E49" w:rsidRPr="00BB5E49">
              <w:rPr>
                <w:rFonts w:ascii="Times New Roman" w:hAnsi="Times New Roman" w:cs="Times New Roman"/>
                <w:sz w:val="24"/>
                <w:szCs w:val="24"/>
                <w:lang w:val="ru-RU"/>
              </w:rPr>
              <w:t xml:space="preserve"> </w:t>
            </w:r>
          </w:p>
        </w:tc>
        <w:tc>
          <w:tcPr>
            <w:tcW w:w="3118" w:type="dxa"/>
          </w:tcPr>
          <w:p w:rsidR="00C366DE" w:rsidRDefault="00FB12EF" w:rsidP="0076466B">
            <w:pPr>
              <w:widowControl w:val="0"/>
              <w:jc w:val="center"/>
              <w:rPr>
                <w:rFonts w:ascii="Times New Roman" w:hAnsi="Times New Roman" w:cs="Times New Roman"/>
                <w:sz w:val="28"/>
                <w:szCs w:val="28"/>
              </w:rPr>
            </w:pPr>
            <w:r>
              <w:rPr>
                <w:rFonts w:ascii="Times New Roman" w:hAnsi="Times New Roman" w:cs="Times New Roman"/>
                <w:sz w:val="28"/>
                <w:szCs w:val="28"/>
              </w:rPr>
              <w:t>+</w:t>
            </w:r>
          </w:p>
        </w:tc>
        <w:tc>
          <w:tcPr>
            <w:tcW w:w="2943" w:type="dxa"/>
          </w:tcPr>
          <w:p w:rsidR="00C366DE" w:rsidRDefault="00AC5469" w:rsidP="0076466B">
            <w:pPr>
              <w:widowControl w:val="0"/>
              <w:jc w:val="center"/>
              <w:rPr>
                <w:rFonts w:ascii="Times New Roman" w:hAnsi="Times New Roman" w:cs="Times New Roman"/>
                <w:sz w:val="28"/>
                <w:szCs w:val="28"/>
              </w:rPr>
            </w:pPr>
            <w:r>
              <w:rPr>
                <w:rFonts w:ascii="Times New Roman" w:hAnsi="Times New Roman" w:cs="Times New Roman"/>
                <w:sz w:val="28"/>
                <w:szCs w:val="28"/>
              </w:rPr>
              <w:t>–</w:t>
            </w:r>
          </w:p>
        </w:tc>
      </w:tr>
    </w:tbl>
    <w:p w:rsidR="006B077A" w:rsidRPr="00AF40BD" w:rsidRDefault="006B077A" w:rsidP="0076466B">
      <w:pPr>
        <w:widowControl w:val="0"/>
        <w:spacing w:after="0" w:line="240" w:lineRule="auto"/>
        <w:ind w:firstLine="709"/>
        <w:jc w:val="both"/>
        <w:rPr>
          <w:rFonts w:ascii="Times New Roman" w:hAnsi="Times New Roman" w:cs="Times New Roman"/>
          <w:sz w:val="16"/>
          <w:szCs w:val="16"/>
        </w:rPr>
      </w:pPr>
    </w:p>
    <w:p w:rsidR="00D117F5" w:rsidRDefault="00A4500D" w:rsidP="00CF1D47">
      <w:pPr>
        <w:widowControl w:val="0"/>
        <w:spacing w:after="0" w:line="240" w:lineRule="auto"/>
        <w:ind w:firstLine="567"/>
        <w:jc w:val="both"/>
        <w:rPr>
          <w:rFonts w:ascii="Times New Roman" w:hAnsi="Times New Roman" w:cs="Times New Roman"/>
          <w:sz w:val="28"/>
          <w:szCs w:val="28"/>
        </w:rPr>
      </w:pPr>
      <w:r w:rsidRPr="00615BF2">
        <w:rPr>
          <w:rFonts w:ascii="Times New Roman" w:hAnsi="Times New Roman" w:cs="Times New Roman"/>
          <w:sz w:val="28"/>
          <w:szCs w:val="28"/>
        </w:rPr>
        <w:t>Врегулювання зазначеного питання не може бути здійснено за допомогою</w:t>
      </w:r>
      <w:r w:rsidR="00D117F5">
        <w:rPr>
          <w:rFonts w:ascii="Times New Roman" w:hAnsi="Times New Roman" w:cs="Times New Roman"/>
          <w:sz w:val="28"/>
          <w:szCs w:val="28"/>
        </w:rPr>
        <w:t>:</w:t>
      </w:r>
    </w:p>
    <w:p w:rsidR="00A4500D" w:rsidRDefault="00A4500D" w:rsidP="00CF1D47">
      <w:pPr>
        <w:widowControl w:val="0"/>
        <w:spacing w:after="0" w:line="240" w:lineRule="auto"/>
        <w:ind w:firstLine="567"/>
        <w:jc w:val="both"/>
        <w:rPr>
          <w:rFonts w:ascii="Times New Roman" w:hAnsi="Times New Roman" w:cs="Times New Roman"/>
          <w:sz w:val="28"/>
          <w:szCs w:val="28"/>
        </w:rPr>
      </w:pPr>
      <w:r w:rsidRPr="00615BF2">
        <w:rPr>
          <w:rFonts w:ascii="Times New Roman" w:hAnsi="Times New Roman" w:cs="Times New Roman"/>
          <w:sz w:val="28"/>
          <w:szCs w:val="28"/>
        </w:rPr>
        <w:t>ринкових механізмів, оскільки та</w:t>
      </w:r>
      <w:r w:rsidR="00692A49">
        <w:rPr>
          <w:rFonts w:ascii="Times New Roman" w:hAnsi="Times New Roman" w:cs="Times New Roman"/>
          <w:sz w:val="28"/>
          <w:szCs w:val="28"/>
        </w:rPr>
        <w:t>кі питання регулюються виключно нормативно-</w:t>
      </w:r>
      <w:r w:rsidRPr="00615BF2">
        <w:rPr>
          <w:rFonts w:ascii="Times New Roman" w:hAnsi="Times New Roman" w:cs="Times New Roman"/>
          <w:sz w:val="28"/>
          <w:szCs w:val="28"/>
        </w:rPr>
        <w:t>правовими актами</w:t>
      </w:r>
      <w:r w:rsidR="00D117F5">
        <w:rPr>
          <w:rFonts w:ascii="Times New Roman" w:hAnsi="Times New Roman" w:cs="Times New Roman"/>
          <w:sz w:val="28"/>
          <w:szCs w:val="28"/>
        </w:rPr>
        <w:t>;</w:t>
      </w:r>
    </w:p>
    <w:p w:rsidR="00D117F5" w:rsidRPr="00615BF2" w:rsidRDefault="00797C61" w:rsidP="00CF1D47">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чинних</w:t>
      </w:r>
      <w:r w:rsidR="00D117F5">
        <w:rPr>
          <w:rFonts w:ascii="Times New Roman" w:hAnsi="Times New Roman" w:cs="Times New Roman"/>
          <w:sz w:val="28"/>
          <w:szCs w:val="28"/>
        </w:rPr>
        <w:t xml:space="preserve"> регуляторних актів, оскільки вони </w:t>
      </w:r>
      <w:r w:rsidR="00CC0E92">
        <w:rPr>
          <w:rFonts w:ascii="Times New Roman" w:hAnsi="Times New Roman" w:cs="Times New Roman"/>
          <w:sz w:val="28"/>
          <w:szCs w:val="28"/>
        </w:rPr>
        <w:t>відсутні</w:t>
      </w:r>
      <w:r w:rsidR="00D117F5">
        <w:rPr>
          <w:rFonts w:ascii="Times New Roman" w:hAnsi="Times New Roman" w:cs="Times New Roman"/>
          <w:sz w:val="28"/>
          <w:szCs w:val="28"/>
        </w:rPr>
        <w:t>.</w:t>
      </w:r>
    </w:p>
    <w:p w:rsidR="008A64BE" w:rsidRDefault="008A64BE" w:rsidP="00CF1D47">
      <w:pPr>
        <w:widowControl w:val="0"/>
        <w:spacing w:after="0" w:line="240" w:lineRule="auto"/>
        <w:ind w:firstLine="567"/>
        <w:jc w:val="both"/>
        <w:rPr>
          <w:rFonts w:ascii="Times New Roman" w:hAnsi="Times New Roman" w:cs="Times New Roman"/>
          <w:b/>
          <w:sz w:val="28"/>
          <w:szCs w:val="28"/>
        </w:rPr>
      </w:pPr>
    </w:p>
    <w:p w:rsidR="00197A4B" w:rsidRDefault="00197A4B" w:rsidP="00CD2463">
      <w:pPr>
        <w:widowControl w:val="0"/>
        <w:spacing w:after="0" w:line="240" w:lineRule="auto"/>
        <w:ind w:firstLine="567"/>
        <w:jc w:val="both"/>
        <w:rPr>
          <w:rFonts w:ascii="Times New Roman" w:hAnsi="Times New Roman" w:cs="Times New Roman"/>
          <w:b/>
          <w:sz w:val="28"/>
          <w:szCs w:val="28"/>
        </w:rPr>
      </w:pPr>
      <w:r w:rsidRPr="00B528C2">
        <w:rPr>
          <w:rFonts w:ascii="Times New Roman" w:hAnsi="Times New Roman" w:cs="Times New Roman"/>
          <w:b/>
          <w:sz w:val="28"/>
          <w:szCs w:val="28"/>
        </w:rPr>
        <w:t>II. Цілі державного регулювання</w:t>
      </w:r>
    </w:p>
    <w:p w:rsidR="00345E2A" w:rsidRDefault="00283C3B" w:rsidP="00283C3B">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Ціллю державного регулювання є </w:t>
      </w:r>
      <w:r w:rsidR="00E6617F" w:rsidRPr="00E6617F">
        <w:rPr>
          <w:rFonts w:ascii="Times New Roman" w:hAnsi="Times New Roman" w:cs="Times New Roman"/>
          <w:sz w:val="28"/>
          <w:szCs w:val="28"/>
        </w:rPr>
        <w:t>удосконаленн</w:t>
      </w:r>
      <w:r>
        <w:rPr>
          <w:rFonts w:ascii="Times New Roman" w:hAnsi="Times New Roman" w:cs="Times New Roman"/>
          <w:sz w:val="28"/>
          <w:szCs w:val="28"/>
        </w:rPr>
        <w:t>я</w:t>
      </w:r>
      <w:r w:rsidR="00E6617F" w:rsidRPr="00E6617F">
        <w:rPr>
          <w:rFonts w:ascii="Times New Roman" w:hAnsi="Times New Roman" w:cs="Times New Roman"/>
          <w:sz w:val="28"/>
          <w:szCs w:val="28"/>
        </w:rPr>
        <w:t xml:space="preserve"> </w:t>
      </w:r>
      <w:r w:rsidR="00E6617F">
        <w:rPr>
          <w:rFonts w:ascii="Times New Roman" w:hAnsi="Times New Roman" w:cs="Times New Roman"/>
          <w:sz w:val="28"/>
          <w:szCs w:val="28"/>
        </w:rPr>
        <w:t>нагляду</w:t>
      </w:r>
      <w:r w:rsidR="00E6617F" w:rsidRPr="00E6617F">
        <w:rPr>
          <w:rFonts w:ascii="Times New Roman" w:hAnsi="Times New Roman" w:cs="Times New Roman"/>
          <w:sz w:val="28"/>
          <w:szCs w:val="28"/>
        </w:rPr>
        <w:t xml:space="preserve"> </w:t>
      </w:r>
      <w:r w:rsidR="00411DFE">
        <w:rPr>
          <w:rFonts w:ascii="Times New Roman" w:hAnsi="Times New Roman" w:cs="Times New Roman"/>
          <w:sz w:val="28"/>
          <w:szCs w:val="28"/>
        </w:rPr>
        <w:t xml:space="preserve">контролюючими органами </w:t>
      </w:r>
      <w:r w:rsidR="00E6617F" w:rsidRPr="00E6617F">
        <w:rPr>
          <w:rFonts w:ascii="Times New Roman" w:hAnsi="Times New Roman" w:cs="Times New Roman"/>
          <w:sz w:val="28"/>
          <w:szCs w:val="28"/>
        </w:rPr>
        <w:t xml:space="preserve">за </w:t>
      </w:r>
      <w:r w:rsidR="00E6617F">
        <w:rPr>
          <w:rFonts w:ascii="Times New Roman" w:hAnsi="Times New Roman" w:cs="Times New Roman"/>
          <w:sz w:val="28"/>
          <w:szCs w:val="28"/>
        </w:rPr>
        <w:t xml:space="preserve">дотриманням </w:t>
      </w:r>
      <w:r w:rsidR="001E2759" w:rsidRPr="003A4294">
        <w:rPr>
          <w:rFonts w:ascii="Times New Roman" w:hAnsi="Times New Roman" w:cs="Times New Roman"/>
          <w:sz w:val="28"/>
          <w:szCs w:val="28"/>
        </w:rPr>
        <w:t>юридични</w:t>
      </w:r>
      <w:r w:rsidR="001E2759">
        <w:rPr>
          <w:rFonts w:ascii="Times New Roman" w:hAnsi="Times New Roman" w:cs="Times New Roman"/>
          <w:sz w:val="28"/>
          <w:szCs w:val="28"/>
        </w:rPr>
        <w:t>ми</w:t>
      </w:r>
      <w:r w:rsidR="001E2759" w:rsidRPr="003A4294">
        <w:rPr>
          <w:rFonts w:ascii="Times New Roman" w:hAnsi="Times New Roman" w:cs="Times New Roman"/>
          <w:sz w:val="28"/>
          <w:szCs w:val="28"/>
        </w:rPr>
        <w:t xml:space="preserve"> ос</w:t>
      </w:r>
      <w:r w:rsidR="001E2759">
        <w:rPr>
          <w:rFonts w:ascii="Times New Roman" w:hAnsi="Times New Roman" w:cs="Times New Roman"/>
          <w:sz w:val="28"/>
          <w:szCs w:val="28"/>
        </w:rPr>
        <w:t>о</w:t>
      </w:r>
      <w:r w:rsidR="001E2759" w:rsidRPr="003A4294">
        <w:rPr>
          <w:rFonts w:ascii="Times New Roman" w:hAnsi="Times New Roman" w:cs="Times New Roman"/>
          <w:sz w:val="28"/>
          <w:szCs w:val="28"/>
        </w:rPr>
        <w:t>б</w:t>
      </w:r>
      <w:r w:rsidR="001E2759">
        <w:rPr>
          <w:rFonts w:ascii="Times New Roman" w:hAnsi="Times New Roman" w:cs="Times New Roman"/>
          <w:sz w:val="28"/>
          <w:szCs w:val="28"/>
        </w:rPr>
        <w:t>ами</w:t>
      </w:r>
      <w:r w:rsidR="001E2759" w:rsidRPr="003A4294">
        <w:rPr>
          <w:rFonts w:ascii="Times New Roman" w:hAnsi="Times New Roman" w:cs="Times New Roman"/>
          <w:sz w:val="28"/>
          <w:szCs w:val="28"/>
        </w:rPr>
        <w:t xml:space="preserve"> (крім уповноважених установ)</w:t>
      </w:r>
      <w:r w:rsidR="001E2759">
        <w:rPr>
          <w:rFonts w:ascii="Times New Roman" w:hAnsi="Times New Roman" w:cs="Times New Roman"/>
          <w:sz w:val="28"/>
          <w:szCs w:val="28"/>
        </w:rPr>
        <w:t xml:space="preserve"> валютного законодавства</w:t>
      </w:r>
      <w:r w:rsidR="00411DFE">
        <w:rPr>
          <w:rFonts w:ascii="Times New Roman" w:hAnsi="Times New Roman" w:cs="Times New Roman"/>
          <w:sz w:val="28"/>
          <w:szCs w:val="28"/>
        </w:rPr>
        <w:t xml:space="preserve"> шляхом </w:t>
      </w:r>
      <w:r w:rsidR="00345E2A">
        <w:rPr>
          <w:rFonts w:ascii="Times New Roman" w:hAnsi="Times New Roman" w:cs="Times New Roman"/>
          <w:sz w:val="28"/>
          <w:szCs w:val="28"/>
        </w:rPr>
        <w:t>диференційованого підходу до кожного випадку порушення</w:t>
      </w:r>
      <w:r w:rsidR="004D3FCA">
        <w:rPr>
          <w:rFonts w:ascii="Times New Roman" w:hAnsi="Times New Roman" w:cs="Times New Roman"/>
          <w:sz w:val="28"/>
          <w:szCs w:val="28"/>
        </w:rPr>
        <w:t>,</w:t>
      </w:r>
      <w:r w:rsidR="00345E2A">
        <w:rPr>
          <w:rFonts w:ascii="Times New Roman" w:hAnsi="Times New Roman" w:cs="Times New Roman"/>
          <w:sz w:val="28"/>
          <w:szCs w:val="28"/>
        </w:rPr>
        <w:t xml:space="preserve"> </w:t>
      </w:r>
      <w:r>
        <w:rPr>
          <w:rFonts w:ascii="Times New Roman" w:hAnsi="Times New Roman" w:cs="Times New Roman"/>
          <w:sz w:val="28"/>
          <w:szCs w:val="28"/>
        </w:rPr>
        <w:t>визначеного Законом;</w:t>
      </w:r>
    </w:p>
    <w:p w:rsidR="00E6617F" w:rsidRPr="00E6617F" w:rsidRDefault="00411DFE" w:rsidP="00E661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встановлення порядку застосування </w:t>
      </w:r>
      <w:r w:rsidR="00B13EF8">
        <w:rPr>
          <w:rFonts w:ascii="Times New Roman" w:hAnsi="Times New Roman" w:cs="Times New Roman"/>
          <w:sz w:val="28"/>
          <w:szCs w:val="28"/>
        </w:rPr>
        <w:t xml:space="preserve">заходів впливу </w:t>
      </w:r>
      <w:r w:rsidR="003F54FA">
        <w:rPr>
          <w:rFonts w:ascii="Times New Roman" w:hAnsi="Times New Roman" w:cs="Times New Roman"/>
          <w:sz w:val="28"/>
          <w:szCs w:val="28"/>
        </w:rPr>
        <w:t xml:space="preserve">у вигляді </w:t>
      </w:r>
      <w:r w:rsidR="00B13EF8">
        <w:rPr>
          <w:rFonts w:ascii="Times New Roman" w:hAnsi="Times New Roman" w:cs="Times New Roman"/>
          <w:sz w:val="28"/>
          <w:szCs w:val="28"/>
        </w:rPr>
        <w:t>штрафних санкцій адекватно вчиненому порушенню з урахуванням характеру та кількості порушень.</w:t>
      </w:r>
    </w:p>
    <w:p w:rsidR="00D60065" w:rsidRDefault="00D60065" w:rsidP="00CD2463">
      <w:pPr>
        <w:widowControl w:val="0"/>
        <w:spacing w:after="0" w:line="240" w:lineRule="auto"/>
        <w:ind w:firstLine="567"/>
        <w:jc w:val="both"/>
        <w:rPr>
          <w:rFonts w:ascii="Times New Roman" w:hAnsi="Times New Roman" w:cs="Times New Roman"/>
          <w:sz w:val="28"/>
          <w:szCs w:val="28"/>
        </w:rPr>
      </w:pPr>
    </w:p>
    <w:p w:rsidR="00B10381" w:rsidRDefault="00C20B6B" w:rsidP="00CD2463">
      <w:pPr>
        <w:widowControl w:val="0"/>
        <w:spacing w:after="120" w:line="240" w:lineRule="auto"/>
        <w:ind w:firstLine="567"/>
        <w:jc w:val="both"/>
        <w:rPr>
          <w:rFonts w:ascii="Times New Roman" w:hAnsi="Times New Roman" w:cs="Times New Roman"/>
          <w:b/>
          <w:sz w:val="28"/>
          <w:szCs w:val="28"/>
        </w:rPr>
      </w:pPr>
      <w:r w:rsidRPr="00C20B6B">
        <w:rPr>
          <w:rFonts w:ascii="Times New Roman" w:hAnsi="Times New Roman" w:cs="Times New Roman"/>
          <w:b/>
          <w:sz w:val="28"/>
          <w:szCs w:val="28"/>
        </w:rPr>
        <w:t>III. Визначення та оцінка альтернативних способів досягнення цілей</w:t>
      </w:r>
    </w:p>
    <w:p w:rsidR="00542D7D" w:rsidRDefault="00542D7D" w:rsidP="00CD2463">
      <w:pPr>
        <w:widowControl w:val="0"/>
        <w:spacing w:after="0" w:line="240" w:lineRule="auto"/>
        <w:ind w:firstLine="567"/>
        <w:jc w:val="both"/>
        <w:rPr>
          <w:rFonts w:ascii="Times New Roman" w:hAnsi="Times New Roman" w:cs="Times New Roman"/>
          <w:sz w:val="28"/>
          <w:szCs w:val="28"/>
        </w:rPr>
      </w:pPr>
      <w:r w:rsidRPr="00542D7D">
        <w:rPr>
          <w:rFonts w:ascii="Times New Roman" w:hAnsi="Times New Roman" w:cs="Times New Roman"/>
          <w:sz w:val="28"/>
          <w:szCs w:val="28"/>
        </w:rPr>
        <w:t>1. Альтернативні способи досягнення цілей державного регулювання:</w:t>
      </w:r>
    </w:p>
    <w:p w:rsidR="00CD2463" w:rsidRPr="00542D7D" w:rsidRDefault="00CD2463" w:rsidP="0076466B">
      <w:pPr>
        <w:widowControl w:val="0"/>
        <w:spacing w:after="0" w:line="240" w:lineRule="auto"/>
        <w:ind w:firstLine="709"/>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1948"/>
        <w:gridCol w:w="7906"/>
      </w:tblGrid>
      <w:tr w:rsidR="00542D7D" w:rsidRPr="00542D7D" w:rsidTr="00D94214">
        <w:tc>
          <w:tcPr>
            <w:tcW w:w="1948" w:type="dxa"/>
            <w:vAlign w:val="center"/>
          </w:tcPr>
          <w:p w:rsidR="00542D7D" w:rsidRPr="00082535" w:rsidRDefault="00542D7D" w:rsidP="00082535">
            <w:pPr>
              <w:pStyle w:val="a5"/>
              <w:spacing w:before="0" w:after="0"/>
              <w:jc w:val="center"/>
              <w:rPr>
                <w:color w:val="auto"/>
              </w:rPr>
            </w:pPr>
            <w:r w:rsidRPr="00082535">
              <w:rPr>
                <w:color w:val="auto"/>
              </w:rPr>
              <w:t>Вид альтернативи</w:t>
            </w:r>
          </w:p>
        </w:tc>
        <w:tc>
          <w:tcPr>
            <w:tcW w:w="7906" w:type="dxa"/>
            <w:vAlign w:val="center"/>
          </w:tcPr>
          <w:p w:rsidR="00542D7D" w:rsidRPr="00082535" w:rsidRDefault="00542D7D" w:rsidP="00082535">
            <w:pPr>
              <w:pStyle w:val="a5"/>
              <w:spacing w:before="0" w:after="0"/>
              <w:jc w:val="center"/>
              <w:rPr>
                <w:color w:val="auto"/>
              </w:rPr>
            </w:pPr>
            <w:r w:rsidRPr="00082535">
              <w:rPr>
                <w:color w:val="auto"/>
              </w:rPr>
              <w:t>Опис альтернативи</w:t>
            </w:r>
          </w:p>
        </w:tc>
      </w:tr>
      <w:tr w:rsidR="00542D7D" w:rsidRPr="00542D7D" w:rsidTr="00082535">
        <w:trPr>
          <w:trHeight w:val="423"/>
        </w:trPr>
        <w:tc>
          <w:tcPr>
            <w:tcW w:w="1948" w:type="dxa"/>
            <w:vAlign w:val="center"/>
          </w:tcPr>
          <w:p w:rsidR="00BF7765" w:rsidRDefault="00542D7D" w:rsidP="00082535">
            <w:pPr>
              <w:pStyle w:val="a5"/>
              <w:spacing w:before="0" w:after="0"/>
              <w:jc w:val="center"/>
              <w:rPr>
                <w:color w:val="auto"/>
              </w:rPr>
            </w:pPr>
            <w:r w:rsidRPr="00082535">
              <w:rPr>
                <w:color w:val="auto"/>
              </w:rPr>
              <w:t>Альтернатива 1</w:t>
            </w:r>
            <w:r w:rsidR="00BF7765">
              <w:rPr>
                <w:color w:val="auto"/>
              </w:rPr>
              <w:t xml:space="preserve"> </w:t>
            </w:r>
          </w:p>
          <w:p w:rsidR="005940F2" w:rsidRPr="00082535" w:rsidRDefault="00BF7765" w:rsidP="00082535">
            <w:pPr>
              <w:pStyle w:val="a5"/>
              <w:spacing w:before="0" w:after="0"/>
              <w:jc w:val="center"/>
              <w:rPr>
                <w:color w:val="auto"/>
              </w:rPr>
            </w:pPr>
            <w:r>
              <w:rPr>
                <w:color w:val="auto"/>
              </w:rPr>
              <w:t>Залишення ситуації без змін</w:t>
            </w:r>
          </w:p>
        </w:tc>
        <w:tc>
          <w:tcPr>
            <w:tcW w:w="7906" w:type="dxa"/>
          </w:tcPr>
          <w:p w:rsidR="00667CDE" w:rsidRPr="00D71006" w:rsidRDefault="00BF7765" w:rsidP="00082535">
            <w:pPr>
              <w:pStyle w:val="a5"/>
              <w:spacing w:before="0" w:after="0"/>
              <w:rPr>
                <w:color w:val="auto"/>
              </w:rPr>
            </w:pPr>
            <w:r w:rsidRPr="00D71006">
              <w:t>Невтручання і залишення існуючої ситуації без змін. Зазначений спосіб є неприйнятним, оскільки у разі залишення ситуації без змін неможливе досягнення визначених цілей</w:t>
            </w:r>
          </w:p>
        </w:tc>
      </w:tr>
      <w:tr w:rsidR="00542D7D" w:rsidRPr="00542D7D" w:rsidTr="00D94214">
        <w:tc>
          <w:tcPr>
            <w:tcW w:w="1948" w:type="dxa"/>
            <w:vAlign w:val="center"/>
          </w:tcPr>
          <w:p w:rsidR="00EE507E" w:rsidRPr="00082535" w:rsidRDefault="00542D7D" w:rsidP="0071453B">
            <w:pPr>
              <w:pStyle w:val="a5"/>
              <w:spacing w:before="120" w:beforeAutospacing="0"/>
              <w:jc w:val="center"/>
              <w:rPr>
                <w:color w:val="auto"/>
              </w:rPr>
            </w:pPr>
            <w:r w:rsidRPr="00082535">
              <w:rPr>
                <w:color w:val="auto"/>
              </w:rPr>
              <w:t>Альтернатива 2</w:t>
            </w:r>
            <w:r w:rsidR="00BF7765" w:rsidRPr="00082535">
              <w:rPr>
                <w:color w:val="auto"/>
              </w:rPr>
              <w:t xml:space="preserve"> Затверд</w:t>
            </w:r>
            <w:r w:rsidR="00BF7765">
              <w:rPr>
                <w:color w:val="auto"/>
              </w:rPr>
              <w:t>ження</w:t>
            </w:r>
            <w:r w:rsidR="00BF7765" w:rsidRPr="00082535">
              <w:rPr>
                <w:color w:val="auto"/>
              </w:rPr>
              <w:t xml:space="preserve"> розроблен</w:t>
            </w:r>
            <w:r w:rsidR="00BF7765">
              <w:rPr>
                <w:color w:val="auto"/>
              </w:rPr>
              <w:t>ого</w:t>
            </w:r>
            <w:r w:rsidR="00BF7765" w:rsidRPr="00082535">
              <w:rPr>
                <w:color w:val="auto"/>
              </w:rPr>
              <w:t xml:space="preserve"> нормативно-правов</w:t>
            </w:r>
            <w:r w:rsidR="00BF7765">
              <w:rPr>
                <w:color w:val="auto"/>
              </w:rPr>
              <w:t>ого</w:t>
            </w:r>
            <w:r w:rsidR="00BF7765" w:rsidRPr="00082535">
              <w:rPr>
                <w:color w:val="auto"/>
              </w:rPr>
              <w:t xml:space="preserve"> </w:t>
            </w:r>
            <w:proofErr w:type="spellStart"/>
            <w:r w:rsidR="00BF7765" w:rsidRPr="00082535">
              <w:rPr>
                <w:color w:val="auto"/>
              </w:rPr>
              <w:t>акт</w:t>
            </w:r>
            <w:r w:rsidR="00BF7765">
              <w:rPr>
                <w:color w:val="auto"/>
              </w:rPr>
              <w:t>а</w:t>
            </w:r>
            <w:proofErr w:type="spellEnd"/>
          </w:p>
        </w:tc>
        <w:tc>
          <w:tcPr>
            <w:tcW w:w="7906" w:type="dxa"/>
          </w:tcPr>
          <w:p w:rsidR="00BF7765" w:rsidRPr="00D71006" w:rsidRDefault="00BF7765" w:rsidP="00BF7765">
            <w:pPr>
              <w:pStyle w:val="a5"/>
              <w:spacing w:before="120" w:beforeAutospacing="0" w:after="0" w:afterAutospacing="0"/>
              <w:jc w:val="both"/>
            </w:pPr>
            <w:r w:rsidRPr="00D71006">
              <w:t xml:space="preserve">Прийняття проекту постанови, що дасть змогу досягти визначених цілей державного регулювання та забезпечити реалізацію норм Закону </w:t>
            </w:r>
          </w:p>
          <w:p w:rsidR="00542D7D" w:rsidRPr="00D71006" w:rsidRDefault="00542D7D" w:rsidP="0071453B">
            <w:pPr>
              <w:pStyle w:val="a5"/>
              <w:rPr>
                <w:color w:val="auto"/>
              </w:rPr>
            </w:pPr>
          </w:p>
        </w:tc>
      </w:tr>
    </w:tbl>
    <w:p w:rsidR="002026CC" w:rsidRDefault="002026CC" w:rsidP="0076466B">
      <w:pPr>
        <w:widowControl w:val="0"/>
        <w:spacing w:after="0" w:line="240" w:lineRule="auto"/>
        <w:ind w:firstLine="567"/>
        <w:jc w:val="both"/>
        <w:rPr>
          <w:rFonts w:ascii="Times New Roman" w:hAnsi="Times New Roman" w:cs="Times New Roman"/>
          <w:sz w:val="28"/>
          <w:szCs w:val="28"/>
        </w:rPr>
      </w:pPr>
    </w:p>
    <w:p w:rsidR="002026CC" w:rsidRDefault="002026CC" w:rsidP="0076466B">
      <w:pPr>
        <w:widowControl w:val="0"/>
        <w:spacing w:after="0" w:line="240" w:lineRule="auto"/>
        <w:ind w:firstLine="567"/>
        <w:jc w:val="both"/>
        <w:rPr>
          <w:rFonts w:ascii="Times New Roman" w:hAnsi="Times New Roman" w:cs="Times New Roman"/>
          <w:sz w:val="28"/>
          <w:szCs w:val="28"/>
        </w:rPr>
      </w:pPr>
    </w:p>
    <w:p w:rsidR="008B3644" w:rsidRDefault="008B3644" w:rsidP="0076466B">
      <w:pPr>
        <w:widowControl w:val="0"/>
        <w:spacing w:after="0" w:line="240" w:lineRule="auto"/>
        <w:ind w:firstLine="567"/>
        <w:jc w:val="both"/>
        <w:rPr>
          <w:rFonts w:ascii="Times New Roman" w:hAnsi="Times New Roman" w:cs="Times New Roman"/>
          <w:sz w:val="28"/>
          <w:szCs w:val="28"/>
        </w:rPr>
      </w:pPr>
      <w:r w:rsidRPr="004F472F">
        <w:rPr>
          <w:rFonts w:ascii="Times New Roman" w:hAnsi="Times New Roman" w:cs="Times New Roman"/>
          <w:sz w:val="28"/>
          <w:szCs w:val="28"/>
        </w:rPr>
        <w:lastRenderedPageBreak/>
        <w:t>2. Оцінка впливу на сферу інтересів держави</w:t>
      </w:r>
      <w:r w:rsidR="002026CC">
        <w:rPr>
          <w:rFonts w:ascii="Times New Roman" w:hAnsi="Times New Roman" w:cs="Times New Roman"/>
          <w:sz w:val="28"/>
          <w:szCs w:val="28"/>
        </w:rPr>
        <w:t>:</w:t>
      </w:r>
    </w:p>
    <w:p w:rsidR="00CD2463" w:rsidRPr="008B3644" w:rsidRDefault="00CD2463" w:rsidP="0076466B">
      <w:pPr>
        <w:widowControl w:val="0"/>
        <w:spacing w:after="0" w:line="240" w:lineRule="auto"/>
        <w:ind w:firstLine="567"/>
        <w:jc w:val="both"/>
        <w:rPr>
          <w:rFonts w:ascii="Times New Roman" w:hAnsi="Times New Roman" w:cs="Times New Roman"/>
          <w:sz w:val="28"/>
          <w:szCs w:val="28"/>
        </w:rPr>
      </w:pPr>
    </w:p>
    <w:tbl>
      <w:tblPr>
        <w:tblStyle w:val="2"/>
        <w:tblW w:w="0" w:type="auto"/>
        <w:tblLook w:val="04A0" w:firstRow="1" w:lastRow="0" w:firstColumn="1" w:lastColumn="0" w:noHBand="0" w:noVBand="1"/>
      </w:tblPr>
      <w:tblGrid>
        <w:gridCol w:w="1951"/>
        <w:gridCol w:w="3969"/>
        <w:gridCol w:w="3934"/>
      </w:tblGrid>
      <w:tr w:rsidR="008B3644" w:rsidRPr="008B3644" w:rsidTr="00D94214">
        <w:tc>
          <w:tcPr>
            <w:tcW w:w="1951" w:type="dxa"/>
          </w:tcPr>
          <w:p w:rsidR="008B3644" w:rsidRPr="00A8532A" w:rsidRDefault="008B3644" w:rsidP="0076466B">
            <w:pPr>
              <w:widowControl w:val="0"/>
              <w:jc w:val="center"/>
              <w:rPr>
                <w:sz w:val="24"/>
                <w:szCs w:val="24"/>
              </w:rPr>
            </w:pPr>
            <w:r w:rsidRPr="00A8532A">
              <w:rPr>
                <w:sz w:val="24"/>
                <w:szCs w:val="24"/>
              </w:rPr>
              <w:t>Вид альтернативи</w:t>
            </w:r>
          </w:p>
        </w:tc>
        <w:tc>
          <w:tcPr>
            <w:tcW w:w="3969" w:type="dxa"/>
            <w:vAlign w:val="center"/>
          </w:tcPr>
          <w:p w:rsidR="008B3644" w:rsidRPr="00A8532A" w:rsidRDefault="008B3644" w:rsidP="0076466B">
            <w:pPr>
              <w:widowControl w:val="0"/>
              <w:jc w:val="center"/>
              <w:rPr>
                <w:sz w:val="24"/>
                <w:szCs w:val="24"/>
              </w:rPr>
            </w:pPr>
            <w:r w:rsidRPr="00A8532A">
              <w:rPr>
                <w:sz w:val="24"/>
                <w:szCs w:val="24"/>
              </w:rPr>
              <w:t>Вигоди</w:t>
            </w:r>
          </w:p>
        </w:tc>
        <w:tc>
          <w:tcPr>
            <w:tcW w:w="3934" w:type="dxa"/>
            <w:vAlign w:val="center"/>
          </w:tcPr>
          <w:p w:rsidR="008B3644" w:rsidRPr="00A8532A" w:rsidRDefault="008B3644" w:rsidP="0076466B">
            <w:pPr>
              <w:widowControl w:val="0"/>
              <w:jc w:val="center"/>
              <w:rPr>
                <w:sz w:val="24"/>
                <w:szCs w:val="24"/>
              </w:rPr>
            </w:pPr>
            <w:r w:rsidRPr="00A8532A">
              <w:rPr>
                <w:sz w:val="24"/>
                <w:szCs w:val="24"/>
              </w:rPr>
              <w:t>Витрати</w:t>
            </w:r>
          </w:p>
        </w:tc>
      </w:tr>
      <w:tr w:rsidR="008B3644" w:rsidRPr="008B3644" w:rsidTr="00D94214">
        <w:tc>
          <w:tcPr>
            <w:tcW w:w="1951" w:type="dxa"/>
          </w:tcPr>
          <w:p w:rsidR="008B3644" w:rsidRPr="00A8532A" w:rsidRDefault="008B3644" w:rsidP="0076466B">
            <w:pPr>
              <w:widowControl w:val="0"/>
              <w:jc w:val="both"/>
              <w:rPr>
                <w:sz w:val="24"/>
                <w:szCs w:val="24"/>
              </w:rPr>
            </w:pPr>
            <w:r w:rsidRPr="00A8532A">
              <w:rPr>
                <w:sz w:val="24"/>
                <w:szCs w:val="24"/>
              </w:rPr>
              <w:t>Альтернатива 1</w:t>
            </w:r>
          </w:p>
          <w:p w:rsidR="00E67C37" w:rsidRPr="00A8532A" w:rsidRDefault="00E67C37" w:rsidP="0076466B">
            <w:pPr>
              <w:widowControl w:val="0"/>
              <w:jc w:val="both"/>
              <w:rPr>
                <w:sz w:val="24"/>
                <w:szCs w:val="24"/>
              </w:rPr>
            </w:pPr>
          </w:p>
        </w:tc>
        <w:tc>
          <w:tcPr>
            <w:tcW w:w="3969" w:type="dxa"/>
          </w:tcPr>
          <w:p w:rsidR="00345E2A" w:rsidRPr="00A8532A" w:rsidRDefault="00345E2A" w:rsidP="00390400">
            <w:pPr>
              <w:widowControl w:val="0"/>
              <w:jc w:val="both"/>
              <w:rPr>
                <w:sz w:val="24"/>
                <w:szCs w:val="24"/>
              </w:rPr>
            </w:pPr>
            <w:r w:rsidRPr="00A8532A">
              <w:rPr>
                <w:sz w:val="24"/>
                <w:szCs w:val="24"/>
              </w:rPr>
              <w:t>Відсутні</w:t>
            </w:r>
          </w:p>
          <w:p w:rsidR="00AA5BB0" w:rsidRPr="00A8532A" w:rsidRDefault="00390400" w:rsidP="00390400">
            <w:pPr>
              <w:widowControl w:val="0"/>
              <w:jc w:val="both"/>
              <w:rPr>
                <w:sz w:val="24"/>
                <w:szCs w:val="24"/>
              </w:rPr>
            </w:pPr>
            <w:r w:rsidRPr="00A8532A">
              <w:rPr>
                <w:sz w:val="24"/>
                <w:szCs w:val="24"/>
              </w:rPr>
              <w:t xml:space="preserve"> </w:t>
            </w:r>
          </w:p>
        </w:tc>
        <w:tc>
          <w:tcPr>
            <w:tcW w:w="3934" w:type="dxa"/>
          </w:tcPr>
          <w:p w:rsidR="00345E2A" w:rsidRPr="00A8532A" w:rsidRDefault="00345E2A" w:rsidP="00E43853">
            <w:pPr>
              <w:widowControl w:val="0"/>
              <w:ind w:left="34"/>
              <w:jc w:val="both"/>
              <w:rPr>
                <w:sz w:val="24"/>
                <w:szCs w:val="24"/>
              </w:rPr>
            </w:pPr>
            <w:r w:rsidRPr="00A8532A">
              <w:rPr>
                <w:sz w:val="24"/>
                <w:szCs w:val="24"/>
              </w:rPr>
              <w:t>Витрати відсутні.</w:t>
            </w:r>
          </w:p>
          <w:p w:rsidR="00017BF2" w:rsidRPr="00A8532A" w:rsidRDefault="00017BF2" w:rsidP="00E43853">
            <w:pPr>
              <w:widowControl w:val="0"/>
              <w:ind w:left="34"/>
              <w:jc w:val="both"/>
              <w:rPr>
                <w:sz w:val="24"/>
                <w:szCs w:val="24"/>
              </w:rPr>
            </w:pPr>
            <w:r w:rsidRPr="00A8532A">
              <w:rPr>
                <w:sz w:val="24"/>
                <w:szCs w:val="24"/>
              </w:rPr>
              <w:t>Залишення ситуації без змін не дозволить забезпечити належне виконання функцій держави щодо нагляду за дотриманням вимог валютного законодавства.</w:t>
            </w:r>
          </w:p>
          <w:p w:rsidR="008B3644" w:rsidRPr="00A8532A" w:rsidRDefault="00017BF2" w:rsidP="00C31F47">
            <w:pPr>
              <w:widowControl w:val="0"/>
              <w:ind w:left="34"/>
              <w:jc w:val="both"/>
              <w:rPr>
                <w:sz w:val="24"/>
                <w:szCs w:val="24"/>
              </w:rPr>
            </w:pPr>
            <w:r w:rsidRPr="00A8532A">
              <w:rPr>
                <w:sz w:val="24"/>
                <w:szCs w:val="24"/>
              </w:rPr>
              <w:t xml:space="preserve">Крім того, не буде забезпечено реалізацію функції контролюючих органів, визначеної Законом та Податковим кодексом України, щодо застосування та стягнення штрафних санкцій за порушення вимог валютного законодавства  </w:t>
            </w:r>
          </w:p>
        </w:tc>
      </w:tr>
      <w:tr w:rsidR="008B3644" w:rsidRPr="008B3644" w:rsidTr="00CD2463">
        <w:trPr>
          <w:trHeight w:val="60"/>
        </w:trPr>
        <w:tc>
          <w:tcPr>
            <w:tcW w:w="1951" w:type="dxa"/>
          </w:tcPr>
          <w:p w:rsidR="008B3644" w:rsidRPr="00A8532A" w:rsidRDefault="008B3644" w:rsidP="0076466B">
            <w:pPr>
              <w:widowControl w:val="0"/>
              <w:jc w:val="both"/>
              <w:rPr>
                <w:sz w:val="24"/>
                <w:szCs w:val="24"/>
              </w:rPr>
            </w:pPr>
            <w:r w:rsidRPr="00A8532A">
              <w:rPr>
                <w:sz w:val="24"/>
                <w:szCs w:val="24"/>
              </w:rPr>
              <w:t>Альтернатива 2</w:t>
            </w:r>
          </w:p>
          <w:p w:rsidR="00E67C37" w:rsidRPr="00A8532A" w:rsidRDefault="00E67C37" w:rsidP="0076466B">
            <w:pPr>
              <w:widowControl w:val="0"/>
              <w:jc w:val="both"/>
              <w:rPr>
                <w:sz w:val="24"/>
                <w:szCs w:val="24"/>
              </w:rPr>
            </w:pPr>
          </w:p>
        </w:tc>
        <w:tc>
          <w:tcPr>
            <w:tcW w:w="3969" w:type="dxa"/>
          </w:tcPr>
          <w:p w:rsidR="00345E2A" w:rsidRPr="00A8532A" w:rsidRDefault="00345E2A" w:rsidP="00390400">
            <w:pPr>
              <w:widowControl w:val="0"/>
              <w:jc w:val="both"/>
              <w:rPr>
                <w:sz w:val="24"/>
                <w:szCs w:val="24"/>
              </w:rPr>
            </w:pPr>
            <w:r w:rsidRPr="00A8532A">
              <w:rPr>
                <w:sz w:val="24"/>
                <w:szCs w:val="24"/>
              </w:rPr>
              <w:t>1. Забезпечення належного виконання функцій держави стосовно нагляду за дотриманням вимог валютного законодавства</w:t>
            </w:r>
            <w:r w:rsidR="00B14331" w:rsidRPr="00A8532A">
              <w:rPr>
                <w:sz w:val="24"/>
                <w:szCs w:val="24"/>
              </w:rPr>
              <w:t>.</w:t>
            </w:r>
            <w:r w:rsidRPr="00A8532A">
              <w:rPr>
                <w:sz w:val="24"/>
                <w:szCs w:val="24"/>
              </w:rPr>
              <w:t xml:space="preserve"> </w:t>
            </w:r>
          </w:p>
          <w:p w:rsidR="00345E2A" w:rsidRPr="00A8532A" w:rsidRDefault="00345E2A" w:rsidP="00C31F47">
            <w:pPr>
              <w:widowControl w:val="0"/>
              <w:jc w:val="both"/>
              <w:rPr>
                <w:sz w:val="24"/>
                <w:szCs w:val="24"/>
              </w:rPr>
            </w:pPr>
            <w:r w:rsidRPr="00A8532A">
              <w:rPr>
                <w:sz w:val="24"/>
                <w:szCs w:val="24"/>
              </w:rPr>
              <w:t>2. Забезпечення функції контролюючих органів, визначеної Законом та Податковим кодексом України, щодо застосування та стягнення штрафних санкцій за порушення вимог валютного законодавства</w:t>
            </w:r>
          </w:p>
        </w:tc>
        <w:tc>
          <w:tcPr>
            <w:tcW w:w="3934" w:type="dxa"/>
          </w:tcPr>
          <w:p w:rsidR="00670E32" w:rsidRPr="00A8532A" w:rsidRDefault="00345E2A" w:rsidP="00FA7F7D">
            <w:pPr>
              <w:widowControl w:val="0"/>
              <w:ind w:left="34"/>
              <w:jc w:val="both"/>
              <w:rPr>
                <w:sz w:val="24"/>
                <w:szCs w:val="24"/>
              </w:rPr>
            </w:pPr>
            <w:r w:rsidRPr="00A8532A">
              <w:rPr>
                <w:sz w:val="24"/>
                <w:szCs w:val="24"/>
              </w:rPr>
              <w:t>Додаткові витрати відсутні</w:t>
            </w:r>
            <w:r w:rsidR="00A53720" w:rsidRPr="00A8532A">
              <w:rPr>
                <w:sz w:val="24"/>
                <w:szCs w:val="24"/>
              </w:rPr>
              <w:t xml:space="preserve">, оскільки реалізація положень порядку не тягне за собою </w:t>
            </w:r>
            <w:r w:rsidR="009C026A" w:rsidRPr="00A8532A">
              <w:rPr>
                <w:sz w:val="24"/>
                <w:szCs w:val="24"/>
              </w:rPr>
              <w:t>збільшення кількості перевірок</w:t>
            </w:r>
            <w:r w:rsidR="00DA5603">
              <w:rPr>
                <w:sz w:val="24"/>
                <w:szCs w:val="24"/>
              </w:rPr>
              <w:t>.</w:t>
            </w:r>
            <w:r w:rsidR="009C026A" w:rsidRPr="00A8532A">
              <w:rPr>
                <w:sz w:val="24"/>
                <w:szCs w:val="24"/>
              </w:rPr>
              <w:t xml:space="preserve">  </w:t>
            </w:r>
            <w:r w:rsidR="00DA5603">
              <w:rPr>
                <w:sz w:val="24"/>
                <w:szCs w:val="24"/>
              </w:rPr>
              <w:t>Д</w:t>
            </w:r>
            <w:r w:rsidR="009C026A" w:rsidRPr="00A8532A">
              <w:rPr>
                <w:sz w:val="24"/>
                <w:szCs w:val="24"/>
              </w:rPr>
              <w:t xml:space="preserve">отримання вимог валютного законодавства є одним із питань, які перевіряються під час проведення планових контрольних заходів. </w:t>
            </w:r>
          </w:p>
          <w:p w:rsidR="009C026A" w:rsidRPr="00A8532A" w:rsidRDefault="009C026A" w:rsidP="00C31F47">
            <w:pPr>
              <w:widowControl w:val="0"/>
              <w:ind w:left="34"/>
              <w:jc w:val="both"/>
              <w:rPr>
                <w:sz w:val="24"/>
                <w:szCs w:val="24"/>
              </w:rPr>
            </w:pPr>
            <w:r w:rsidRPr="00A8532A">
              <w:rPr>
                <w:sz w:val="24"/>
                <w:szCs w:val="24"/>
              </w:rPr>
              <w:t xml:space="preserve">Змінюється </w:t>
            </w:r>
            <w:r w:rsidR="00FA7F7D" w:rsidRPr="00A8532A">
              <w:rPr>
                <w:sz w:val="24"/>
                <w:szCs w:val="24"/>
              </w:rPr>
              <w:t>лише механізм оцінки порушення вимог валютного законодавства</w:t>
            </w:r>
          </w:p>
        </w:tc>
      </w:tr>
    </w:tbl>
    <w:p w:rsidR="00CD2463" w:rsidRDefault="00CD2463" w:rsidP="0076466B">
      <w:pPr>
        <w:widowControl w:val="0"/>
        <w:spacing w:after="0" w:line="240" w:lineRule="auto"/>
        <w:ind w:firstLine="567"/>
        <w:jc w:val="both"/>
        <w:rPr>
          <w:rFonts w:ascii="Times New Roman" w:hAnsi="Times New Roman" w:cs="Times New Roman"/>
          <w:sz w:val="28"/>
          <w:szCs w:val="28"/>
        </w:rPr>
      </w:pPr>
    </w:p>
    <w:p w:rsidR="00702F8A" w:rsidRPr="00E67A75" w:rsidRDefault="008B3644" w:rsidP="00702F8A">
      <w:pPr>
        <w:pStyle w:val="a5"/>
        <w:spacing w:before="0" w:beforeAutospacing="0" w:after="0" w:afterAutospacing="0"/>
        <w:ind w:firstLine="567"/>
        <w:jc w:val="both"/>
        <w:rPr>
          <w:sz w:val="28"/>
          <w:szCs w:val="28"/>
        </w:rPr>
      </w:pPr>
      <w:r w:rsidRPr="00A03053">
        <w:rPr>
          <w:sz w:val="28"/>
          <w:szCs w:val="28"/>
        </w:rPr>
        <w:t>3. </w:t>
      </w:r>
      <w:r w:rsidR="00702F8A" w:rsidRPr="00E67A75">
        <w:rPr>
          <w:sz w:val="28"/>
          <w:szCs w:val="28"/>
        </w:rPr>
        <w:t>Оцінка впливу на сферу інтересів громадян</w:t>
      </w:r>
      <w:r w:rsidR="002026CC">
        <w:rPr>
          <w:sz w:val="28"/>
          <w:szCs w:val="28"/>
        </w:rPr>
        <w:t>:</w:t>
      </w:r>
    </w:p>
    <w:p w:rsidR="00702F8A" w:rsidRPr="00E67A75" w:rsidRDefault="00702F8A" w:rsidP="002026CC">
      <w:pPr>
        <w:pStyle w:val="a5"/>
        <w:spacing w:before="120" w:beforeAutospacing="0" w:after="0" w:afterAutospacing="0"/>
        <w:ind w:firstLine="720"/>
        <w:jc w:val="both"/>
        <w:rPr>
          <w:sz w:val="28"/>
          <w:szCs w:val="28"/>
        </w:rPr>
      </w:pPr>
      <w:r w:rsidRPr="00E67A75">
        <w:rPr>
          <w:sz w:val="28"/>
          <w:szCs w:val="28"/>
        </w:rPr>
        <w:t>Проект постанови не належить до сфери регулювання цивільних відносин та не розповсюджується на сферу інтересів громадян.</w:t>
      </w:r>
    </w:p>
    <w:p w:rsidR="00225988" w:rsidRDefault="00225988" w:rsidP="0076466B">
      <w:pPr>
        <w:widowControl w:val="0"/>
        <w:spacing w:after="0" w:line="240" w:lineRule="auto"/>
        <w:ind w:firstLine="567"/>
        <w:jc w:val="both"/>
        <w:rPr>
          <w:rFonts w:ascii="Times New Roman" w:hAnsi="Times New Roman" w:cs="Times New Roman"/>
          <w:sz w:val="28"/>
          <w:szCs w:val="28"/>
        </w:rPr>
      </w:pPr>
    </w:p>
    <w:p w:rsidR="00A25493" w:rsidRDefault="00A25493" w:rsidP="0076466B">
      <w:pPr>
        <w:widowControl w:val="0"/>
        <w:spacing w:after="0" w:line="240" w:lineRule="auto"/>
        <w:ind w:firstLine="567"/>
        <w:jc w:val="both"/>
        <w:rPr>
          <w:rFonts w:ascii="Times New Roman" w:hAnsi="Times New Roman" w:cs="Times New Roman"/>
          <w:sz w:val="28"/>
          <w:szCs w:val="28"/>
        </w:rPr>
      </w:pPr>
      <w:r w:rsidRPr="00C34038">
        <w:rPr>
          <w:rFonts w:ascii="Times New Roman" w:hAnsi="Times New Roman" w:cs="Times New Roman"/>
          <w:sz w:val="28"/>
          <w:szCs w:val="28"/>
        </w:rPr>
        <w:t>4. Оцінка впливу на сферу інтересів суб’єктів господарювання</w:t>
      </w:r>
      <w:r w:rsidR="002026CC">
        <w:rPr>
          <w:rFonts w:ascii="Times New Roman" w:hAnsi="Times New Roman" w:cs="Times New Roman"/>
          <w:sz w:val="28"/>
          <w:szCs w:val="28"/>
        </w:rPr>
        <w:t>:</w:t>
      </w:r>
    </w:p>
    <w:p w:rsidR="008F62B0" w:rsidRDefault="008F62B0" w:rsidP="0076466B">
      <w:pPr>
        <w:widowControl w:val="0"/>
        <w:spacing w:after="0" w:line="240" w:lineRule="auto"/>
        <w:ind w:firstLine="709"/>
        <w:jc w:val="both"/>
        <w:rPr>
          <w:rFonts w:ascii="Times New Roman" w:hAnsi="Times New Roman" w:cs="Times New Roman"/>
          <w:sz w:val="28"/>
          <w:szCs w:val="28"/>
        </w:rPr>
      </w:pPr>
    </w:p>
    <w:tbl>
      <w:tblPr>
        <w:tblStyle w:val="6"/>
        <w:tblW w:w="0" w:type="auto"/>
        <w:tblLook w:val="04A0" w:firstRow="1" w:lastRow="0" w:firstColumn="1" w:lastColumn="0" w:noHBand="0" w:noVBand="1"/>
      </w:tblPr>
      <w:tblGrid>
        <w:gridCol w:w="1965"/>
        <w:gridCol w:w="1581"/>
        <w:gridCol w:w="1591"/>
        <w:gridCol w:w="1565"/>
        <w:gridCol w:w="1577"/>
        <w:gridCol w:w="1575"/>
      </w:tblGrid>
      <w:tr w:rsidR="00F11AAD" w:rsidRPr="00F72DF7" w:rsidTr="00AE5612">
        <w:tc>
          <w:tcPr>
            <w:tcW w:w="1965"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Показник</w:t>
            </w:r>
          </w:p>
        </w:tc>
        <w:tc>
          <w:tcPr>
            <w:tcW w:w="1581"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Великі</w:t>
            </w:r>
          </w:p>
        </w:tc>
        <w:tc>
          <w:tcPr>
            <w:tcW w:w="1591"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Середні</w:t>
            </w:r>
          </w:p>
        </w:tc>
        <w:tc>
          <w:tcPr>
            <w:tcW w:w="1565"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Малі</w:t>
            </w:r>
          </w:p>
        </w:tc>
        <w:tc>
          <w:tcPr>
            <w:tcW w:w="1577"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Мікро</w:t>
            </w:r>
          </w:p>
        </w:tc>
        <w:tc>
          <w:tcPr>
            <w:tcW w:w="1575"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Разом</w:t>
            </w:r>
          </w:p>
        </w:tc>
      </w:tr>
      <w:tr w:rsidR="00F11AAD" w:rsidRPr="00F72DF7" w:rsidTr="00AE5612">
        <w:tc>
          <w:tcPr>
            <w:tcW w:w="1965"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Кількість суб’єктів господарювання, що підпадають під дію регулювання, одиниць</w:t>
            </w:r>
          </w:p>
        </w:tc>
        <w:tc>
          <w:tcPr>
            <w:tcW w:w="1581" w:type="dxa"/>
            <w:vAlign w:val="center"/>
          </w:tcPr>
          <w:p w:rsidR="00F11AAD" w:rsidRPr="00C34038" w:rsidRDefault="0019749A" w:rsidP="0076466B">
            <w:pPr>
              <w:widowControl w:val="0"/>
              <w:jc w:val="center"/>
              <w:rPr>
                <w:color w:val="000000"/>
                <w:sz w:val="24"/>
                <w:szCs w:val="24"/>
                <w:lang w:eastAsia="ru-RU"/>
              </w:rPr>
            </w:pPr>
            <w:r>
              <w:rPr>
                <w:color w:val="000000"/>
                <w:sz w:val="24"/>
                <w:szCs w:val="24"/>
                <w:lang w:eastAsia="ru-RU"/>
              </w:rPr>
              <w:t>9011</w:t>
            </w:r>
          </w:p>
        </w:tc>
        <w:tc>
          <w:tcPr>
            <w:tcW w:w="1591" w:type="dxa"/>
            <w:vAlign w:val="center"/>
          </w:tcPr>
          <w:p w:rsidR="00884183" w:rsidRPr="00C34038" w:rsidRDefault="0019749A" w:rsidP="0076466B">
            <w:pPr>
              <w:widowControl w:val="0"/>
              <w:jc w:val="center"/>
              <w:rPr>
                <w:color w:val="000000"/>
                <w:sz w:val="24"/>
                <w:szCs w:val="24"/>
                <w:lang w:eastAsia="ru-RU"/>
              </w:rPr>
            </w:pPr>
            <w:r>
              <w:rPr>
                <w:color w:val="000000"/>
                <w:sz w:val="24"/>
                <w:szCs w:val="24"/>
                <w:lang w:eastAsia="ru-RU"/>
              </w:rPr>
              <w:t>33794</w:t>
            </w:r>
          </w:p>
        </w:tc>
        <w:tc>
          <w:tcPr>
            <w:tcW w:w="1565" w:type="dxa"/>
            <w:vAlign w:val="center"/>
          </w:tcPr>
          <w:p w:rsidR="00F11AAD" w:rsidRPr="00C34038" w:rsidRDefault="0019749A" w:rsidP="0076466B">
            <w:pPr>
              <w:widowControl w:val="0"/>
              <w:jc w:val="center"/>
              <w:rPr>
                <w:color w:val="000000"/>
                <w:sz w:val="24"/>
                <w:szCs w:val="24"/>
                <w:lang w:eastAsia="ru-RU"/>
              </w:rPr>
            </w:pPr>
            <w:r>
              <w:rPr>
                <w:color w:val="000000"/>
                <w:sz w:val="24"/>
                <w:szCs w:val="24"/>
                <w:lang w:eastAsia="ru-RU"/>
              </w:rPr>
              <w:t>2254</w:t>
            </w:r>
          </w:p>
        </w:tc>
        <w:tc>
          <w:tcPr>
            <w:tcW w:w="1577" w:type="dxa"/>
            <w:vAlign w:val="center"/>
          </w:tcPr>
          <w:p w:rsidR="00F11AAD" w:rsidRPr="00C34038" w:rsidRDefault="0025430D" w:rsidP="0076466B">
            <w:pPr>
              <w:widowControl w:val="0"/>
              <w:jc w:val="center"/>
              <w:rPr>
                <w:color w:val="000000"/>
                <w:sz w:val="24"/>
                <w:szCs w:val="24"/>
                <w:lang w:eastAsia="ru-RU"/>
              </w:rPr>
            </w:pPr>
            <w:r w:rsidRPr="00C34038">
              <w:rPr>
                <w:sz w:val="24"/>
                <w:szCs w:val="24"/>
              </w:rPr>
              <w:t>–</w:t>
            </w:r>
          </w:p>
        </w:tc>
        <w:tc>
          <w:tcPr>
            <w:tcW w:w="1575" w:type="dxa"/>
            <w:vAlign w:val="center"/>
          </w:tcPr>
          <w:p w:rsidR="00F11AAD" w:rsidRPr="00C34038" w:rsidRDefault="004F472F" w:rsidP="0076466B">
            <w:pPr>
              <w:widowControl w:val="0"/>
              <w:jc w:val="center"/>
              <w:rPr>
                <w:color w:val="000000"/>
                <w:sz w:val="24"/>
                <w:szCs w:val="24"/>
                <w:lang w:eastAsia="ru-RU"/>
              </w:rPr>
            </w:pPr>
            <w:r w:rsidRPr="00C34038">
              <w:rPr>
                <w:color w:val="000000"/>
                <w:sz w:val="24"/>
                <w:szCs w:val="24"/>
                <w:lang w:eastAsia="ru-RU"/>
              </w:rPr>
              <w:t>45059</w:t>
            </w:r>
          </w:p>
        </w:tc>
      </w:tr>
      <w:tr w:rsidR="00F11AAD" w:rsidRPr="00F72DF7" w:rsidTr="00AE5612">
        <w:tc>
          <w:tcPr>
            <w:tcW w:w="1965" w:type="dxa"/>
          </w:tcPr>
          <w:p w:rsidR="00F11AAD" w:rsidRPr="00C34038" w:rsidRDefault="00F11AAD" w:rsidP="0076466B">
            <w:pPr>
              <w:widowControl w:val="0"/>
              <w:jc w:val="center"/>
              <w:rPr>
                <w:color w:val="000000"/>
                <w:sz w:val="28"/>
                <w:szCs w:val="28"/>
                <w:lang w:eastAsia="ru-RU"/>
              </w:rPr>
            </w:pPr>
            <w:r w:rsidRPr="00C34038">
              <w:rPr>
                <w:color w:val="000000"/>
                <w:sz w:val="24"/>
                <w:szCs w:val="24"/>
                <w:lang w:eastAsia="ru-RU"/>
              </w:rPr>
              <w:t>Питома вага групи у загальній кількості, відсотків</w:t>
            </w:r>
          </w:p>
        </w:tc>
        <w:tc>
          <w:tcPr>
            <w:tcW w:w="1581" w:type="dxa"/>
            <w:vAlign w:val="center"/>
          </w:tcPr>
          <w:p w:rsidR="00F11AAD" w:rsidRPr="00C34038" w:rsidRDefault="0019749A" w:rsidP="0076466B">
            <w:pPr>
              <w:widowControl w:val="0"/>
              <w:jc w:val="center"/>
              <w:rPr>
                <w:color w:val="000000"/>
                <w:sz w:val="24"/>
                <w:szCs w:val="24"/>
                <w:lang w:eastAsia="ru-RU"/>
              </w:rPr>
            </w:pPr>
            <w:r>
              <w:rPr>
                <w:color w:val="000000"/>
                <w:sz w:val="24"/>
                <w:szCs w:val="24"/>
                <w:lang w:eastAsia="ru-RU"/>
              </w:rPr>
              <w:t>20</w:t>
            </w:r>
          </w:p>
        </w:tc>
        <w:tc>
          <w:tcPr>
            <w:tcW w:w="1591" w:type="dxa"/>
            <w:vAlign w:val="center"/>
          </w:tcPr>
          <w:p w:rsidR="00F11AAD" w:rsidRPr="00C34038" w:rsidRDefault="0019749A" w:rsidP="0076466B">
            <w:pPr>
              <w:widowControl w:val="0"/>
              <w:jc w:val="center"/>
              <w:rPr>
                <w:color w:val="000000"/>
                <w:sz w:val="24"/>
                <w:szCs w:val="24"/>
                <w:lang w:eastAsia="ru-RU"/>
              </w:rPr>
            </w:pPr>
            <w:r>
              <w:rPr>
                <w:sz w:val="24"/>
                <w:szCs w:val="24"/>
              </w:rPr>
              <w:t>75</w:t>
            </w:r>
          </w:p>
        </w:tc>
        <w:tc>
          <w:tcPr>
            <w:tcW w:w="1565" w:type="dxa"/>
            <w:vAlign w:val="center"/>
          </w:tcPr>
          <w:p w:rsidR="00F11AAD" w:rsidRPr="00C34038" w:rsidRDefault="0019749A" w:rsidP="0076466B">
            <w:pPr>
              <w:widowControl w:val="0"/>
              <w:jc w:val="center"/>
              <w:rPr>
                <w:color w:val="000000"/>
                <w:sz w:val="24"/>
                <w:szCs w:val="24"/>
                <w:lang w:eastAsia="ru-RU"/>
              </w:rPr>
            </w:pPr>
            <w:r>
              <w:rPr>
                <w:sz w:val="24"/>
                <w:szCs w:val="24"/>
              </w:rPr>
              <w:t>5</w:t>
            </w:r>
          </w:p>
        </w:tc>
        <w:tc>
          <w:tcPr>
            <w:tcW w:w="1577" w:type="dxa"/>
            <w:vAlign w:val="center"/>
          </w:tcPr>
          <w:p w:rsidR="00F11AAD" w:rsidRPr="00C34038" w:rsidRDefault="00884183" w:rsidP="0076466B">
            <w:pPr>
              <w:widowControl w:val="0"/>
              <w:jc w:val="center"/>
              <w:rPr>
                <w:color w:val="000000"/>
                <w:sz w:val="24"/>
                <w:szCs w:val="24"/>
                <w:lang w:eastAsia="ru-RU"/>
              </w:rPr>
            </w:pPr>
            <w:r w:rsidRPr="00C34038">
              <w:rPr>
                <w:sz w:val="24"/>
                <w:szCs w:val="24"/>
              </w:rPr>
              <w:t>–</w:t>
            </w:r>
          </w:p>
        </w:tc>
        <w:tc>
          <w:tcPr>
            <w:tcW w:w="1575" w:type="dxa"/>
            <w:vAlign w:val="center"/>
          </w:tcPr>
          <w:p w:rsidR="00F11AAD" w:rsidRPr="00C34038" w:rsidRDefault="00F11AAD" w:rsidP="00C31F47">
            <w:pPr>
              <w:widowControl w:val="0"/>
              <w:jc w:val="center"/>
              <w:rPr>
                <w:color w:val="000000"/>
                <w:sz w:val="24"/>
                <w:szCs w:val="24"/>
                <w:lang w:eastAsia="ru-RU"/>
              </w:rPr>
            </w:pPr>
            <w:r w:rsidRPr="00C34038">
              <w:rPr>
                <w:color w:val="000000"/>
                <w:sz w:val="24"/>
                <w:szCs w:val="24"/>
                <w:lang w:eastAsia="ru-RU"/>
              </w:rPr>
              <w:t>100</w:t>
            </w:r>
          </w:p>
        </w:tc>
      </w:tr>
    </w:tbl>
    <w:p w:rsidR="00A667D0" w:rsidRPr="00F72DF7" w:rsidRDefault="00A667D0" w:rsidP="0076466B">
      <w:pPr>
        <w:widowControl w:val="0"/>
        <w:spacing w:after="0" w:line="240" w:lineRule="auto"/>
        <w:ind w:firstLine="708"/>
        <w:jc w:val="both"/>
        <w:rPr>
          <w:rFonts w:ascii="Times New Roman" w:hAnsi="Times New Roman" w:cs="Times New Roman"/>
          <w:sz w:val="28"/>
          <w:szCs w:val="28"/>
          <w:highlight w:val="yellow"/>
        </w:rPr>
      </w:pPr>
    </w:p>
    <w:tbl>
      <w:tblPr>
        <w:tblStyle w:val="4"/>
        <w:tblW w:w="0" w:type="auto"/>
        <w:tblLook w:val="04A0" w:firstRow="1" w:lastRow="0" w:firstColumn="1" w:lastColumn="0" w:noHBand="0" w:noVBand="1"/>
      </w:tblPr>
      <w:tblGrid>
        <w:gridCol w:w="1951"/>
        <w:gridCol w:w="3969"/>
        <w:gridCol w:w="3934"/>
      </w:tblGrid>
      <w:tr w:rsidR="00D11F94" w:rsidRPr="00F72DF7" w:rsidTr="00431CC9">
        <w:tc>
          <w:tcPr>
            <w:tcW w:w="1951" w:type="dxa"/>
          </w:tcPr>
          <w:p w:rsidR="00D11F94" w:rsidRPr="00C34038" w:rsidRDefault="00D11F94" w:rsidP="0076466B">
            <w:pPr>
              <w:widowControl w:val="0"/>
              <w:jc w:val="center"/>
              <w:rPr>
                <w:color w:val="000000"/>
                <w:sz w:val="24"/>
                <w:szCs w:val="24"/>
                <w:lang w:eastAsia="ru-RU"/>
              </w:rPr>
            </w:pPr>
            <w:r w:rsidRPr="00C34038">
              <w:rPr>
                <w:color w:val="000000"/>
                <w:sz w:val="24"/>
                <w:szCs w:val="24"/>
                <w:lang w:eastAsia="ru-RU"/>
              </w:rPr>
              <w:t>Вид альтернативи</w:t>
            </w:r>
          </w:p>
        </w:tc>
        <w:tc>
          <w:tcPr>
            <w:tcW w:w="3969" w:type="dxa"/>
          </w:tcPr>
          <w:p w:rsidR="00D11F94" w:rsidRPr="00C34038" w:rsidRDefault="00D11F94" w:rsidP="0076466B">
            <w:pPr>
              <w:widowControl w:val="0"/>
              <w:jc w:val="center"/>
              <w:rPr>
                <w:color w:val="000000"/>
                <w:sz w:val="24"/>
                <w:szCs w:val="24"/>
                <w:lang w:eastAsia="ru-RU"/>
              </w:rPr>
            </w:pPr>
            <w:r w:rsidRPr="00C34038">
              <w:rPr>
                <w:color w:val="000000"/>
                <w:sz w:val="24"/>
                <w:szCs w:val="24"/>
                <w:lang w:eastAsia="ru-RU"/>
              </w:rPr>
              <w:t>Вигоди</w:t>
            </w:r>
          </w:p>
        </w:tc>
        <w:tc>
          <w:tcPr>
            <w:tcW w:w="3934" w:type="dxa"/>
          </w:tcPr>
          <w:p w:rsidR="00D11F94" w:rsidRPr="00C34038" w:rsidRDefault="00D11F94" w:rsidP="0076466B">
            <w:pPr>
              <w:widowControl w:val="0"/>
              <w:jc w:val="center"/>
              <w:rPr>
                <w:color w:val="000000"/>
                <w:sz w:val="24"/>
                <w:szCs w:val="24"/>
                <w:lang w:eastAsia="ru-RU"/>
              </w:rPr>
            </w:pPr>
            <w:r w:rsidRPr="00C34038">
              <w:rPr>
                <w:color w:val="000000"/>
                <w:sz w:val="24"/>
                <w:szCs w:val="24"/>
                <w:lang w:eastAsia="ru-RU"/>
              </w:rPr>
              <w:t>Витрати</w:t>
            </w:r>
          </w:p>
        </w:tc>
      </w:tr>
      <w:tr w:rsidR="00D11F94" w:rsidRPr="00F72DF7" w:rsidTr="00431CC9">
        <w:tc>
          <w:tcPr>
            <w:tcW w:w="1951" w:type="dxa"/>
            <w:vAlign w:val="center"/>
          </w:tcPr>
          <w:p w:rsidR="00D11F94" w:rsidRPr="00F72DF7" w:rsidRDefault="00D11F94" w:rsidP="0076466B">
            <w:pPr>
              <w:widowControl w:val="0"/>
              <w:jc w:val="center"/>
              <w:rPr>
                <w:color w:val="000000"/>
                <w:sz w:val="24"/>
                <w:szCs w:val="24"/>
                <w:highlight w:val="yellow"/>
                <w:lang w:eastAsia="ru-RU"/>
              </w:rPr>
            </w:pPr>
            <w:r w:rsidRPr="008D4930">
              <w:rPr>
                <w:color w:val="000000"/>
                <w:sz w:val="24"/>
                <w:szCs w:val="24"/>
                <w:lang w:eastAsia="ru-RU"/>
              </w:rPr>
              <w:t>Альтернатива 1</w:t>
            </w:r>
          </w:p>
        </w:tc>
        <w:tc>
          <w:tcPr>
            <w:tcW w:w="3969" w:type="dxa"/>
          </w:tcPr>
          <w:p w:rsidR="00021D5B" w:rsidRDefault="00A8532A" w:rsidP="00021D5B">
            <w:pPr>
              <w:widowControl w:val="0"/>
              <w:ind w:left="34"/>
              <w:jc w:val="both"/>
              <w:rPr>
                <w:color w:val="000000"/>
                <w:sz w:val="24"/>
                <w:szCs w:val="24"/>
                <w:lang w:eastAsia="ru-RU"/>
              </w:rPr>
            </w:pPr>
            <w:r w:rsidRPr="00862899">
              <w:rPr>
                <w:color w:val="000000"/>
                <w:sz w:val="24"/>
                <w:szCs w:val="24"/>
                <w:lang w:eastAsia="ru-RU"/>
              </w:rPr>
              <w:t>В</w:t>
            </w:r>
            <w:r>
              <w:rPr>
                <w:color w:val="000000"/>
                <w:sz w:val="24"/>
                <w:szCs w:val="24"/>
                <w:lang w:eastAsia="ru-RU"/>
              </w:rPr>
              <w:t>игоди в</w:t>
            </w:r>
            <w:r w:rsidRPr="00862899">
              <w:rPr>
                <w:color w:val="000000"/>
                <w:sz w:val="24"/>
                <w:szCs w:val="24"/>
                <w:lang w:eastAsia="ru-RU"/>
              </w:rPr>
              <w:t>ідсутні</w:t>
            </w:r>
            <w:r w:rsidR="00132F7A">
              <w:rPr>
                <w:color w:val="000000"/>
                <w:sz w:val="24"/>
                <w:szCs w:val="24"/>
                <w:lang w:eastAsia="ru-RU"/>
              </w:rPr>
              <w:t xml:space="preserve"> </w:t>
            </w:r>
          </w:p>
          <w:p w:rsidR="00D11F94" w:rsidRPr="00F72DF7" w:rsidRDefault="00D11F94" w:rsidP="00B25D89">
            <w:pPr>
              <w:widowControl w:val="0"/>
              <w:ind w:left="34"/>
              <w:jc w:val="both"/>
              <w:rPr>
                <w:sz w:val="24"/>
                <w:szCs w:val="24"/>
                <w:highlight w:val="yellow"/>
                <w:lang w:eastAsia="ru-RU"/>
              </w:rPr>
            </w:pPr>
          </w:p>
        </w:tc>
        <w:tc>
          <w:tcPr>
            <w:tcW w:w="3934" w:type="dxa"/>
          </w:tcPr>
          <w:p w:rsidR="00237E97" w:rsidRDefault="00D11F94" w:rsidP="0076466B">
            <w:pPr>
              <w:widowControl w:val="0"/>
              <w:jc w:val="both"/>
              <w:rPr>
                <w:color w:val="000000"/>
                <w:sz w:val="24"/>
                <w:szCs w:val="24"/>
                <w:lang w:eastAsia="ru-RU"/>
              </w:rPr>
            </w:pPr>
            <w:r w:rsidRPr="00AE7B48">
              <w:rPr>
                <w:color w:val="000000"/>
                <w:sz w:val="24"/>
                <w:szCs w:val="24"/>
                <w:lang w:eastAsia="ru-RU"/>
              </w:rPr>
              <w:t>Витрати відсутні</w:t>
            </w:r>
            <w:r w:rsidR="005F1090" w:rsidRPr="00AE7B48">
              <w:rPr>
                <w:color w:val="000000"/>
                <w:sz w:val="24"/>
                <w:szCs w:val="24"/>
                <w:lang w:eastAsia="ru-RU"/>
              </w:rPr>
              <w:t>.</w:t>
            </w:r>
            <w:r w:rsidR="00A8532A" w:rsidRPr="00C34038">
              <w:rPr>
                <w:color w:val="000000"/>
                <w:sz w:val="24"/>
                <w:szCs w:val="24"/>
                <w:lang w:eastAsia="ru-RU"/>
              </w:rPr>
              <w:t xml:space="preserve"> У разі відсутності нормативно-правового акта не буде досягнуто цілей державного регулювання</w:t>
            </w:r>
            <w:r w:rsidR="00237E97">
              <w:rPr>
                <w:color w:val="000000"/>
                <w:sz w:val="24"/>
                <w:szCs w:val="24"/>
                <w:lang w:eastAsia="ru-RU"/>
              </w:rPr>
              <w:t xml:space="preserve">. </w:t>
            </w:r>
          </w:p>
          <w:p w:rsidR="00D11F94" w:rsidRPr="00AE7B48" w:rsidRDefault="00237E97" w:rsidP="004818BF">
            <w:pPr>
              <w:widowControl w:val="0"/>
              <w:jc w:val="both"/>
              <w:rPr>
                <w:color w:val="000000"/>
                <w:sz w:val="24"/>
                <w:szCs w:val="24"/>
                <w:lang w:eastAsia="ru-RU"/>
              </w:rPr>
            </w:pPr>
            <w:r>
              <w:rPr>
                <w:color w:val="000000"/>
                <w:sz w:val="24"/>
                <w:szCs w:val="24"/>
                <w:lang w:eastAsia="ru-RU"/>
              </w:rPr>
              <w:t xml:space="preserve">При відсутності </w:t>
            </w:r>
            <w:r>
              <w:rPr>
                <w:sz w:val="24"/>
                <w:szCs w:val="24"/>
                <w:lang w:eastAsia="ru-RU"/>
              </w:rPr>
              <w:t>диференційованого</w:t>
            </w:r>
            <w:r w:rsidRPr="00D72796">
              <w:rPr>
                <w:sz w:val="24"/>
                <w:szCs w:val="24"/>
                <w:lang w:eastAsia="ru-RU"/>
              </w:rPr>
              <w:t xml:space="preserve"> підходу </w:t>
            </w:r>
            <w:r>
              <w:rPr>
                <w:sz w:val="24"/>
                <w:szCs w:val="24"/>
                <w:lang w:eastAsia="ru-RU"/>
              </w:rPr>
              <w:t xml:space="preserve">рівень </w:t>
            </w:r>
            <w:r w:rsidRPr="00D72796">
              <w:rPr>
                <w:sz w:val="24"/>
                <w:szCs w:val="24"/>
                <w:lang w:eastAsia="ru-RU"/>
              </w:rPr>
              <w:t>штрафн</w:t>
            </w:r>
            <w:r>
              <w:rPr>
                <w:sz w:val="24"/>
                <w:szCs w:val="24"/>
                <w:lang w:eastAsia="ru-RU"/>
              </w:rPr>
              <w:t>их</w:t>
            </w:r>
            <w:r w:rsidRPr="00D72796">
              <w:rPr>
                <w:sz w:val="24"/>
                <w:szCs w:val="24"/>
                <w:lang w:eastAsia="ru-RU"/>
              </w:rPr>
              <w:t xml:space="preserve"> санкцій</w:t>
            </w:r>
            <w:r>
              <w:rPr>
                <w:sz w:val="24"/>
                <w:szCs w:val="24"/>
                <w:lang w:eastAsia="ru-RU"/>
              </w:rPr>
              <w:t xml:space="preserve"> та навантаження на суб’єктів ЗЕД за рахунок їх сплати залишиться без змін  </w:t>
            </w:r>
          </w:p>
        </w:tc>
      </w:tr>
      <w:tr w:rsidR="00D11F94" w:rsidRPr="00F72DF7" w:rsidTr="00431CC9">
        <w:tc>
          <w:tcPr>
            <w:tcW w:w="1951" w:type="dxa"/>
          </w:tcPr>
          <w:p w:rsidR="00D11F94" w:rsidRPr="00F72DF7" w:rsidRDefault="00D11F94" w:rsidP="0076466B">
            <w:pPr>
              <w:widowControl w:val="0"/>
              <w:jc w:val="center"/>
              <w:rPr>
                <w:color w:val="000000"/>
                <w:sz w:val="24"/>
                <w:szCs w:val="24"/>
                <w:highlight w:val="yellow"/>
                <w:lang w:eastAsia="ru-RU"/>
              </w:rPr>
            </w:pPr>
            <w:r w:rsidRPr="00C34038">
              <w:rPr>
                <w:color w:val="000000"/>
                <w:sz w:val="24"/>
                <w:szCs w:val="24"/>
                <w:lang w:eastAsia="ru-RU"/>
              </w:rPr>
              <w:t>Альтернатива 2</w:t>
            </w:r>
          </w:p>
        </w:tc>
        <w:tc>
          <w:tcPr>
            <w:tcW w:w="3969" w:type="dxa"/>
          </w:tcPr>
          <w:p w:rsidR="00A8532A" w:rsidRPr="006E0469" w:rsidRDefault="00A8532A" w:rsidP="001543BB">
            <w:pPr>
              <w:widowControl w:val="0"/>
              <w:ind w:left="34"/>
              <w:jc w:val="both"/>
              <w:rPr>
                <w:sz w:val="24"/>
                <w:szCs w:val="24"/>
                <w:lang w:eastAsia="ru-RU"/>
              </w:rPr>
            </w:pPr>
            <w:r>
              <w:rPr>
                <w:sz w:val="24"/>
                <w:szCs w:val="24"/>
                <w:lang w:eastAsia="ru-RU"/>
              </w:rPr>
              <w:t>Прогнозованість</w:t>
            </w:r>
            <w:r w:rsidRPr="006E0469">
              <w:rPr>
                <w:sz w:val="24"/>
                <w:szCs w:val="24"/>
                <w:lang w:eastAsia="ru-RU"/>
              </w:rPr>
              <w:t xml:space="preserve"> дій </w:t>
            </w:r>
            <w:r>
              <w:rPr>
                <w:sz w:val="24"/>
                <w:szCs w:val="24"/>
                <w:lang w:eastAsia="ru-RU"/>
              </w:rPr>
              <w:t>контролюючих</w:t>
            </w:r>
            <w:r w:rsidRPr="006E0469">
              <w:rPr>
                <w:sz w:val="24"/>
                <w:szCs w:val="24"/>
                <w:lang w:eastAsia="ru-RU"/>
              </w:rPr>
              <w:t xml:space="preserve"> органів</w:t>
            </w:r>
            <w:r>
              <w:rPr>
                <w:sz w:val="24"/>
                <w:szCs w:val="24"/>
                <w:lang w:eastAsia="ru-RU"/>
              </w:rPr>
              <w:t xml:space="preserve"> при визначе</w:t>
            </w:r>
            <w:r w:rsidR="004818BF">
              <w:rPr>
                <w:sz w:val="24"/>
                <w:szCs w:val="24"/>
                <w:lang w:eastAsia="ru-RU"/>
              </w:rPr>
              <w:t>н</w:t>
            </w:r>
            <w:r>
              <w:rPr>
                <w:sz w:val="24"/>
                <w:szCs w:val="24"/>
                <w:lang w:eastAsia="ru-RU"/>
              </w:rPr>
              <w:t xml:space="preserve">ні та застосуванні заходів впливу </w:t>
            </w:r>
            <w:r w:rsidR="008E7482">
              <w:rPr>
                <w:sz w:val="24"/>
                <w:szCs w:val="24"/>
                <w:lang w:eastAsia="ru-RU"/>
              </w:rPr>
              <w:t xml:space="preserve">у вигляді </w:t>
            </w:r>
            <w:r>
              <w:rPr>
                <w:sz w:val="24"/>
                <w:szCs w:val="24"/>
                <w:lang w:eastAsia="ru-RU"/>
              </w:rPr>
              <w:t>штрафних</w:t>
            </w:r>
            <w:r w:rsidR="00312DA3">
              <w:rPr>
                <w:sz w:val="24"/>
                <w:szCs w:val="24"/>
                <w:lang w:eastAsia="ru-RU"/>
              </w:rPr>
              <w:t xml:space="preserve"> санкцій</w:t>
            </w:r>
            <w:bookmarkStart w:id="0" w:name="_GoBack"/>
            <w:bookmarkEnd w:id="0"/>
            <w:r w:rsidR="00312DA3">
              <w:rPr>
                <w:sz w:val="24"/>
                <w:szCs w:val="24"/>
                <w:lang w:eastAsia="ru-RU"/>
              </w:rPr>
              <w:t xml:space="preserve"> за порушення вимог валютного законодавства.</w:t>
            </w:r>
            <w:r>
              <w:rPr>
                <w:sz w:val="24"/>
                <w:szCs w:val="24"/>
                <w:lang w:eastAsia="ru-RU"/>
              </w:rPr>
              <w:t xml:space="preserve"> </w:t>
            </w:r>
            <w:r w:rsidRPr="006E0469">
              <w:rPr>
                <w:sz w:val="24"/>
                <w:szCs w:val="24"/>
                <w:lang w:eastAsia="ru-RU"/>
              </w:rPr>
              <w:t xml:space="preserve"> </w:t>
            </w:r>
          </w:p>
          <w:p w:rsidR="00D11F94" w:rsidRPr="00F72DF7" w:rsidRDefault="00A8532A" w:rsidP="00CD7AAF">
            <w:pPr>
              <w:widowControl w:val="0"/>
              <w:ind w:left="34"/>
              <w:jc w:val="both"/>
              <w:rPr>
                <w:color w:val="000000"/>
                <w:sz w:val="24"/>
                <w:szCs w:val="24"/>
                <w:highlight w:val="yellow"/>
                <w:lang w:eastAsia="ru-RU"/>
              </w:rPr>
            </w:pPr>
            <w:r w:rsidRPr="00D72796">
              <w:rPr>
                <w:sz w:val="24"/>
                <w:szCs w:val="24"/>
                <w:lang w:eastAsia="ru-RU"/>
              </w:rPr>
              <w:t xml:space="preserve">Здійснення </w:t>
            </w:r>
            <w:r w:rsidR="00312DA3">
              <w:rPr>
                <w:sz w:val="24"/>
                <w:szCs w:val="24"/>
                <w:lang w:eastAsia="ru-RU"/>
              </w:rPr>
              <w:t>диференційованого</w:t>
            </w:r>
            <w:r w:rsidRPr="00D72796">
              <w:rPr>
                <w:sz w:val="24"/>
                <w:szCs w:val="24"/>
                <w:lang w:eastAsia="ru-RU"/>
              </w:rPr>
              <w:t xml:space="preserve"> підходу до застосування штрафних санкцій</w:t>
            </w:r>
            <w:r w:rsidR="00312DA3">
              <w:rPr>
                <w:sz w:val="24"/>
                <w:szCs w:val="24"/>
                <w:lang w:eastAsia="ru-RU"/>
              </w:rPr>
              <w:t xml:space="preserve"> з урахуванням </w:t>
            </w:r>
            <w:r w:rsidR="00CE38E5">
              <w:rPr>
                <w:sz w:val="24"/>
                <w:szCs w:val="24"/>
                <w:lang w:eastAsia="ru-RU"/>
              </w:rPr>
              <w:t>характеру та кількості порушень</w:t>
            </w:r>
            <w:r w:rsidR="00132F7A">
              <w:rPr>
                <w:sz w:val="24"/>
                <w:szCs w:val="24"/>
                <w:lang w:eastAsia="ru-RU"/>
              </w:rPr>
              <w:t xml:space="preserve"> та</w:t>
            </w:r>
            <w:r w:rsidR="004818BF">
              <w:rPr>
                <w:sz w:val="24"/>
                <w:szCs w:val="24"/>
                <w:lang w:eastAsia="ru-RU"/>
              </w:rPr>
              <w:t>,</w:t>
            </w:r>
            <w:r w:rsidR="00132F7A">
              <w:rPr>
                <w:sz w:val="24"/>
                <w:szCs w:val="24"/>
                <w:lang w:eastAsia="ru-RU"/>
              </w:rPr>
              <w:t xml:space="preserve"> як наслідок</w:t>
            </w:r>
            <w:r w:rsidR="004818BF">
              <w:rPr>
                <w:sz w:val="24"/>
                <w:szCs w:val="24"/>
                <w:lang w:eastAsia="ru-RU"/>
              </w:rPr>
              <w:t>,</w:t>
            </w:r>
            <w:r w:rsidR="00132F7A">
              <w:rPr>
                <w:sz w:val="24"/>
                <w:szCs w:val="24"/>
                <w:lang w:eastAsia="ru-RU"/>
              </w:rPr>
              <w:t xml:space="preserve"> </w:t>
            </w:r>
            <w:r w:rsidR="00021D5B">
              <w:rPr>
                <w:sz w:val="24"/>
                <w:szCs w:val="24"/>
                <w:lang w:eastAsia="ru-RU"/>
              </w:rPr>
              <w:t xml:space="preserve"> </w:t>
            </w:r>
            <w:r w:rsidR="00132F7A">
              <w:rPr>
                <w:sz w:val="24"/>
                <w:szCs w:val="24"/>
                <w:lang w:eastAsia="ru-RU"/>
              </w:rPr>
              <w:t xml:space="preserve">зменшення </w:t>
            </w:r>
            <w:r w:rsidR="006525CA">
              <w:rPr>
                <w:sz w:val="24"/>
                <w:szCs w:val="24"/>
                <w:lang w:eastAsia="ru-RU"/>
              </w:rPr>
              <w:t>обсягу</w:t>
            </w:r>
            <w:r w:rsidR="00132F7A">
              <w:rPr>
                <w:sz w:val="24"/>
                <w:szCs w:val="24"/>
                <w:lang w:eastAsia="ru-RU"/>
              </w:rPr>
              <w:t xml:space="preserve"> штрафних санкцій</w:t>
            </w:r>
            <w:r w:rsidR="005259F3">
              <w:rPr>
                <w:sz w:val="24"/>
                <w:szCs w:val="24"/>
                <w:lang w:eastAsia="ru-RU"/>
              </w:rPr>
              <w:t xml:space="preserve"> у середньому </w:t>
            </w:r>
            <w:r w:rsidR="00B96515">
              <w:rPr>
                <w:sz w:val="24"/>
                <w:szCs w:val="24"/>
                <w:lang w:eastAsia="ru-RU"/>
              </w:rPr>
              <w:t xml:space="preserve">на </w:t>
            </w:r>
            <w:r w:rsidR="00056DFF" w:rsidRPr="007067B1">
              <w:rPr>
                <w:sz w:val="24"/>
                <w:szCs w:val="24"/>
                <w:lang w:eastAsia="ru-RU"/>
              </w:rPr>
              <w:t>25</w:t>
            </w:r>
            <w:r w:rsidR="004818BF">
              <w:rPr>
                <w:sz w:val="24"/>
                <w:szCs w:val="24"/>
                <w:lang w:eastAsia="ru-RU"/>
              </w:rPr>
              <w:t xml:space="preserve"> </w:t>
            </w:r>
            <w:r w:rsidR="00056DFF">
              <w:rPr>
                <w:sz w:val="24"/>
                <w:szCs w:val="24"/>
                <w:lang w:eastAsia="ru-RU"/>
              </w:rPr>
              <w:t xml:space="preserve">% </w:t>
            </w:r>
            <w:r w:rsidR="005259F3">
              <w:rPr>
                <w:sz w:val="24"/>
                <w:szCs w:val="24"/>
                <w:lang w:eastAsia="ru-RU"/>
              </w:rPr>
              <w:t xml:space="preserve"> залежно від випадку порушення</w:t>
            </w:r>
            <w:r w:rsidR="00141D8D">
              <w:rPr>
                <w:color w:val="000000"/>
                <w:sz w:val="24"/>
                <w:szCs w:val="24"/>
                <w:lang w:eastAsia="ru-RU"/>
              </w:rPr>
              <w:t xml:space="preserve"> </w:t>
            </w:r>
          </w:p>
        </w:tc>
        <w:tc>
          <w:tcPr>
            <w:tcW w:w="3934" w:type="dxa"/>
          </w:tcPr>
          <w:p w:rsidR="00D11F94" w:rsidRPr="00C34038" w:rsidRDefault="00D11F94" w:rsidP="0076466B">
            <w:pPr>
              <w:widowControl w:val="0"/>
              <w:ind w:hanging="14"/>
              <w:jc w:val="both"/>
              <w:rPr>
                <w:color w:val="000000"/>
                <w:sz w:val="24"/>
                <w:szCs w:val="24"/>
                <w:lang w:eastAsia="ru-RU"/>
              </w:rPr>
            </w:pPr>
            <w:r w:rsidRPr="00C34038">
              <w:rPr>
                <w:color w:val="000000"/>
                <w:sz w:val="24"/>
                <w:szCs w:val="24"/>
                <w:lang w:eastAsia="ru-RU"/>
              </w:rPr>
              <w:t xml:space="preserve">Витрати </w:t>
            </w:r>
            <w:r w:rsidR="004D2F2A">
              <w:rPr>
                <w:color w:val="000000"/>
                <w:sz w:val="24"/>
                <w:szCs w:val="24"/>
                <w:lang w:eastAsia="ru-RU"/>
              </w:rPr>
              <w:t xml:space="preserve">суб’єктів господарювання за рахунок </w:t>
            </w:r>
            <w:r w:rsidR="004D2F2A">
              <w:rPr>
                <w:sz w:val="24"/>
                <w:szCs w:val="24"/>
                <w:lang w:eastAsia="ru-RU"/>
              </w:rPr>
              <w:t>диференційованого</w:t>
            </w:r>
            <w:r w:rsidR="004D2F2A" w:rsidRPr="00D72796">
              <w:rPr>
                <w:sz w:val="24"/>
                <w:szCs w:val="24"/>
                <w:lang w:eastAsia="ru-RU"/>
              </w:rPr>
              <w:t xml:space="preserve"> підходу до застосування штрафних санкцій</w:t>
            </w:r>
            <w:r w:rsidR="0033319B">
              <w:rPr>
                <w:sz w:val="24"/>
                <w:szCs w:val="24"/>
                <w:lang w:eastAsia="ru-RU"/>
              </w:rPr>
              <w:t xml:space="preserve"> будуть зменшені</w:t>
            </w:r>
          </w:p>
          <w:p w:rsidR="00D11F94" w:rsidRPr="00C34038" w:rsidRDefault="00D11F94" w:rsidP="0076466B">
            <w:pPr>
              <w:widowControl w:val="0"/>
              <w:ind w:hanging="14"/>
              <w:jc w:val="both"/>
              <w:rPr>
                <w:color w:val="000000"/>
                <w:sz w:val="24"/>
                <w:szCs w:val="24"/>
                <w:lang w:eastAsia="ru-RU"/>
              </w:rPr>
            </w:pPr>
          </w:p>
          <w:p w:rsidR="00D11F94" w:rsidRPr="00F72DF7" w:rsidRDefault="00D11F94" w:rsidP="0076466B">
            <w:pPr>
              <w:widowControl w:val="0"/>
              <w:ind w:hanging="14"/>
              <w:jc w:val="both"/>
              <w:rPr>
                <w:color w:val="000000"/>
                <w:sz w:val="24"/>
                <w:szCs w:val="24"/>
                <w:highlight w:val="yellow"/>
                <w:lang w:eastAsia="ru-RU"/>
              </w:rPr>
            </w:pPr>
          </w:p>
        </w:tc>
      </w:tr>
    </w:tbl>
    <w:p w:rsidR="00FA79D6" w:rsidRDefault="00FA79D6" w:rsidP="0076466B">
      <w:pPr>
        <w:pStyle w:val="a5"/>
        <w:widowControl w:val="0"/>
        <w:spacing w:before="0" w:beforeAutospacing="0" w:after="0" w:afterAutospacing="0"/>
        <w:ind w:firstLine="720"/>
        <w:jc w:val="both"/>
        <w:rPr>
          <w:sz w:val="28"/>
          <w:szCs w:val="28"/>
          <w:highlight w:val="yellow"/>
        </w:rPr>
      </w:pPr>
    </w:p>
    <w:tbl>
      <w:tblPr>
        <w:tblStyle w:val="a4"/>
        <w:tblW w:w="0" w:type="auto"/>
        <w:tblLook w:val="04A0" w:firstRow="1" w:lastRow="0" w:firstColumn="1" w:lastColumn="0" w:noHBand="0" w:noVBand="1"/>
      </w:tblPr>
      <w:tblGrid>
        <w:gridCol w:w="3284"/>
        <w:gridCol w:w="3285"/>
        <w:gridCol w:w="3285"/>
      </w:tblGrid>
      <w:tr w:rsidR="0074631F" w:rsidTr="0074631F">
        <w:tc>
          <w:tcPr>
            <w:tcW w:w="3284" w:type="dxa"/>
          </w:tcPr>
          <w:p w:rsidR="0074631F" w:rsidRPr="0074631F" w:rsidRDefault="0074631F" w:rsidP="0074631F">
            <w:pPr>
              <w:pStyle w:val="a5"/>
              <w:widowControl w:val="0"/>
              <w:spacing w:before="0" w:beforeAutospacing="0" w:after="0" w:afterAutospacing="0"/>
              <w:jc w:val="center"/>
              <w:rPr>
                <w:highlight w:val="yellow"/>
              </w:rPr>
            </w:pPr>
            <w:r w:rsidRPr="0074631F">
              <w:t>Зміст порушення</w:t>
            </w:r>
          </w:p>
        </w:tc>
        <w:tc>
          <w:tcPr>
            <w:tcW w:w="3285" w:type="dxa"/>
          </w:tcPr>
          <w:p w:rsidR="0074631F" w:rsidRPr="0074631F" w:rsidRDefault="0074631F" w:rsidP="0074631F">
            <w:pPr>
              <w:pStyle w:val="a5"/>
              <w:widowControl w:val="0"/>
              <w:spacing w:before="0" w:beforeAutospacing="0" w:after="0" w:afterAutospacing="0"/>
              <w:jc w:val="center"/>
              <w:rPr>
                <w:highlight w:val="yellow"/>
              </w:rPr>
            </w:pPr>
            <w:r w:rsidRPr="0074631F">
              <w:t>Альтернатива 1</w:t>
            </w:r>
          </w:p>
        </w:tc>
        <w:tc>
          <w:tcPr>
            <w:tcW w:w="3285" w:type="dxa"/>
          </w:tcPr>
          <w:p w:rsidR="0074631F" w:rsidRPr="0074631F" w:rsidRDefault="0074631F" w:rsidP="0074631F">
            <w:pPr>
              <w:pStyle w:val="a5"/>
              <w:widowControl w:val="0"/>
              <w:spacing w:before="0" w:beforeAutospacing="0" w:after="0" w:afterAutospacing="0"/>
              <w:jc w:val="center"/>
              <w:rPr>
                <w:highlight w:val="yellow"/>
              </w:rPr>
            </w:pPr>
            <w:r w:rsidRPr="0074631F">
              <w:t>Альтернатива 2</w:t>
            </w:r>
          </w:p>
        </w:tc>
      </w:tr>
      <w:tr w:rsidR="0074631F" w:rsidTr="0074631F">
        <w:tc>
          <w:tcPr>
            <w:tcW w:w="3284" w:type="dxa"/>
          </w:tcPr>
          <w:p w:rsidR="0074631F" w:rsidRDefault="00CA2F46" w:rsidP="0076466B">
            <w:pPr>
              <w:pStyle w:val="a5"/>
              <w:widowControl w:val="0"/>
              <w:spacing w:before="0" w:beforeAutospacing="0" w:after="0" w:afterAutospacing="0"/>
              <w:jc w:val="both"/>
            </w:pPr>
            <w:r w:rsidRPr="00403E77">
              <w:t>Здійснення розрахунків між резидентами і нерезидентами в межах торговельного обороту без участі уповноваженого банку</w:t>
            </w:r>
            <w:r w:rsidR="00403E77">
              <w:t xml:space="preserve"> у сумі </w:t>
            </w:r>
          </w:p>
          <w:p w:rsidR="00403E77" w:rsidRPr="00403E77" w:rsidRDefault="006C17D1" w:rsidP="00CD7AAF">
            <w:pPr>
              <w:pStyle w:val="a5"/>
              <w:widowControl w:val="0"/>
              <w:spacing w:before="0" w:beforeAutospacing="0" w:after="0" w:afterAutospacing="0"/>
              <w:jc w:val="both"/>
              <w:rPr>
                <w:highlight w:val="yellow"/>
              </w:rPr>
            </w:pPr>
            <w:r>
              <w:t>1</w:t>
            </w:r>
            <w:r w:rsidR="00403E77">
              <w:t xml:space="preserve">0 тис. </w:t>
            </w:r>
            <w:proofErr w:type="spellStart"/>
            <w:r w:rsidR="00403E77">
              <w:t>дол</w:t>
            </w:r>
            <w:proofErr w:type="spellEnd"/>
            <w:r w:rsidR="00403E77">
              <w:t>. США, що за</w:t>
            </w:r>
            <w:r w:rsidR="00403E77" w:rsidRPr="00403E77">
              <w:t xml:space="preserve"> офіційним курсом гривні до іноземних валют та банківських металів, установленим Національним банком, </w:t>
            </w:r>
            <w:r w:rsidR="00403E77">
              <w:t>на день</w:t>
            </w:r>
            <w:r w:rsidR="00403E77" w:rsidRPr="00403E77">
              <w:t xml:space="preserve"> здійснення таких операцій</w:t>
            </w:r>
            <w:r w:rsidR="00403E77">
              <w:t xml:space="preserve">  становить </w:t>
            </w:r>
            <w:r>
              <w:t>1</w:t>
            </w:r>
            <w:r w:rsidR="00403E77">
              <w:t>0000 х 27 =</w:t>
            </w:r>
            <w:r>
              <w:t xml:space="preserve"> 270000</w:t>
            </w:r>
            <w:r w:rsidR="00403E77">
              <w:t xml:space="preserve"> гр</w:t>
            </w:r>
            <w:r w:rsidR="00CD7AAF">
              <w:t>иве</w:t>
            </w:r>
            <w:r w:rsidR="00403E77">
              <w:t>н</w:t>
            </w:r>
            <w:r w:rsidR="00CD7AAF">
              <w:t>ь</w:t>
            </w:r>
          </w:p>
        </w:tc>
        <w:tc>
          <w:tcPr>
            <w:tcW w:w="3285" w:type="dxa"/>
          </w:tcPr>
          <w:p w:rsidR="0074631F" w:rsidRPr="006C17D1" w:rsidRDefault="006C17D1" w:rsidP="00CD7AAF">
            <w:pPr>
              <w:pStyle w:val="a5"/>
              <w:widowControl w:val="0"/>
              <w:spacing w:before="0" w:beforeAutospacing="0" w:after="0" w:afterAutospacing="0"/>
              <w:jc w:val="both"/>
              <w:rPr>
                <w:sz w:val="28"/>
                <w:szCs w:val="28"/>
              </w:rPr>
            </w:pPr>
            <w:r>
              <w:t xml:space="preserve">270 000 грн х </w:t>
            </w:r>
            <w:r w:rsidRPr="00C34038">
              <w:t>45059</w:t>
            </w:r>
            <w:r w:rsidR="002026CC">
              <w:t xml:space="preserve"> </w:t>
            </w:r>
            <w:r>
              <w:t>= 12 165 930</w:t>
            </w:r>
            <w:r w:rsidR="002026CC">
              <w:t> </w:t>
            </w:r>
            <w:r>
              <w:t>000</w:t>
            </w:r>
            <w:r w:rsidR="002026CC">
              <w:t xml:space="preserve"> </w:t>
            </w:r>
            <w:r>
              <w:t>гр</w:t>
            </w:r>
            <w:r w:rsidR="00BA204B">
              <w:t>иве</w:t>
            </w:r>
            <w:r>
              <w:t>н</w:t>
            </w:r>
            <w:r w:rsidR="00BA204B">
              <w:t>ь</w:t>
            </w:r>
          </w:p>
        </w:tc>
        <w:tc>
          <w:tcPr>
            <w:tcW w:w="3285" w:type="dxa"/>
          </w:tcPr>
          <w:p w:rsidR="0074631F" w:rsidRPr="006C17D1" w:rsidRDefault="007067B1" w:rsidP="00CD7AAF">
            <w:pPr>
              <w:pStyle w:val="a5"/>
              <w:widowControl w:val="0"/>
              <w:spacing w:before="0" w:beforeAutospacing="0" w:after="0" w:afterAutospacing="0"/>
              <w:jc w:val="both"/>
              <w:rPr>
                <w:sz w:val="28"/>
                <w:szCs w:val="28"/>
              </w:rPr>
            </w:pPr>
            <w:r>
              <w:t xml:space="preserve">270 000 грн х 25% х </w:t>
            </w:r>
            <w:r w:rsidRPr="00C34038">
              <w:t>45059</w:t>
            </w:r>
            <w:r w:rsidR="002026CC">
              <w:t xml:space="preserve"> </w:t>
            </w:r>
            <w:r>
              <w:t>=</w:t>
            </w:r>
            <w:r w:rsidR="002026CC">
              <w:t xml:space="preserve"> </w:t>
            </w:r>
            <w:r>
              <w:t>3 041 482 500 гр</w:t>
            </w:r>
            <w:r w:rsidR="00CD7AAF">
              <w:t>иве</w:t>
            </w:r>
            <w:r>
              <w:t>н</w:t>
            </w:r>
            <w:r w:rsidR="00CD7AAF">
              <w:t>ь</w:t>
            </w:r>
          </w:p>
        </w:tc>
      </w:tr>
    </w:tbl>
    <w:p w:rsidR="0074631F" w:rsidRDefault="0074631F" w:rsidP="0076466B">
      <w:pPr>
        <w:pStyle w:val="a5"/>
        <w:widowControl w:val="0"/>
        <w:spacing w:before="0" w:beforeAutospacing="0" w:after="0" w:afterAutospacing="0"/>
        <w:ind w:firstLine="720"/>
        <w:jc w:val="both"/>
        <w:rPr>
          <w:sz w:val="28"/>
          <w:szCs w:val="28"/>
          <w:highlight w:val="yellow"/>
        </w:rPr>
      </w:pPr>
    </w:p>
    <w:p w:rsidR="0074631F" w:rsidRDefault="0074631F" w:rsidP="0076466B">
      <w:pPr>
        <w:pStyle w:val="a5"/>
        <w:widowControl w:val="0"/>
        <w:spacing w:before="0" w:beforeAutospacing="0" w:after="0" w:afterAutospacing="0"/>
        <w:ind w:firstLine="720"/>
        <w:jc w:val="both"/>
        <w:rPr>
          <w:sz w:val="28"/>
          <w:szCs w:val="28"/>
          <w:highlight w:val="yellow"/>
        </w:rPr>
      </w:pPr>
    </w:p>
    <w:p w:rsidR="00615CEB" w:rsidRPr="00F72DF7" w:rsidRDefault="00615CEB" w:rsidP="0076466B">
      <w:pPr>
        <w:pStyle w:val="a5"/>
        <w:widowControl w:val="0"/>
        <w:spacing w:before="0" w:beforeAutospacing="0" w:after="0" w:afterAutospacing="0"/>
        <w:ind w:firstLine="720"/>
        <w:jc w:val="both"/>
        <w:rPr>
          <w:sz w:val="28"/>
          <w:szCs w:val="28"/>
          <w:highlight w:val="yellow"/>
        </w:rPr>
      </w:pPr>
    </w:p>
    <w:p w:rsidR="00794EF8" w:rsidRPr="00AB08EC" w:rsidRDefault="00794EF8" w:rsidP="0076466B">
      <w:pPr>
        <w:widowControl w:val="0"/>
        <w:spacing w:after="0" w:line="240" w:lineRule="auto"/>
        <w:ind w:firstLine="567"/>
        <w:jc w:val="both"/>
        <w:rPr>
          <w:rFonts w:ascii="Times New Roman" w:hAnsi="Times New Roman" w:cs="Times New Roman"/>
          <w:b/>
          <w:sz w:val="28"/>
          <w:szCs w:val="28"/>
        </w:rPr>
      </w:pPr>
      <w:r w:rsidRPr="00AB08EC">
        <w:rPr>
          <w:rFonts w:ascii="Times New Roman" w:hAnsi="Times New Roman" w:cs="Times New Roman"/>
          <w:b/>
          <w:sz w:val="28"/>
          <w:szCs w:val="28"/>
        </w:rPr>
        <w:t>IV. Вибір найбільш оптимального альтернативного способу досягнення цілей</w:t>
      </w:r>
    </w:p>
    <w:tbl>
      <w:tblPr>
        <w:tblStyle w:val="5"/>
        <w:tblpPr w:leftFromText="180" w:rightFromText="180" w:vertAnchor="text" w:horzAnchor="margin" w:tblpY="363"/>
        <w:tblW w:w="0" w:type="auto"/>
        <w:tblLook w:val="04A0" w:firstRow="1" w:lastRow="0" w:firstColumn="1" w:lastColumn="0" w:noHBand="0" w:noVBand="1"/>
      </w:tblPr>
      <w:tblGrid>
        <w:gridCol w:w="2235"/>
        <w:gridCol w:w="2268"/>
        <w:gridCol w:w="5351"/>
      </w:tblGrid>
      <w:tr w:rsidR="00310F1B" w:rsidRPr="00F72DF7" w:rsidTr="00310F1B">
        <w:tc>
          <w:tcPr>
            <w:tcW w:w="2235" w:type="dxa"/>
          </w:tcPr>
          <w:p w:rsidR="00310F1B" w:rsidRPr="00AB08EC" w:rsidRDefault="00310F1B" w:rsidP="0076466B">
            <w:pPr>
              <w:widowControl w:val="0"/>
              <w:jc w:val="center"/>
              <w:rPr>
                <w:color w:val="000000"/>
                <w:sz w:val="24"/>
                <w:szCs w:val="24"/>
                <w:lang w:eastAsia="ru-RU"/>
              </w:rPr>
            </w:pPr>
            <w:r w:rsidRPr="00AB08EC">
              <w:rPr>
                <w:color w:val="000000"/>
                <w:sz w:val="24"/>
                <w:szCs w:val="24"/>
                <w:lang w:eastAsia="ru-RU"/>
              </w:rPr>
              <w:t xml:space="preserve">Рейтинг результативності (досягнення цілей під час вирішення </w:t>
            </w:r>
            <w:r w:rsidRPr="00AB08EC">
              <w:rPr>
                <w:color w:val="000000"/>
                <w:sz w:val="24"/>
                <w:szCs w:val="24"/>
                <w:lang w:eastAsia="ru-RU"/>
              </w:rPr>
              <w:lastRenderedPageBreak/>
              <w:t>проблеми)</w:t>
            </w:r>
          </w:p>
        </w:tc>
        <w:tc>
          <w:tcPr>
            <w:tcW w:w="2268" w:type="dxa"/>
          </w:tcPr>
          <w:p w:rsidR="00310F1B" w:rsidRPr="00AB08EC" w:rsidRDefault="00310F1B" w:rsidP="0076466B">
            <w:pPr>
              <w:widowControl w:val="0"/>
              <w:jc w:val="center"/>
              <w:rPr>
                <w:color w:val="000000"/>
                <w:sz w:val="24"/>
                <w:szCs w:val="24"/>
                <w:lang w:eastAsia="ru-RU"/>
              </w:rPr>
            </w:pPr>
            <w:r w:rsidRPr="00AB08EC">
              <w:rPr>
                <w:color w:val="000000"/>
                <w:sz w:val="24"/>
                <w:szCs w:val="24"/>
                <w:lang w:eastAsia="ru-RU"/>
              </w:rPr>
              <w:lastRenderedPageBreak/>
              <w:t>Бал результативності (за чотирибальною системою оцінки)</w:t>
            </w:r>
          </w:p>
        </w:tc>
        <w:tc>
          <w:tcPr>
            <w:tcW w:w="5351" w:type="dxa"/>
          </w:tcPr>
          <w:p w:rsidR="00310F1B" w:rsidRPr="00AB08EC" w:rsidRDefault="00310F1B" w:rsidP="0076466B">
            <w:pPr>
              <w:widowControl w:val="0"/>
              <w:jc w:val="both"/>
              <w:rPr>
                <w:color w:val="000000"/>
                <w:sz w:val="24"/>
                <w:szCs w:val="24"/>
                <w:lang w:eastAsia="ru-RU"/>
              </w:rPr>
            </w:pPr>
          </w:p>
          <w:p w:rsidR="00310F1B" w:rsidRPr="00AB08EC" w:rsidRDefault="00310F1B" w:rsidP="0076466B">
            <w:pPr>
              <w:widowControl w:val="0"/>
              <w:jc w:val="both"/>
              <w:rPr>
                <w:color w:val="000000"/>
                <w:sz w:val="24"/>
                <w:szCs w:val="24"/>
                <w:lang w:eastAsia="ru-RU"/>
              </w:rPr>
            </w:pPr>
          </w:p>
          <w:p w:rsidR="00310F1B" w:rsidRPr="00AB08EC" w:rsidRDefault="00310F1B" w:rsidP="0076466B">
            <w:pPr>
              <w:widowControl w:val="0"/>
              <w:jc w:val="both"/>
              <w:rPr>
                <w:color w:val="000000"/>
                <w:sz w:val="24"/>
                <w:szCs w:val="24"/>
                <w:lang w:eastAsia="ru-RU"/>
              </w:rPr>
            </w:pPr>
            <w:r w:rsidRPr="00AB08EC">
              <w:rPr>
                <w:color w:val="000000"/>
                <w:sz w:val="24"/>
                <w:szCs w:val="24"/>
                <w:lang w:eastAsia="ru-RU"/>
              </w:rPr>
              <w:t>Коментарі щодо присвоєння відповідного бала</w:t>
            </w:r>
          </w:p>
        </w:tc>
      </w:tr>
      <w:tr w:rsidR="00310F1B" w:rsidRPr="00F72DF7" w:rsidTr="00A3356E">
        <w:tc>
          <w:tcPr>
            <w:tcW w:w="2235" w:type="dxa"/>
            <w:tcBorders>
              <w:bottom w:val="single" w:sz="4" w:space="0" w:color="auto"/>
            </w:tcBorders>
            <w:vAlign w:val="center"/>
          </w:tcPr>
          <w:p w:rsidR="00310F1B" w:rsidRPr="00AB08EC" w:rsidRDefault="00310F1B" w:rsidP="0076466B">
            <w:pPr>
              <w:widowControl w:val="0"/>
              <w:jc w:val="center"/>
              <w:rPr>
                <w:color w:val="000000"/>
                <w:sz w:val="24"/>
                <w:szCs w:val="24"/>
                <w:lang w:eastAsia="ru-RU"/>
              </w:rPr>
            </w:pPr>
            <w:r w:rsidRPr="00AB08EC">
              <w:rPr>
                <w:color w:val="000000"/>
                <w:sz w:val="24"/>
                <w:szCs w:val="24"/>
                <w:lang w:eastAsia="ru-RU"/>
              </w:rPr>
              <w:lastRenderedPageBreak/>
              <w:t>Альтернатива 1</w:t>
            </w:r>
          </w:p>
        </w:tc>
        <w:tc>
          <w:tcPr>
            <w:tcW w:w="2268" w:type="dxa"/>
            <w:tcBorders>
              <w:bottom w:val="single" w:sz="4" w:space="0" w:color="auto"/>
            </w:tcBorders>
            <w:vAlign w:val="center"/>
          </w:tcPr>
          <w:p w:rsidR="00310F1B" w:rsidRPr="00AB08EC" w:rsidRDefault="0015202F" w:rsidP="0015202F">
            <w:pPr>
              <w:widowControl w:val="0"/>
              <w:jc w:val="center"/>
              <w:rPr>
                <w:color w:val="000000"/>
                <w:sz w:val="24"/>
                <w:szCs w:val="24"/>
                <w:lang w:eastAsia="ru-RU"/>
              </w:rPr>
            </w:pPr>
            <w:r w:rsidRPr="00AB08EC">
              <w:rPr>
                <w:color w:val="000000"/>
                <w:sz w:val="24"/>
                <w:szCs w:val="24"/>
                <w:lang w:eastAsia="ru-RU"/>
              </w:rPr>
              <w:t>1</w:t>
            </w:r>
          </w:p>
        </w:tc>
        <w:tc>
          <w:tcPr>
            <w:tcW w:w="5351" w:type="dxa"/>
            <w:tcBorders>
              <w:bottom w:val="single" w:sz="4" w:space="0" w:color="auto"/>
            </w:tcBorders>
          </w:tcPr>
          <w:p w:rsidR="00310F1B" w:rsidRPr="00AB08EC" w:rsidRDefault="0015202F" w:rsidP="00463CB1">
            <w:pPr>
              <w:widowControl w:val="0"/>
              <w:jc w:val="both"/>
              <w:rPr>
                <w:color w:val="000000"/>
                <w:sz w:val="24"/>
                <w:szCs w:val="24"/>
                <w:lang w:val="ru-RU" w:eastAsia="ru-RU"/>
              </w:rPr>
            </w:pPr>
            <w:r w:rsidRPr="00AB08EC">
              <w:rPr>
                <w:color w:val="000000"/>
                <w:sz w:val="24"/>
                <w:szCs w:val="24"/>
                <w:lang w:eastAsia="ru-RU"/>
              </w:rPr>
              <w:t>Не дає змоги досягнути поставлених цілей державного регулювання</w:t>
            </w:r>
          </w:p>
        </w:tc>
      </w:tr>
      <w:tr w:rsidR="00310F1B" w:rsidRPr="00F72DF7" w:rsidTr="00A3356E">
        <w:tc>
          <w:tcPr>
            <w:tcW w:w="2235" w:type="dxa"/>
            <w:tcBorders>
              <w:bottom w:val="single" w:sz="4" w:space="0" w:color="auto"/>
            </w:tcBorders>
          </w:tcPr>
          <w:p w:rsidR="00310F1B" w:rsidRPr="00AB08EC" w:rsidRDefault="00310F1B" w:rsidP="0076466B">
            <w:pPr>
              <w:widowControl w:val="0"/>
              <w:jc w:val="center"/>
              <w:rPr>
                <w:color w:val="000000"/>
                <w:sz w:val="24"/>
                <w:szCs w:val="24"/>
                <w:lang w:eastAsia="ru-RU"/>
              </w:rPr>
            </w:pPr>
            <w:r w:rsidRPr="00AB08EC">
              <w:rPr>
                <w:color w:val="000000"/>
                <w:sz w:val="24"/>
                <w:szCs w:val="24"/>
                <w:lang w:eastAsia="ru-RU"/>
              </w:rPr>
              <w:t>Альтернатива 2</w:t>
            </w:r>
          </w:p>
        </w:tc>
        <w:tc>
          <w:tcPr>
            <w:tcW w:w="2268" w:type="dxa"/>
            <w:tcBorders>
              <w:bottom w:val="single" w:sz="4" w:space="0" w:color="auto"/>
            </w:tcBorders>
          </w:tcPr>
          <w:p w:rsidR="00310F1B" w:rsidRPr="00AB08EC" w:rsidRDefault="0015202F" w:rsidP="0076466B">
            <w:pPr>
              <w:widowControl w:val="0"/>
              <w:jc w:val="center"/>
              <w:rPr>
                <w:color w:val="000000"/>
                <w:sz w:val="24"/>
                <w:szCs w:val="24"/>
                <w:lang w:eastAsia="ru-RU"/>
              </w:rPr>
            </w:pPr>
            <w:r w:rsidRPr="00AB08EC">
              <w:rPr>
                <w:color w:val="000000"/>
                <w:sz w:val="24"/>
                <w:szCs w:val="24"/>
                <w:lang w:eastAsia="ru-RU"/>
              </w:rPr>
              <w:t>3</w:t>
            </w:r>
          </w:p>
        </w:tc>
        <w:tc>
          <w:tcPr>
            <w:tcW w:w="5351" w:type="dxa"/>
            <w:tcBorders>
              <w:bottom w:val="single" w:sz="4" w:space="0" w:color="auto"/>
            </w:tcBorders>
          </w:tcPr>
          <w:p w:rsidR="00310F1B" w:rsidRPr="00AB08EC" w:rsidRDefault="0015202F" w:rsidP="00463CB1">
            <w:pPr>
              <w:widowControl w:val="0"/>
              <w:jc w:val="both"/>
              <w:rPr>
                <w:color w:val="000000"/>
                <w:sz w:val="24"/>
                <w:szCs w:val="24"/>
                <w:lang w:eastAsia="ru-RU"/>
              </w:rPr>
            </w:pPr>
            <w:r w:rsidRPr="00AB08EC">
              <w:rPr>
                <w:sz w:val="24"/>
                <w:szCs w:val="24"/>
              </w:rPr>
              <w:t xml:space="preserve">Дає змогу повністю досягнути поставлених цілей державного регулювання  </w:t>
            </w:r>
          </w:p>
        </w:tc>
      </w:tr>
    </w:tbl>
    <w:p w:rsidR="00794EF8" w:rsidRDefault="00794EF8" w:rsidP="0076466B">
      <w:pPr>
        <w:widowControl w:val="0"/>
        <w:spacing w:after="0" w:line="240" w:lineRule="auto"/>
        <w:ind w:firstLine="709"/>
        <w:jc w:val="both"/>
        <w:rPr>
          <w:rFonts w:ascii="Times New Roman" w:hAnsi="Times New Roman" w:cs="Times New Roman"/>
          <w:sz w:val="28"/>
          <w:szCs w:val="28"/>
          <w:highlight w:val="yellow"/>
        </w:rPr>
      </w:pPr>
    </w:p>
    <w:p w:rsidR="00FA79D6" w:rsidRPr="00F72DF7" w:rsidRDefault="00FA79D6" w:rsidP="0076466B">
      <w:pPr>
        <w:widowControl w:val="0"/>
        <w:spacing w:after="0" w:line="240" w:lineRule="auto"/>
        <w:ind w:firstLine="709"/>
        <w:jc w:val="both"/>
        <w:rPr>
          <w:rFonts w:ascii="Times New Roman" w:hAnsi="Times New Roman" w:cs="Times New Roman"/>
          <w:sz w:val="28"/>
          <w:szCs w:val="28"/>
          <w:highlight w:val="yellow"/>
        </w:rPr>
      </w:pPr>
    </w:p>
    <w:tbl>
      <w:tblPr>
        <w:tblStyle w:val="5"/>
        <w:tblW w:w="0" w:type="auto"/>
        <w:tblLook w:val="04A0" w:firstRow="1" w:lastRow="0" w:firstColumn="1" w:lastColumn="0" w:noHBand="0" w:noVBand="1"/>
      </w:tblPr>
      <w:tblGrid>
        <w:gridCol w:w="2093"/>
        <w:gridCol w:w="2977"/>
        <w:gridCol w:w="2551"/>
        <w:gridCol w:w="2233"/>
      </w:tblGrid>
      <w:tr w:rsidR="00D11F94" w:rsidRPr="00F72DF7" w:rsidTr="00431CC9">
        <w:tc>
          <w:tcPr>
            <w:tcW w:w="2093" w:type="dxa"/>
            <w:vAlign w:val="center"/>
          </w:tcPr>
          <w:p w:rsidR="00D11F94" w:rsidRPr="00DD74F4" w:rsidRDefault="00D11F94" w:rsidP="0076466B">
            <w:pPr>
              <w:widowControl w:val="0"/>
              <w:jc w:val="center"/>
              <w:rPr>
                <w:color w:val="000000"/>
                <w:sz w:val="24"/>
                <w:szCs w:val="24"/>
                <w:lang w:eastAsia="ru-RU"/>
              </w:rPr>
            </w:pPr>
            <w:r w:rsidRPr="00DD74F4">
              <w:rPr>
                <w:color w:val="000000"/>
                <w:sz w:val="24"/>
                <w:szCs w:val="24"/>
                <w:lang w:eastAsia="ru-RU"/>
              </w:rPr>
              <w:t>Рейтинг результативності</w:t>
            </w:r>
          </w:p>
        </w:tc>
        <w:tc>
          <w:tcPr>
            <w:tcW w:w="2977" w:type="dxa"/>
            <w:vAlign w:val="center"/>
          </w:tcPr>
          <w:p w:rsidR="00D11F94" w:rsidRPr="00DD74F4" w:rsidRDefault="00D11F94" w:rsidP="0076466B">
            <w:pPr>
              <w:widowControl w:val="0"/>
              <w:jc w:val="center"/>
              <w:rPr>
                <w:color w:val="000000"/>
                <w:sz w:val="24"/>
                <w:szCs w:val="24"/>
                <w:lang w:eastAsia="ru-RU"/>
              </w:rPr>
            </w:pPr>
            <w:r w:rsidRPr="00DD74F4">
              <w:rPr>
                <w:color w:val="000000"/>
                <w:sz w:val="24"/>
                <w:szCs w:val="24"/>
                <w:lang w:eastAsia="ru-RU"/>
              </w:rPr>
              <w:t>Вигоди (підсумок)</w:t>
            </w:r>
          </w:p>
        </w:tc>
        <w:tc>
          <w:tcPr>
            <w:tcW w:w="2551" w:type="dxa"/>
            <w:vAlign w:val="center"/>
          </w:tcPr>
          <w:p w:rsidR="00D11F94" w:rsidRPr="00DD74F4" w:rsidRDefault="00D11F94" w:rsidP="0076466B">
            <w:pPr>
              <w:widowControl w:val="0"/>
              <w:jc w:val="center"/>
              <w:rPr>
                <w:color w:val="000000"/>
                <w:sz w:val="24"/>
                <w:szCs w:val="24"/>
                <w:lang w:eastAsia="ru-RU"/>
              </w:rPr>
            </w:pPr>
            <w:r w:rsidRPr="00DD74F4">
              <w:rPr>
                <w:color w:val="000000"/>
                <w:sz w:val="24"/>
                <w:szCs w:val="24"/>
                <w:lang w:eastAsia="ru-RU"/>
              </w:rPr>
              <w:t>Витрати (підсумок)</w:t>
            </w:r>
          </w:p>
        </w:tc>
        <w:tc>
          <w:tcPr>
            <w:tcW w:w="2233" w:type="dxa"/>
          </w:tcPr>
          <w:p w:rsidR="00D11F94" w:rsidRPr="00DD74F4" w:rsidRDefault="00D11F94" w:rsidP="0076466B">
            <w:pPr>
              <w:widowControl w:val="0"/>
              <w:jc w:val="center"/>
              <w:rPr>
                <w:color w:val="000000"/>
                <w:sz w:val="24"/>
                <w:szCs w:val="24"/>
                <w:lang w:eastAsia="ru-RU"/>
              </w:rPr>
            </w:pPr>
            <w:r w:rsidRPr="00DD74F4">
              <w:rPr>
                <w:color w:val="000000"/>
                <w:sz w:val="24"/>
                <w:szCs w:val="24"/>
                <w:lang w:eastAsia="ru-RU"/>
              </w:rPr>
              <w:t>Обґрунтування відповідного місця альтернативи у рейтингу</w:t>
            </w:r>
          </w:p>
        </w:tc>
      </w:tr>
      <w:tr w:rsidR="00D11F94" w:rsidRPr="00F72DF7" w:rsidTr="00DD74F4">
        <w:tc>
          <w:tcPr>
            <w:tcW w:w="2093" w:type="dxa"/>
            <w:shd w:val="clear" w:color="auto" w:fill="auto"/>
          </w:tcPr>
          <w:p w:rsidR="00D11F94" w:rsidRPr="00DD74F4" w:rsidRDefault="00D11F94" w:rsidP="0076466B">
            <w:pPr>
              <w:widowControl w:val="0"/>
              <w:jc w:val="both"/>
              <w:rPr>
                <w:color w:val="000000"/>
                <w:sz w:val="24"/>
                <w:szCs w:val="24"/>
                <w:lang w:eastAsia="ru-RU"/>
              </w:rPr>
            </w:pPr>
            <w:r w:rsidRPr="00DD74F4">
              <w:rPr>
                <w:color w:val="000000"/>
                <w:sz w:val="24"/>
                <w:szCs w:val="24"/>
                <w:lang w:eastAsia="ru-RU"/>
              </w:rPr>
              <w:t>Альтернатива 1</w:t>
            </w:r>
          </w:p>
        </w:tc>
        <w:tc>
          <w:tcPr>
            <w:tcW w:w="2977" w:type="dxa"/>
          </w:tcPr>
          <w:p w:rsidR="00D11F94" w:rsidRPr="00732D2D" w:rsidRDefault="00EC4F2D" w:rsidP="00167D47">
            <w:pPr>
              <w:widowControl w:val="0"/>
              <w:jc w:val="both"/>
              <w:rPr>
                <w:lang w:eastAsia="ru-RU"/>
              </w:rPr>
            </w:pPr>
            <w:r w:rsidRPr="00732D2D">
              <w:rPr>
                <w:color w:val="000000"/>
                <w:sz w:val="24"/>
                <w:szCs w:val="24"/>
                <w:lang w:eastAsia="ru-RU"/>
              </w:rPr>
              <w:t xml:space="preserve">Вигоди відсутні, оскільки проблема залишається </w:t>
            </w:r>
            <w:r w:rsidR="00463CB1">
              <w:rPr>
                <w:color w:val="000000"/>
                <w:sz w:val="24"/>
                <w:szCs w:val="24"/>
                <w:lang w:eastAsia="ru-RU"/>
              </w:rPr>
              <w:br/>
            </w:r>
            <w:r w:rsidRPr="00732D2D">
              <w:rPr>
                <w:color w:val="000000"/>
                <w:sz w:val="24"/>
                <w:szCs w:val="24"/>
                <w:lang w:eastAsia="ru-RU"/>
              </w:rPr>
              <w:t>невирішеною</w:t>
            </w:r>
          </w:p>
        </w:tc>
        <w:tc>
          <w:tcPr>
            <w:tcW w:w="2551" w:type="dxa"/>
          </w:tcPr>
          <w:p w:rsidR="00D11F94" w:rsidRPr="00732D2D" w:rsidRDefault="00EC4F2D" w:rsidP="00EC4F2D">
            <w:pPr>
              <w:widowControl w:val="0"/>
              <w:jc w:val="both"/>
              <w:rPr>
                <w:color w:val="000000"/>
                <w:sz w:val="24"/>
                <w:szCs w:val="24"/>
                <w:lang w:val="ru-RU" w:eastAsia="ru-RU"/>
              </w:rPr>
            </w:pPr>
            <w:r w:rsidRPr="00732D2D">
              <w:rPr>
                <w:color w:val="000000"/>
                <w:sz w:val="24"/>
                <w:szCs w:val="24"/>
                <w:lang w:eastAsia="ru-RU"/>
              </w:rPr>
              <w:t xml:space="preserve">У разі відсутності нормативно-правового акта не буде досягнуто поставлених цілей державного регулювання </w:t>
            </w:r>
          </w:p>
        </w:tc>
        <w:tc>
          <w:tcPr>
            <w:tcW w:w="2233" w:type="dxa"/>
          </w:tcPr>
          <w:p w:rsidR="00EC4F2D" w:rsidRPr="00732D2D" w:rsidRDefault="00EC4F2D" w:rsidP="00EC4F2D">
            <w:pPr>
              <w:widowControl w:val="0"/>
              <w:jc w:val="both"/>
              <w:rPr>
                <w:color w:val="000000"/>
                <w:sz w:val="24"/>
                <w:szCs w:val="24"/>
                <w:lang w:eastAsia="ru-RU"/>
              </w:rPr>
            </w:pPr>
            <w:r w:rsidRPr="00732D2D">
              <w:rPr>
                <w:color w:val="000000"/>
                <w:sz w:val="24"/>
                <w:szCs w:val="24"/>
                <w:lang w:eastAsia="ru-RU"/>
              </w:rPr>
              <w:t>Є гіршою серед альтернатив, оскільки не дасть змоги досягнути цілей державного регулювання</w:t>
            </w:r>
            <w:r w:rsidRPr="00732D2D">
              <w:rPr>
                <w:sz w:val="24"/>
                <w:szCs w:val="24"/>
              </w:rPr>
              <w:t xml:space="preserve"> </w:t>
            </w:r>
          </w:p>
          <w:p w:rsidR="00894A2E" w:rsidRPr="00732D2D" w:rsidRDefault="00894A2E" w:rsidP="006F5A7F">
            <w:pPr>
              <w:widowControl w:val="0"/>
              <w:jc w:val="both"/>
              <w:rPr>
                <w:color w:val="000000"/>
                <w:sz w:val="24"/>
                <w:szCs w:val="24"/>
                <w:lang w:eastAsia="ru-RU"/>
              </w:rPr>
            </w:pPr>
          </w:p>
        </w:tc>
      </w:tr>
      <w:tr w:rsidR="00D11F94" w:rsidRPr="00D11F94" w:rsidTr="00431CC9">
        <w:tc>
          <w:tcPr>
            <w:tcW w:w="2093" w:type="dxa"/>
          </w:tcPr>
          <w:p w:rsidR="00D11F94" w:rsidRPr="00DD74F4" w:rsidRDefault="00D11F94" w:rsidP="0076466B">
            <w:pPr>
              <w:widowControl w:val="0"/>
              <w:jc w:val="both"/>
              <w:rPr>
                <w:color w:val="000000"/>
                <w:sz w:val="24"/>
                <w:szCs w:val="24"/>
                <w:lang w:eastAsia="ru-RU"/>
              </w:rPr>
            </w:pPr>
            <w:r w:rsidRPr="00DD74F4">
              <w:rPr>
                <w:color w:val="000000"/>
                <w:sz w:val="24"/>
                <w:szCs w:val="24"/>
                <w:lang w:eastAsia="ru-RU"/>
              </w:rPr>
              <w:t>Альтернатива 2</w:t>
            </w:r>
          </w:p>
        </w:tc>
        <w:tc>
          <w:tcPr>
            <w:tcW w:w="2977" w:type="dxa"/>
          </w:tcPr>
          <w:p w:rsidR="00EC4F2D" w:rsidRPr="00732D2D" w:rsidRDefault="00EC4F2D" w:rsidP="00EC4F2D">
            <w:pPr>
              <w:widowControl w:val="0"/>
              <w:jc w:val="both"/>
              <w:rPr>
                <w:bCs/>
                <w:color w:val="000000"/>
                <w:sz w:val="24"/>
                <w:szCs w:val="24"/>
                <w:lang w:eastAsia="ru-RU"/>
              </w:rPr>
            </w:pPr>
            <w:r w:rsidRPr="00732D2D">
              <w:rPr>
                <w:bCs/>
                <w:color w:val="000000"/>
                <w:sz w:val="24"/>
                <w:szCs w:val="24"/>
                <w:lang w:eastAsia="ru-RU"/>
              </w:rPr>
              <w:t xml:space="preserve">Прийняття проекту постанови дасть можливість правового забезпечення </w:t>
            </w:r>
          </w:p>
          <w:p w:rsidR="00EC4F2D" w:rsidRPr="00732D2D" w:rsidRDefault="00EC4F2D" w:rsidP="00EC4F2D">
            <w:pPr>
              <w:widowControl w:val="0"/>
              <w:jc w:val="both"/>
              <w:rPr>
                <w:bCs/>
                <w:color w:val="000000"/>
                <w:sz w:val="24"/>
                <w:szCs w:val="24"/>
                <w:lang w:eastAsia="ru-RU"/>
              </w:rPr>
            </w:pPr>
            <w:r w:rsidRPr="00732D2D">
              <w:rPr>
                <w:bCs/>
                <w:color w:val="000000"/>
                <w:sz w:val="24"/>
                <w:szCs w:val="24"/>
                <w:lang w:eastAsia="ru-RU"/>
              </w:rPr>
              <w:t>функції контролюючих органів, визначеної Законом та Податковим кодексом України,  щодо застосування штрафних санкцій за порушення вимог валютного законодавства</w:t>
            </w:r>
          </w:p>
          <w:p w:rsidR="00D11F94" w:rsidRPr="00732D2D" w:rsidRDefault="00D11F94" w:rsidP="0076466B">
            <w:pPr>
              <w:widowControl w:val="0"/>
              <w:jc w:val="both"/>
              <w:rPr>
                <w:color w:val="000000"/>
                <w:sz w:val="24"/>
                <w:szCs w:val="24"/>
                <w:lang w:eastAsia="ru-RU"/>
              </w:rPr>
            </w:pPr>
          </w:p>
        </w:tc>
        <w:tc>
          <w:tcPr>
            <w:tcW w:w="2551" w:type="dxa"/>
          </w:tcPr>
          <w:p w:rsidR="00D11F94" w:rsidRPr="00732D2D" w:rsidRDefault="00EC4F2D" w:rsidP="00463CB1">
            <w:pPr>
              <w:widowControl w:val="0"/>
              <w:jc w:val="both"/>
              <w:rPr>
                <w:color w:val="000000"/>
                <w:sz w:val="24"/>
                <w:szCs w:val="24"/>
                <w:lang w:val="ru-RU" w:eastAsia="ru-RU"/>
              </w:rPr>
            </w:pPr>
            <w:r w:rsidRPr="00732D2D">
              <w:rPr>
                <w:color w:val="000000"/>
                <w:sz w:val="24"/>
                <w:szCs w:val="24"/>
                <w:lang w:eastAsia="ru-RU"/>
              </w:rPr>
              <w:t>Витрати відсутні</w:t>
            </w:r>
          </w:p>
        </w:tc>
        <w:tc>
          <w:tcPr>
            <w:tcW w:w="2233" w:type="dxa"/>
          </w:tcPr>
          <w:p w:rsidR="00EC4F2D" w:rsidRPr="00732D2D" w:rsidRDefault="00EC4F2D" w:rsidP="00EC4F2D">
            <w:pPr>
              <w:widowControl w:val="0"/>
              <w:jc w:val="both"/>
              <w:rPr>
                <w:color w:val="000000"/>
                <w:sz w:val="24"/>
                <w:szCs w:val="24"/>
                <w:lang w:eastAsia="ru-RU"/>
              </w:rPr>
            </w:pPr>
            <w:r w:rsidRPr="00732D2D">
              <w:rPr>
                <w:sz w:val="24"/>
                <w:szCs w:val="24"/>
              </w:rPr>
              <w:t>Є найоптимальнішою серед запропонованих альтернатив, оскільки</w:t>
            </w:r>
            <w:r w:rsidRPr="00732D2D">
              <w:rPr>
                <w:color w:val="000000"/>
                <w:sz w:val="24"/>
                <w:szCs w:val="24"/>
                <w:lang w:eastAsia="ru-RU"/>
              </w:rPr>
              <w:t>:</w:t>
            </w:r>
          </w:p>
          <w:p w:rsidR="00EC4F2D" w:rsidRPr="00732D2D" w:rsidRDefault="00EC4F2D" w:rsidP="00EC4F2D">
            <w:pPr>
              <w:widowControl w:val="0"/>
              <w:jc w:val="both"/>
              <w:rPr>
                <w:color w:val="000000"/>
                <w:sz w:val="24"/>
                <w:szCs w:val="24"/>
                <w:lang w:eastAsia="ru-RU"/>
              </w:rPr>
            </w:pPr>
            <w:r w:rsidRPr="00732D2D">
              <w:rPr>
                <w:color w:val="000000"/>
                <w:sz w:val="24"/>
                <w:szCs w:val="24"/>
                <w:lang w:eastAsia="ru-RU"/>
              </w:rPr>
              <w:t>1) дає змогу повністю досягнути поставлених цілей державного регулювання;</w:t>
            </w:r>
          </w:p>
          <w:p w:rsidR="00D11F94" w:rsidRPr="00732D2D" w:rsidRDefault="00EC4F2D" w:rsidP="00463CB1">
            <w:pPr>
              <w:widowControl w:val="0"/>
              <w:jc w:val="both"/>
              <w:rPr>
                <w:color w:val="000000"/>
                <w:sz w:val="24"/>
                <w:szCs w:val="24"/>
                <w:lang w:eastAsia="ru-RU"/>
              </w:rPr>
            </w:pPr>
            <w:r w:rsidRPr="00732D2D">
              <w:rPr>
                <w:color w:val="000000"/>
                <w:sz w:val="24"/>
                <w:szCs w:val="24"/>
                <w:lang w:eastAsia="ru-RU"/>
              </w:rPr>
              <w:t>2) у разі прийняття постанови будуть реалізовані вимоги абзаців першого та третього частини першої статті 15 Закону</w:t>
            </w:r>
          </w:p>
        </w:tc>
      </w:tr>
    </w:tbl>
    <w:p w:rsidR="00D11F94" w:rsidRDefault="00D11F94" w:rsidP="0076466B">
      <w:pPr>
        <w:widowControl w:val="0"/>
        <w:spacing w:after="0" w:line="240" w:lineRule="auto"/>
        <w:ind w:firstLine="709"/>
        <w:jc w:val="both"/>
        <w:rPr>
          <w:rFonts w:ascii="Times New Roman" w:hAnsi="Times New Roman" w:cs="Times New Roman"/>
          <w:strike/>
          <w:sz w:val="24"/>
          <w:szCs w:val="24"/>
        </w:rPr>
      </w:pPr>
    </w:p>
    <w:p w:rsidR="00070B19" w:rsidRPr="00D11F94" w:rsidRDefault="00070B19" w:rsidP="0076466B">
      <w:pPr>
        <w:widowControl w:val="0"/>
        <w:spacing w:after="0" w:line="240" w:lineRule="auto"/>
        <w:ind w:firstLine="709"/>
        <w:jc w:val="both"/>
        <w:rPr>
          <w:rFonts w:ascii="Times New Roman" w:hAnsi="Times New Roman" w:cs="Times New Roman"/>
          <w:strike/>
          <w:sz w:val="24"/>
          <w:szCs w:val="24"/>
        </w:rPr>
      </w:pPr>
    </w:p>
    <w:p w:rsidR="00C77438" w:rsidRPr="00C77438" w:rsidRDefault="00C77438" w:rsidP="00A3356E">
      <w:pPr>
        <w:widowControl w:val="0"/>
        <w:spacing w:before="200" w:after="0" w:line="240" w:lineRule="auto"/>
        <w:ind w:firstLine="567"/>
        <w:jc w:val="both"/>
        <w:rPr>
          <w:rFonts w:ascii="Times New Roman" w:hAnsi="Times New Roman" w:cs="Times New Roman"/>
          <w:b/>
          <w:sz w:val="28"/>
          <w:szCs w:val="28"/>
        </w:rPr>
      </w:pPr>
      <w:r w:rsidRPr="00C77438">
        <w:rPr>
          <w:rFonts w:ascii="Times New Roman" w:hAnsi="Times New Roman" w:cs="Times New Roman"/>
          <w:b/>
          <w:sz w:val="28"/>
          <w:szCs w:val="28"/>
        </w:rPr>
        <w:t>V. Механізми та заходи, які забезпечать розв’язання визначеної проблеми</w:t>
      </w:r>
    </w:p>
    <w:p w:rsidR="00C77438" w:rsidRPr="00AA606C" w:rsidRDefault="00AA606C" w:rsidP="00AA606C">
      <w:pPr>
        <w:widowControl w:val="0"/>
        <w:spacing w:before="120" w:after="0" w:line="240" w:lineRule="auto"/>
        <w:ind w:firstLine="567"/>
        <w:jc w:val="both"/>
        <w:rPr>
          <w:rFonts w:ascii="Times New Roman" w:hAnsi="Times New Roman" w:cs="Times New Roman"/>
          <w:sz w:val="28"/>
          <w:szCs w:val="28"/>
        </w:rPr>
      </w:pPr>
      <w:r w:rsidRPr="00AA606C">
        <w:rPr>
          <w:rFonts w:ascii="Times New Roman" w:hAnsi="Times New Roman" w:cs="Times New Roman"/>
          <w:sz w:val="28"/>
          <w:szCs w:val="28"/>
        </w:rPr>
        <w:t xml:space="preserve">1. </w:t>
      </w:r>
      <w:r>
        <w:rPr>
          <w:rFonts w:ascii="Times New Roman" w:hAnsi="Times New Roman" w:cs="Times New Roman"/>
          <w:sz w:val="28"/>
          <w:szCs w:val="28"/>
        </w:rPr>
        <w:t xml:space="preserve">Механізм дії регуляторного </w:t>
      </w:r>
      <w:proofErr w:type="spellStart"/>
      <w:r>
        <w:rPr>
          <w:rFonts w:ascii="Times New Roman" w:hAnsi="Times New Roman" w:cs="Times New Roman"/>
          <w:sz w:val="28"/>
          <w:szCs w:val="28"/>
        </w:rPr>
        <w:t>акт</w:t>
      </w:r>
      <w:r w:rsidR="00E02296">
        <w:rPr>
          <w:rFonts w:ascii="Times New Roman" w:hAnsi="Times New Roman" w:cs="Times New Roman"/>
          <w:sz w:val="28"/>
          <w:szCs w:val="28"/>
        </w:rPr>
        <w:t>а</w:t>
      </w:r>
      <w:proofErr w:type="spellEnd"/>
    </w:p>
    <w:p w:rsidR="006C488A" w:rsidRPr="00F72DF7" w:rsidRDefault="006C488A" w:rsidP="005551A1">
      <w:pPr>
        <w:widowControl w:val="0"/>
        <w:tabs>
          <w:tab w:val="center" w:pos="4896"/>
          <w:tab w:val="right" w:pos="9072"/>
        </w:tabs>
        <w:spacing w:after="0" w:line="240" w:lineRule="auto"/>
        <w:ind w:firstLine="567"/>
        <w:jc w:val="both"/>
        <w:rPr>
          <w:rFonts w:ascii="Times New Roman" w:hAnsi="Times New Roman" w:cs="Times New Roman"/>
          <w:sz w:val="28"/>
          <w:szCs w:val="28"/>
        </w:rPr>
      </w:pPr>
      <w:r w:rsidRPr="006C488A">
        <w:rPr>
          <w:rFonts w:ascii="Times New Roman" w:hAnsi="Times New Roman" w:cs="Times New Roman"/>
          <w:sz w:val="28"/>
          <w:szCs w:val="28"/>
        </w:rPr>
        <w:t xml:space="preserve">Основним механізмом </w:t>
      </w:r>
      <w:r w:rsidR="006A3641">
        <w:rPr>
          <w:rFonts w:ascii="Times New Roman" w:hAnsi="Times New Roman" w:cs="Times New Roman"/>
          <w:sz w:val="28"/>
          <w:szCs w:val="28"/>
        </w:rPr>
        <w:t>вирішення</w:t>
      </w:r>
      <w:r w:rsidRPr="006C488A">
        <w:rPr>
          <w:rFonts w:ascii="Times New Roman" w:hAnsi="Times New Roman" w:cs="Times New Roman"/>
          <w:sz w:val="28"/>
          <w:szCs w:val="28"/>
        </w:rPr>
        <w:t xml:space="preserve"> визначеної проблеми є прийняття проекту </w:t>
      </w:r>
      <w:r w:rsidR="00E207DD">
        <w:rPr>
          <w:rFonts w:ascii="Times New Roman" w:hAnsi="Times New Roman" w:cs="Times New Roman"/>
          <w:sz w:val="28"/>
          <w:szCs w:val="28"/>
        </w:rPr>
        <w:t xml:space="preserve">постанови Кабінету Міністрів </w:t>
      </w:r>
      <w:r w:rsidRPr="006C488A">
        <w:rPr>
          <w:rFonts w:ascii="Times New Roman" w:hAnsi="Times New Roman" w:cs="Times New Roman"/>
          <w:sz w:val="28"/>
          <w:szCs w:val="28"/>
        </w:rPr>
        <w:t xml:space="preserve">України </w:t>
      </w:r>
      <w:r w:rsidR="00F72DF7" w:rsidRPr="00F72DF7">
        <w:rPr>
          <w:rFonts w:ascii="Times New Roman" w:hAnsi="Times New Roman" w:cs="Times New Roman"/>
          <w:sz w:val="28"/>
          <w:szCs w:val="28"/>
        </w:rPr>
        <w:t xml:space="preserve">«Про затвердження </w:t>
      </w:r>
      <w:r w:rsidR="00BD6799">
        <w:rPr>
          <w:rFonts w:ascii="Times New Roman" w:hAnsi="Times New Roman" w:cs="Times New Roman"/>
          <w:sz w:val="28"/>
          <w:szCs w:val="28"/>
        </w:rPr>
        <w:t>П</w:t>
      </w:r>
      <w:r w:rsidR="00F72DF7" w:rsidRPr="00F72DF7">
        <w:rPr>
          <w:rFonts w:ascii="Times New Roman" w:hAnsi="Times New Roman" w:cs="Times New Roman"/>
          <w:sz w:val="28"/>
          <w:szCs w:val="28"/>
        </w:rPr>
        <w:t xml:space="preserve">орядку застосування контролюючими органами заходів впливу </w:t>
      </w:r>
      <w:r w:rsidR="003F54FA">
        <w:rPr>
          <w:rFonts w:ascii="Times New Roman" w:hAnsi="Times New Roman" w:cs="Times New Roman"/>
          <w:sz w:val="28"/>
          <w:szCs w:val="28"/>
        </w:rPr>
        <w:t xml:space="preserve">у вигляді </w:t>
      </w:r>
      <w:r w:rsidR="00F72DF7" w:rsidRPr="00F72DF7">
        <w:rPr>
          <w:rFonts w:ascii="Times New Roman" w:hAnsi="Times New Roman" w:cs="Times New Roman"/>
          <w:sz w:val="28"/>
          <w:szCs w:val="28"/>
        </w:rPr>
        <w:t>штрафних санкцій до юридичних осіб (крім уповноважених установ) за порушення вимог валютного законодавства»</w:t>
      </w:r>
      <w:r w:rsidR="00C35597">
        <w:rPr>
          <w:rFonts w:ascii="Times New Roman" w:hAnsi="Times New Roman" w:cs="Times New Roman"/>
          <w:sz w:val="28"/>
          <w:szCs w:val="28"/>
        </w:rPr>
        <w:t xml:space="preserve"> та фактична реалізація його положень</w:t>
      </w:r>
      <w:r w:rsidR="00AE09F3">
        <w:rPr>
          <w:rFonts w:ascii="Times New Roman" w:hAnsi="Times New Roman" w:cs="Times New Roman"/>
          <w:sz w:val="28"/>
          <w:szCs w:val="28"/>
        </w:rPr>
        <w:t xml:space="preserve">. </w:t>
      </w:r>
      <w:r w:rsidR="00F72DF7">
        <w:rPr>
          <w:rFonts w:ascii="Times New Roman" w:hAnsi="Times New Roman" w:cs="Times New Roman"/>
          <w:sz w:val="28"/>
          <w:szCs w:val="28"/>
        </w:rPr>
        <w:t xml:space="preserve"> </w:t>
      </w:r>
    </w:p>
    <w:p w:rsidR="00C35597" w:rsidRDefault="00C35597" w:rsidP="005551A1">
      <w:pPr>
        <w:widowControl w:val="0"/>
        <w:tabs>
          <w:tab w:val="center" w:pos="4896"/>
          <w:tab w:val="right" w:pos="907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Прийняття</w:t>
      </w:r>
      <w:r w:rsidR="001D71B5">
        <w:rPr>
          <w:rFonts w:ascii="Times New Roman" w:hAnsi="Times New Roman" w:cs="Times New Roman"/>
          <w:sz w:val="28"/>
          <w:szCs w:val="28"/>
        </w:rPr>
        <w:t xml:space="preserve"> </w:t>
      </w:r>
      <w:r w:rsidR="007E1BC8">
        <w:rPr>
          <w:rFonts w:ascii="Times New Roman" w:hAnsi="Times New Roman" w:cs="Times New Roman"/>
          <w:sz w:val="28"/>
          <w:szCs w:val="28"/>
        </w:rPr>
        <w:t>проекту</w:t>
      </w:r>
      <w:r w:rsidR="001D71B5">
        <w:rPr>
          <w:rFonts w:ascii="Times New Roman" w:hAnsi="Times New Roman" w:cs="Times New Roman"/>
          <w:sz w:val="28"/>
          <w:szCs w:val="28"/>
        </w:rPr>
        <w:t xml:space="preserve"> </w:t>
      </w:r>
      <w:r w:rsidR="00BD6799">
        <w:rPr>
          <w:rFonts w:ascii="Times New Roman" w:hAnsi="Times New Roman" w:cs="Times New Roman"/>
          <w:sz w:val="28"/>
          <w:szCs w:val="28"/>
        </w:rPr>
        <w:t xml:space="preserve">постанови </w:t>
      </w:r>
      <w:r w:rsidR="00D96322">
        <w:rPr>
          <w:rFonts w:ascii="Times New Roman" w:hAnsi="Times New Roman" w:cs="Times New Roman"/>
          <w:sz w:val="28"/>
          <w:szCs w:val="28"/>
        </w:rPr>
        <w:t>забезпечить</w:t>
      </w:r>
      <w:r w:rsidR="001D71B5">
        <w:rPr>
          <w:rFonts w:ascii="Times New Roman" w:hAnsi="Times New Roman" w:cs="Times New Roman"/>
          <w:sz w:val="28"/>
          <w:szCs w:val="28"/>
        </w:rPr>
        <w:t xml:space="preserve"> </w:t>
      </w:r>
      <w:r>
        <w:rPr>
          <w:rFonts w:ascii="Times New Roman" w:hAnsi="Times New Roman" w:cs="Times New Roman"/>
          <w:sz w:val="28"/>
          <w:szCs w:val="28"/>
        </w:rPr>
        <w:t>викона</w:t>
      </w:r>
      <w:r w:rsidR="00463CB1">
        <w:rPr>
          <w:rFonts w:ascii="Times New Roman" w:hAnsi="Times New Roman" w:cs="Times New Roman"/>
          <w:sz w:val="28"/>
          <w:szCs w:val="28"/>
        </w:rPr>
        <w:t>ння</w:t>
      </w:r>
      <w:r>
        <w:rPr>
          <w:rFonts w:ascii="Times New Roman" w:hAnsi="Times New Roman" w:cs="Times New Roman"/>
          <w:sz w:val="28"/>
          <w:szCs w:val="28"/>
        </w:rPr>
        <w:t xml:space="preserve"> вимог Закону.</w:t>
      </w:r>
    </w:p>
    <w:p w:rsidR="00AE09F3" w:rsidRDefault="00C35597" w:rsidP="005551A1">
      <w:pPr>
        <w:widowControl w:val="0"/>
        <w:tabs>
          <w:tab w:val="center" w:pos="4896"/>
          <w:tab w:val="right" w:pos="9072"/>
        </w:tabs>
        <w:spacing w:after="0" w:line="240" w:lineRule="auto"/>
        <w:ind w:firstLine="567"/>
        <w:jc w:val="both"/>
        <w:rPr>
          <w:rFonts w:ascii="Times New Roman" w:hAnsi="Times New Roman" w:cs="Times New Roman"/>
          <w:sz w:val="28"/>
          <w:szCs w:val="28"/>
        </w:rPr>
      </w:pPr>
      <w:r>
        <w:rPr>
          <w:rStyle w:val="FontStyle12"/>
          <w:b w:val="0"/>
          <w:bCs w:val="0"/>
          <w:sz w:val="28"/>
          <w:szCs w:val="28"/>
        </w:rPr>
        <w:lastRenderedPageBreak/>
        <w:t xml:space="preserve">Проектом запропоновано </w:t>
      </w:r>
      <w:r w:rsidR="00AE09F3" w:rsidRPr="00396FEE">
        <w:rPr>
          <w:rStyle w:val="FontStyle12"/>
          <w:b w:val="0"/>
          <w:bCs w:val="0"/>
          <w:sz w:val="28"/>
          <w:szCs w:val="28"/>
        </w:rPr>
        <w:t>встановл</w:t>
      </w:r>
      <w:r w:rsidR="00D96322">
        <w:rPr>
          <w:rStyle w:val="FontStyle12"/>
          <w:b w:val="0"/>
          <w:bCs w:val="0"/>
          <w:sz w:val="28"/>
          <w:szCs w:val="28"/>
        </w:rPr>
        <w:t>ення</w:t>
      </w:r>
      <w:r w:rsidR="00AE09F3" w:rsidRPr="00396FEE">
        <w:rPr>
          <w:rStyle w:val="FontStyle12"/>
          <w:b w:val="0"/>
          <w:bCs w:val="0"/>
          <w:sz w:val="28"/>
          <w:szCs w:val="28"/>
        </w:rPr>
        <w:t xml:space="preserve"> </w:t>
      </w:r>
      <w:r w:rsidR="007B0C9C">
        <w:rPr>
          <w:rFonts w:ascii="Times New Roman" w:hAnsi="Times New Roman" w:cs="Times New Roman"/>
          <w:sz w:val="28"/>
          <w:szCs w:val="28"/>
        </w:rPr>
        <w:t xml:space="preserve">диференційованого </w:t>
      </w:r>
      <w:r w:rsidR="00AE09F3" w:rsidRPr="00396FEE">
        <w:rPr>
          <w:rFonts w:ascii="Times New Roman" w:hAnsi="Times New Roman" w:cs="Times New Roman"/>
          <w:sz w:val="28"/>
          <w:szCs w:val="28"/>
        </w:rPr>
        <w:t>під</w:t>
      </w:r>
      <w:r w:rsidR="00AE09F3">
        <w:rPr>
          <w:rFonts w:ascii="Times New Roman" w:hAnsi="Times New Roman" w:cs="Times New Roman"/>
          <w:sz w:val="28"/>
          <w:szCs w:val="28"/>
        </w:rPr>
        <w:t xml:space="preserve">ходу до застосування штрафних санкцій за порушення юридичними особами </w:t>
      </w:r>
      <w:r w:rsidR="00AE09F3" w:rsidRPr="00F72DF7">
        <w:rPr>
          <w:rFonts w:ascii="Times New Roman" w:hAnsi="Times New Roman" w:cs="Times New Roman"/>
          <w:sz w:val="28"/>
          <w:szCs w:val="28"/>
        </w:rPr>
        <w:t>(крім уповноважених установ)</w:t>
      </w:r>
      <w:r w:rsidR="00AE09F3">
        <w:rPr>
          <w:rFonts w:ascii="Times New Roman" w:hAnsi="Times New Roman" w:cs="Times New Roman"/>
          <w:sz w:val="28"/>
          <w:szCs w:val="28"/>
        </w:rPr>
        <w:t xml:space="preserve"> вимог валютного </w:t>
      </w:r>
      <w:r w:rsidR="00AE09F3" w:rsidRPr="00C35597">
        <w:rPr>
          <w:rFonts w:ascii="Times New Roman" w:hAnsi="Times New Roman" w:cs="Times New Roman"/>
          <w:sz w:val="28"/>
          <w:szCs w:val="28"/>
        </w:rPr>
        <w:t>законодавства</w:t>
      </w:r>
      <w:r w:rsidR="007B0C9C" w:rsidRPr="00C35597">
        <w:rPr>
          <w:rFonts w:ascii="Times New Roman" w:hAnsi="Times New Roman" w:cs="Times New Roman"/>
          <w:sz w:val="28"/>
          <w:szCs w:val="28"/>
        </w:rPr>
        <w:t xml:space="preserve"> </w:t>
      </w:r>
      <w:r w:rsidR="003B00A0" w:rsidRPr="00C35597">
        <w:rPr>
          <w:rFonts w:ascii="Times New Roman" w:hAnsi="Times New Roman" w:cs="Times New Roman"/>
          <w:sz w:val="28"/>
          <w:szCs w:val="28"/>
        </w:rPr>
        <w:t>залежно від характеру та кількості порушень</w:t>
      </w:r>
      <w:r>
        <w:rPr>
          <w:rFonts w:ascii="Times New Roman" w:hAnsi="Times New Roman" w:cs="Times New Roman"/>
          <w:sz w:val="28"/>
          <w:szCs w:val="28"/>
        </w:rPr>
        <w:t xml:space="preserve">, а </w:t>
      </w:r>
      <w:r w:rsidRPr="00C35597">
        <w:rPr>
          <w:rFonts w:ascii="Times New Roman" w:hAnsi="Times New Roman" w:cs="Times New Roman"/>
          <w:sz w:val="28"/>
          <w:szCs w:val="28"/>
        </w:rPr>
        <w:t>та</w:t>
      </w:r>
      <w:r>
        <w:rPr>
          <w:rFonts w:ascii="Times New Roman" w:hAnsi="Times New Roman" w:cs="Times New Roman"/>
          <w:sz w:val="28"/>
          <w:szCs w:val="28"/>
        </w:rPr>
        <w:t>кож</w:t>
      </w:r>
      <w:r w:rsidRPr="00C35597">
        <w:rPr>
          <w:rFonts w:ascii="Times New Roman" w:hAnsi="Times New Roman" w:cs="Times New Roman"/>
          <w:sz w:val="28"/>
          <w:szCs w:val="28"/>
        </w:rPr>
        <w:t xml:space="preserve"> </w:t>
      </w:r>
      <w:r w:rsidR="00940A64">
        <w:rPr>
          <w:rFonts w:ascii="Times New Roman" w:hAnsi="Times New Roman" w:cs="Times New Roman"/>
          <w:sz w:val="28"/>
          <w:szCs w:val="28"/>
        </w:rPr>
        <w:t>звільнення від відповідальності</w:t>
      </w:r>
      <w:r w:rsidR="001241BA">
        <w:rPr>
          <w:rFonts w:ascii="Times New Roman" w:hAnsi="Times New Roman" w:cs="Times New Roman"/>
          <w:sz w:val="28"/>
          <w:szCs w:val="28"/>
        </w:rPr>
        <w:t>,</w:t>
      </w:r>
      <w:r w:rsidR="00940A64">
        <w:rPr>
          <w:rFonts w:ascii="Times New Roman" w:hAnsi="Times New Roman" w:cs="Times New Roman"/>
          <w:sz w:val="28"/>
          <w:szCs w:val="28"/>
        </w:rPr>
        <w:t xml:space="preserve"> </w:t>
      </w:r>
      <w:r w:rsidR="00940A64" w:rsidRPr="00940A64">
        <w:rPr>
          <w:rFonts w:ascii="Times New Roman" w:hAnsi="Times New Roman" w:cs="Times New Roman"/>
          <w:sz w:val="28"/>
          <w:szCs w:val="28"/>
        </w:rPr>
        <w:t>якщо сума операції, проведеної з порушенням валютного законодавства</w:t>
      </w:r>
      <w:r w:rsidR="00940A64">
        <w:rPr>
          <w:rFonts w:ascii="Times New Roman" w:hAnsi="Times New Roman" w:cs="Times New Roman"/>
          <w:sz w:val="28"/>
          <w:szCs w:val="28"/>
        </w:rPr>
        <w:t>, є незначною</w:t>
      </w:r>
      <w:r w:rsidR="00AE09F3" w:rsidRPr="00C35597">
        <w:rPr>
          <w:rFonts w:ascii="Times New Roman" w:hAnsi="Times New Roman" w:cs="Times New Roman"/>
          <w:sz w:val="28"/>
          <w:szCs w:val="28"/>
        </w:rPr>
        <w:t>.</w:t>
      </w:r>
    </w:p>
    <w:p w:rsidR="00AA606C" w:rsidRDefault="00660361" w:rsidP="0076466B">
      <w:pPr>
        <w:widowControl w:val="0"/>
        <w:tabs>
          <w:tab w:val="center" w:pos="4896"/>
          <w:tab w:val="right" w:pos="9072"/>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Організаційні заходи впровадження регуляторного </w:t>
      </w:r>
      <w:proofErr w:type="spellStart"/>
      <w:r>
        <w:rPr>
          <w:rFonts w:ascii="Times New Roman" w:hAnsi="Times New Roman" w:cs="Times New Roman"/>
          <w:sz w:val="28"/>
          <w:szCs w:val="28"/>
        </w:rPr>
        <w:t>акт</w:t>
      </w:r>
      <w:r w:rsidR="001836A1">
        <w:rPr>
          <w:rFonts w:ascii="Times New Roman" w:hAnsi="Times New Roman" w:cs="Times New Roman"/>
          <w:sz w:val="28"/>
          <w:szCs w:val="28"/>
        </w:rPr>
        <w:t>а</w:t>
      </w:r>
      <w:proofErr w:type="spellEnd"/>
      <w:r>
        <w:rPr>
          <w:rFonts w:ascii="Times New Roman" w:hAnsi="Times New Roman" w:cs="Times New Roman"/>
          <w:sz w:val="28"/>
          <w:szCs w:val="28"/>
        </w:rPr>
        <w:t xml:space="preserve"> в дію</w:t>
      </w:r>
    </w:p>
    <w:p w:rsidR="00660361" w:rsidRDefault="00CF1A8F" w:rsidP="002B45D5">
      <w:pPr>
        <w:widowControl w:val="0"/>
        <w:tabs>
          <w:tab w:val="center" w:pos="4896"/>
          <w:tab w:val="right" w:pos="9072"/>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впровадження цього регуляторного </w:t>
      </w:r>
      <w:proofErr w:type="spellStart"/>
      <w:r>
        <w:rPr>
          <w:rFonts w:ascii="Times New Roman" w:hAnsi="Times New Roman" w:cs="Times New Roman"/>
          <w:sz w:val="28"/>
          <w:szCs w:val="28"/>
        </w:rPr>
        <w:t>акт</w:t>
      </w:r>
      <w:r w:rsidR="001836A1">
        <w:rPr>
          <w:rFonts w:ascii="Times New Roman" w:hAnsi="Times New Roman" w:cs="Times New Roman"/>
          <w:sz w:val="28"/>
          <w:szCs w:val="28"/>
        </w:rPr>
        <w:t>а</w:t>
      </w:r>
      <w:proofErr w:type="spellEnd"/>
      <w:r>
        <w:rPr>
          <w:rFonts w:ascii="Times New Roman" w:hAnsi="Times New Roman" w:cs="Times New Roman"/>
          <w:sz w:val="28"/>
          <w:szCs w:val="28"/>
        </w:rPr>
        <w:t xml:space="preserve"> необхідно забезпечити інформування суб’єктів ЗЕД</w:t>
      </w:r>
      <w:r w:rsidR="004327F1">
        <w:rPr>
          <w:rFonts w:ascii="Times New Roman" w:hAnsi="Times New Roman" w:cs="Times New Roman"/>
          <w:sz w:val="28"/>
          <w:szCs w:val="28"/>
        </w:rPr>
        <w:t xml:space="preserve"> – юридичних осіб (крім уповноважених установ) шляхом його оприлюднення в засобах масової інформації та на офіційному веб-сайті ДФС України.</w:t>
      </w:r>
    </w:p>
    <w:p w:rsidR="004327F1" w:rsidRDefault="004327F1" w:rsidP="005551A1">
      <w:pPr>
        <w:widowControl w:val="0"/>
        <w:tabs>
          <w:tab w:val="center" w:pos="4896"/>
          <w:tab w:val="right" w:pos="907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Ризику впливу зовнішніх факторів на дію регуляторного </w:t>
      </w:r>
      <w:proofErr w:type="spellStart"/>
      <w:r>
        <w:rPr>
          <w:rFonts w:ascii="Times New Roman" w:hAnsi="Times New Roman" w:cs="Times New Roman"/>
          <w:sz w:val="28"/>
          <w:szCs w:val="28"/>
        </w:rPr>
        <w:t>акт</w:t>
      </w:r>
      <w:r w:rsidR="00E02296">
        <w:rPr>
          <w:rFonts w:ascii="Times New Roman" w:hAnsi="Times New Roman" w:cs="Times New Roman"/>
          <w:sz w:val="28"/>
          <w:szCs w:val="28"/>
        </w:rPr>
        <w:t>а</w:t>
      </w:r>
      <w:proofErr w:type="spellEnd"/>
      <w:r>
        <w:rPr>
          <w:rFonts w:ascii="Times New Roman" w:hAnsi="Times New Roman" w:cs="Times New Roman"/>
          <w:sz w:val="28"/>
          <w:szCs w:val="28"/>
        </w:rPr>
        <w:t xml:space="preserve"> немає.</w:t>
      </w:r>
    </w:p>
    <w:p w:rsidR="005551A1" w:rsidRPr="00F72DF7" w:rsidRDefault="005551A1" w:rsidP="001241BA">
      <w:pPr>
        <w:widowControl w:val="0"/>
        <w:tabs>
          <w:tab w:val="center" w:pos="4896"/>
          <w:tab w:val="right" w:pos="9072"/>
        </w:tabs>
        <w:spacing w:before="20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Можлива шкода у разі очікуваних наслідків дії </w:t>
      </w:r>
      <w:proofErr w:type="spellStart"/>
      <w:r>
        <w:rPr>
          <w:rFonts w:ascii="Times New Roman" w:hAnsi="Times New Roman" w:cs="Times New Roman"/>
          <w:sz w:val="28"/>
          <w:szCs w:val="28"/>
        </w:rPr>
        <w:t>акт</w:t>
      </w:r>
      <w:r w:rsidR="00E02296">
        <w:rPr>
          <w:rFonts w:ascii="Times New Roman" w:hAnsi="Times New Roman" w:cs="Times New Roman"/>
          <w:sz w:val="28"/>
          <w:szCs w:val="28"/>
        </w:rPr>
        <w:t>а</w:t>
      </w:r>
      <w:proofErr w:type="spellEnd"/>
      <w:r>
        <w:rPr>
          <w:rFonts w:ascii="Times New Roman" w:hAnsi="Times New Roman" w:cs="Times New Roman"/>
          <w:sz w:val="28"/>
          <w:szCs w:val="28"/>
        </w:rPr>
        <w:t xml:space="preserve"> не прогнозується.</w:t>
      </w:r>
    </w:p>
    <w:p w:rsidR="00CF1D47" w:rsidRDefault="00CF1D47" w:rsidP="001241BA">
      <w:pPr>
        <w:widowControl w:val="0"/>
        <w:spacing w:before="200" w:after="0" w:line="240" w:lineRule="auto"/>
        <w:ind w:firstLine="567"/>
        <w:jc w:val="both"/>
        <w:rPr>
          <w:rFonts w:ascii="Times New Roman" w:hAnsi="Times New Roman" w:cs="Times New Roman"/>
          <w:b/>
          <w:sz w:val="28"/>
          <w:szCs w:val="28"/>
        </w:rPr>
      </w:pPr>
    </w:p>
    <w:p w:rsidR="00322D6C" w:rsidRDefault="00322D6C" w:rsidP="001241BA">
      <w:pPr>
        <w:widowControl w:val="0"/>
        <w:spacing w:after="120" w:line="240" w:lineRule="auto"/>
        <w:ind w:firstLine="567"/>
        <w:jc w:val="both"/>
        <w:rPr>
          <w:rFonts w:ascii="Times New Roman" w:hAnsi="Times New Roman" w:cs="Times New Roman"/>
          <w:b/>
          <w:sz w:val="28"/>
          <w:szCs w:val="28"/>
        </w:rPr>
      </w:pPr>
      <w:r w:rsidRPr="00322D6C">
        <w:rPr>
          <w:rFonts w:ascii="Times New Roman" w:hAnsi="Times New Roman" w:cs="Times New Roman"/>
          <w:b/>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1241BA">
        <w:rPr>
          <w:rFonts w:ascii="Times New Roman" w:hAnsi="Times New Roman" w:cs="Times New Roman"/>
          <w:b/>
          <w:sz w:val="28"/>
          <w:szCs w:val="28"/>
        </w:rPr>
        <w:t>в</w:t>
      </w:r>
      <w:r w:rsidRPr="00322D6C">
        <w:rPr>
          <w:rFonts w:ascii="Times New Roman" w:hAnsi="Times New Roman" w:cs="Times New Roman"/>
          <w:b/>
          <w:sz w:val="28"/>
          <w:szCs w:val="28"/>
        </w:rPr>
        <w:t xml:space="preserve">проваджувати або виконувати ці вимоги </w:t>
      </w:r>
    </w:p>
    <w:p w:rsidR="00604FE2" w:rsidRPr="002756D6" w:rsidRDefault="00F92A71" w:rsidP="002756D6">
      <w:pPr>
        <w:widowControl w:val="0"/>
        <w:spacing w:after="120" w:line="240" w:lineRule="auto"/>
        <w:ind w:left="34" w:firstLine="533"/>
        <w:jc w:val="both"/>
        <w:rPr>
          <w:rFonts w:ascii="Times New Roman" w:hAnsi="Times New Roman" w:cs="Times New Roman"/>
          <w:sz w:val="28"/>
          <w:szCs w:val="28"/>
        </w:rPr>
      </w:pPr>
      <w:r w:rsidRPr="00F92A71">
        <w:rPr>
          <w:rFonts w:ascii="Times New Roman" w:hAnsi="Times New Roman" w:cs="Times New Roman"/>
          <w:sz w:val="28"/>
          <w:szCs w:val="28"/>
        </w:rPr>
        <w:t xml:space="preserve">Реалізація проекту </w:t>
      </w:r>
      <w:r w:rsidR="00BD6799">
        <w:rPr>
          <w:rFonts w:ascii="Times New Roman" w:hAnsi="Times New Roman" w:cs="Times New Roman"/>
          <w:sz w:val="28"/>
          <w:szCs w:val="28"/>
        </w:rPr>
        <w:t>постанови</w:t>
      </w:r>
      <w:r w:rsidRPr="00F92A71">
        <w:rPr>
          <w:rFonts w:ascii="Times New Roman" w:hAnsi="Times New Roman" w:cs="Times New Roman"/>
          <w:sz w:val="28"/>
          <w:szCs w:val="28"/>
        </w:rPr>
        <w:t xml:space="preserve"> не передбачає </w:t>
      </w:r>
      <w:r w:rsidR="00604FE2">
        <w:rPr>
          <w:rFonts w:ascii="Times New Roman" w:hAnsi="Times New Roman" w:cs="Times New Roman"/>
          <w:sz w:val="28"/>
          <w:szCs w:val="28"/>
        </w:rPr>
        <w:t xml:space="preserve">додаткових </w:t>
      </w:r>
      <w:r w:rsidRPr="00F92A71">
        <w:rPr>
          <w:rFonts w:ascii="Times New Roman" w:hAnsi="Times New Roman" w:cs="Times New Roman"/>
          <w:sz w:val="28"/>
          <w:szCs w:val="28"/>
        </w:rPr>
        <w:t>фінансових витрат</w:t>
      </w:r>
      <w:r w:rsidR="002756D6">
        <w:rPr>
          <w:rFonts w:ascii="Times New Roman" w:hAnsi="Times New Roman" w:cs="Times New Roman"/>
          <w:sz w:val="28"/>
          <w:szCs w:val="28"/>
        </w:rPr>
        <w:t>,</w:t>
      </w:r>
      <w:r w:rsidR="00682AA0">
        <w:rPr>
          <w:rFonts w:ascii="Times New Roman" w:hAnsi="Times New Roman" w:cs="Times New Roman"/>
          <w:b/>
          <w:bCs/>
          <w:sz w:val="28"/>
          <w:szCs w:val="28"/>
        </w:rPr>
        <w:t xml:space="preserve"> </w:t>
      </w:r>
      <w:r w:rsidR="002756D6" w:rsidRPr="002756D6">
        <w:rPr>
          <w:rFonts w:ascii="Times New Roman" w:hAnsi="Times New Roman" w:cs="Times New Roman"/>
          <w:sz w:val="28"/>
          <w:szCs w:val="28"/>
        </w:rPr>
        <w:t xml:space="preserve">оскільки реалізація </w:t>
      </w:r>
      <w:r w:rsidR="002756D6">
        <w:rPr>
          <w:rFonts w:ascii="Times New Roman" w:hAnsi="Times New Roman" w:cs="Times New Roman"/>
          <w:sz w:val="28"/>
          <w:szCs w:val="28"/>
        </w:rPr>
        <w:t xml:space="preserve">його </w:t>
      </w:r>
      <w:r w:rsidR="002756D6" w:rsidRPr="002756D6">
        <w:rPr>
          <w:rFonts w:ascii="Times New Roman" w:hAnsi="Times New Roman" w:cs="Times New Roman"/>
          <w:sz w:val="28"/>
          <w:szCs w:val="28"/>
        </w:rPr>
        <w:t xml:space="preserve">положень не тягне за собою збільшення кількості перевірок. Дотримання вимог валютного законодавства є одним із питань, які перевіряються під час проведення планових контрольних заходів. </w:t>
      </w:r>
      <w:r w:rsidR="002756D6" w:rsidRPr="002756D6">
        <w:rPr>
          <w:rFonts w:ascii="Times New Roman" w:hAnsi="Times New Roman" w:cs="Times New Roman"/>
          <w:bCs/>
          <w:sz w:val="28"/>
          <w:szCs w:val="28"/>
        </w:rPr>
        <w:t>Змінюється лише механізм оцінки порушення вимог валютного законодавства.</w:t>
      </w:r>
      <w:r w:rsidR="00604FE2" w:rsidRPr="002756D6">
        <w:rPr>
          <w:rFonts w:ascii="Times New Roman" w:hAnsi="Times New Roman" w:cs="Times New Roman"/>
          <w:bCs/>
          <w:sz w:val="28"/>
          <w:szCs w:val="28"/>
        </w:rPr>
        <w:tab/>
      </w:r>
      <w:r w:rsidR="00F943C3" w:rsidRPr="002756D6">
        <w:rPr>
          <w:rFonts w:ascii="Times New Roman" w:hAnsi="Times New Roman" w:cs="Times New Roman"/>
          <w:bCs/>
          <w:sz w:val="28"/>
          <w:szCs w:val="28"/>
        </w:rPr>
        <w:t xml:space="preserve">Тест </w:t>
      </w:r>
      <w:r w:rsidR="0061547E" w:rsidRPr="002756D6">
        <w:rPr>
          <w:rFonts w:ascii="Times New Roman" w:hAnsi="Times New Roman" w:cs="Times New Roman"/>
          <w:bCs/>
          <w:sz w:val="28"/>
          <w:szCs w:val="28"/>
        </w:rPr>
        <w:t>малого підприємництва (М-тест) не проводився</w:t>
      </w:r>
      <w:r w:rsidR="001241BA">
        <w:rPr>
          <w:rFonts w:ascii="Times New Roman" w:hAnsi="Times New Roman" w:cs="Times New Roman"/>
          <w:bCs/>
          <w:sz w:val="28"/>
          <w:szCs w:val="28"/>
        </w:rPr>
        <w:t>,</w:t>
      </w:r>
      <w:r w:rsidR="0061547E" w:rsidRPr="002756D6">
        <w:rPr>
          <w:rFonts w:ascii="Times New Roman" w:hAnsi="Times New Roman" w:cs="Times New Roman"/>
          <w:bCs/>
          <w:sz w:val="28"/>
          <w:szCs w:val="28"/>
        </w:rPr>
        <w:t xml:space="preserve"> оскільки проект регулято</w:t>
      </w:r>
      <w:r w:rsidR="005A09C0" w:rsidRPr="002756D6">
        <w:rPr>
          <w:rFonts w:ascii="Times New Roman" w:hAnsi="Times New Roman" w:cs="Times New Roman"/>
          <w:bCs/>
          <w:sz w:val="28"/>
          <w:szCs w:val="28"/>
        </w:rPr>
        <w:t>р</w:t>
      </w:r>
      <w:r w:rsidR="0061547E" w:rsidRPr="002756D6">
        <w:rPr>
          <w:rFonts w:ascii="Times New Roman" w:hAnsi="Times New Roman" w:cs="Times New Roman"/>
          <w:bCs/>
          <w:sz w:val="28"/>
          <w:szCs w:val="28"/>
        </w:rPr>
        <w:t xml:space="preserve">ного </w:t>
      </w:r>
      <w:proofErr w:type="spellStart"/>
      <w:r w:rsidR="0061547E" w:rsidRPr="002756D6">
        <w:rPr>
          <w:rFonts w:ascii="Times New Roman" w:hAnsi="Times New Roman" w:cs="Times New Roman"/>
          <w:bCs/>
          <w:sz w:val="28"/>
          <w:szCs w:val="28"/>
        </w:rPr>
        <w:t>акт</w:t>
      </w:r>
      <w:r w:rsidR="007E48B1">
        <w:rPr>
          <w:rFonts w:ascii="Times New Roman" w:hAnsi="Times New Roman" w:cs="Times New Roman"/>
          <w:bCs/>
          <w:sz w:val="28"/>
          <w:szCs w:val="28"/>
        </w:rPr>
        <w:t>а</w:t>
      </w:r>
      <w:proofErr w:type="spellEnd"/>
      <w:r w:rsidR="0061547E" w:rsidRPr="002756D6">
        <w:rPr>
          <w:rFonts w:ascii="Times New Roman" w:hAnsi="Times New Roman" w:cs="Times New Roman"/>
          <w:bCs/>
          <w:sz w:val="28"/>
          <w:szCs w:val="28"/>
        </w:rPr>
        <w:t xml:space="preserve"> поширюється</w:t>
      </w:r>
      <w:r w:rsidR="00950F39" w:rsidRPr="002756D6">
        <w:rPr>
          <w:rFonts w:ascii="Times New Roman" w:hAnsi="Times New Roman" w:cs="Times New Roman"/>
          <w:bCs/>
          <w:sz w:val="28"/>
          <w:szCs w:val="28"/>
        </w:rPr>
        <w:t xml:space="preserve"> на суб’єктів зовнішньоекономічної діяльності</w:t>
      </w:r>
      <w:r w:rsidR="00613C73" w:rsidRPr="002756D6">
        <w:rPr>
          <w:rFonts w:ascii="Times New Roman" w:hAnsi="Times New Roman" w:cs="Times New Roman"/>
          <w:bCs/>
          <w:sz w:val="28"/>
          <w:szCs w:val="28"/>
        </w:rPr>
        <w:t>, серед яких частка малого підприємництва складає 5 відс</w:t>
      </w:r>
      <w:r w:rsidR="001241BA">
        <w:rPr>
          <w:rFonts w:ascii="Times New Roman" w:hAnsi="Times New Roman" w:cs="Times New Roman"/>
          <w:bCs/>
          <w:sz w:val="28"/>
          <w:szCs w:val="28"/>
        </w:rPr>
        <w:t>отків</w:t>
      </w:r>
      <w:r w:rsidR="00613C73" w:rsidRPr="002756D6">
        <w:rPr>
          <w:rFonts w:ascii="Times New Roman" w:hAnsi="Times New Roman" w:cs="Times New Roman"/>
          <w:bCs/>
          <w:sz w:val="28"/>
          <w:szCs w:val="28"/>
        </w:rPr>
        <w:t xml:space="preserve">. </w:t>
      </w:r>
      <w:r w:rsidR="00B36D5E" w:rsidRPr="002756D6">
        <w:rPr>
          <w:rFonts w:ascii="Times New Roman" w:hAnsi="Times New Roman" w:cs="Times New Roman"/>
          <w:bCs/>
          <w:sz w:val="28"/>
          <w:szCs w:val="28"/>
        </w:rPr>
        <w:t>При цьому с</w:t>
      </w:r>
      <w:r w:rsidR="00613C73" w:rsidRPr="002756D6">
        <w:rPr>
          <w:rFonts w:ascii="Times New Roman" w:hAnsi="Times New Roman" w:cs="Times New Roman"/>
          <w:bCs/>
          <w:sz w:val="28"/>
          <w:szCs w:val="28"/>
        </w:rPr>
        <w:t xml:space="preserve">уб’єкти малого підприємництва </w:t>
      </w:r>
      <w:r w:rsidR="00B36D5E" w:rsidRPr="002756D6">
        <w:rPr>
          <w:rFonts w:ascii="Times New Roman" w:hAnsi="Times New Roman" w:cs="Times New Roman"/>
          <w:bCs/>
          <w:sz w:val="28"/>
          <w:szCs w:val="28"/>
        </w:rPr>
        <w:t>додаткових витрат не зазнають та будуть в однакових умовах з іншими суб’єктами господарювання – суб’єктами ЗЕД.</w:t>
      </w:r>
      <w:r w:rsidR="00B36D5E" w:rsidRPr="002756D6">
        <w:rPr>
          <w:rFonts w:ascii="Times New Roman" w:hAnsi="Times New Roman" w:cs="Times New Roman"/>
          <w:sz w:val="28"/>
          <w:szCs w:val="28"/>
        </w:rPr>
        <w:t xml:space="preserve">  </w:t>
      </w:r>
      <w:r w:rsidR="00613C73" w:rsidRPr="002756D6">
        <w:rPr>
          <w:rFonts w:ascii="Times New Roman" w:hAnsi="Times New Roman" w:cs="Times New Roman"/>
          <w:sz w:val="28"/>
          <w:szCs w:val="28"/>
        </w:rPr>
        <w:t xml:space="preserve"> </w:t>
      </w:r>
      <w:r w:rsidR="00950F39" w:rsidRPr="002756D6">
        <w:rPr>
          <w:rFonts w:ascii="Times New Roman" w:hAnsi="Times New Roman" w:cs="Times New Roman"/>
          <w:sz w:val="28"/>
          <w:szCs w:val="28"/>
        </w:rPr>
        <w:t xml:space="preserve"> </w:t>
      </w:r>
      <w:r w:rsidR="0061547E" w:rsidRPr="002756D6">
        <w:rPr>
          <w:rFonts w:ascii="Times New Roman" w:hAnsi="Times New Roman" w:cs="Times New Roman"/>
          <w:sz w:val="28"/>
          <w:szCs w:val="28"/>
        </w:rPr>
        <w:t xml:space="preserve"> </w:t>
      </w:r>
    </w:p>
    <w:p w:rsidR="00322D6C" w:rsidRPr="00BA687E" w:rsidRDefault="00322D6C" w:rsidP="0076466B">
      <w:pPr>
        <w:widowControl w:val="0"/>
        <w:spacing w:after="0" w:line="240" w:lineRule="auto"/>
        <w:ind w:firstLine="567"/>
        <w:jc w:val="both"/>
        <w:rPr>
          <w:rFonts w:ascii="Times New Roman" w:hAnsi="Times New Roman" w:cs="Times New Roman"/>
          <w:b/>
          <w:sz w:val="28"/>
          <w:szCs w:val="28"/>
        </w:rPr>
      </w:pPr>
    </w:p>
    <w:p w:rsidR="002873F5" w:rsidRPr="00F92A71" w:rsidRDefault="002873F5" w:rsidP="0076466B">
      <w:pPr>
        <w:widowControl w:val="0"/>
        <w:spacing w:after="0" w:line="240" w:lineRule="auto"/>
        <w:ind w:firstLine="567"/>
        <w:jc w:val="both"/>
        <w:rPr>
          <w:rFonts w:ascii="Times New Roman" w:hAnsi="Times New Roman" w:cs="Times New Roman"/>
          <w:b/>
          <w:sz w:val="28"/>
          <w:szCs w:val="28"/>
        </w:rPr>
      </w:pPr>
      <w:r w:rsidRPr="00F92A71">
        <w:rPr>
          <w:rFonts w:ascii="Times New Roman" w:hAnsi="Times New Roman" w:cs="Times New Roman"/>
          <w:b/>
          <w:sz w:val="28"/>
          <w:szCs w:val="28"/>
        </w:rPr>
        <w:t>VII. Обґрунтування запропонованого строку дії регуляторного акта</w:t>
      </w:r>
    </w:p>
    <w:p w:rsidR="002873F5" w:rsidRPr="00980513" w:rsidRDefault="002873F5" w:rsidP="0076466B">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6350E4" w:rsidRPr="00D670FE" w:rsidRDefault="00B36D5E" w:rsidP="0076466B">
      <w:pPr>
        <w:pStyle w:val="a5"/>
        <w:widowControl w:val="0"/>
        <w:spacing w:before="0" w:beforeAutospacing="0" w:after="0" w:afterAutospacing="0"/>
        <w:ind w:firstLine="567"/>
        <w:jc w:val="both"/>
        <w:rPr>
          <w:color w:val="000000" w:themeColor="text1"/>
          <w:sz w:val="28"/>
          <w:szCs w:val="28"/>
        </w:rPr>
      </w:pPr>
      <w:r>
        <w:rPr>
          <w:color w:val="000000" w:themeColor="text1"/>
          <w:sz w:val="28"/>
          <w:szCs w:val="28"/>
        </w:rPr>
        <w:t>Строк</w:t>
      </w:r>
      <w:r w:rsidR="006350E4" w:rsidRPr="00D670FE">
        <w:rPr>
          <w:color w:val="000000" w:themeColor="text1"/>
          <w:sz w:val="28"/>
          <w:szCs w:val="28"/>
        </w:rPr>
        <w:t xml:space="preserve"> дії </w:t>
      </w:r>
      <w:r>
        <w:rPr>
          <w:color w:val="000000" w:themeColor="text1"/>
          <w:sz w:val="28"/>
          <w:szCs w:val="28"/>
        </w:rPr>
        <w:t xml:space="preserve">регуляторного </w:t>
      </w:r>
      <w:proofErr w:type="spellStart"/>
      <w:r w:rsidR="00FA79D6">
        <w:rPr>
          <w:color w:val="000000" w:themeColor="text1"/>
          <w:sz w:val="28"/>
          <w:szCs w:val="28"/>
        </w:rPr>
        <w:t>акта</w:t>
      </w:r>
      <w:proofErr w:type="spellEnd"/>
      <w:r w:rsidR="00FA79D6">
        <w:rPr>
          <w:color w:val="000000" w:themeColor="text1"/>
          <w:sz w:val="28"/>
          <w:szCs w:val="28"/>
        </w:rPr>
        <w:t xml:space="preserve"> </w:t>
      </w:r>
      <w:r>
        <w:rPr>
          <w:color w:val="000000" w:themeColor="text1"/>
          <w:sz w:val="28"/>
          <w:szCs w:val="28"/>
        </w:rPr>
        <w:t>не</w:t>
      </w:r>
      <w:r w:rsidR="006350E4" w:rsidRPr="00D670FE">
        <w:rPr>
          <w:color w:val="000000" w:themeColor="text1"/>
          <w:sz w:val="28"/>
          <w:szCs w:val="28"/>
        </w:rPr>
        <w:t xml:space="preserve"> обмеж</w:t>
      </w:r>
      <w:r>
        <w:rPr>
          <w:color w:val="000000" w:themeColor="text1"/>
          <w:sz w:val="28"/>
          <w:szCs w:val="28"/>
        </w:rPr>
        <w:t xml:space="preserve">ується у часі, що дасть можливість розв’язати проблеми та досягти цілей державного регулювання. </w:t>
      </w:r>
      <w:r w:rsidR="006350E4" w:rsidRPr="00D670FE">
        <w:rPr>
          <w:color w:val="000000" w:themeColor="text1"/>
          <w:sz w:val="28"/>
          <w:szCs w:val="28"/>
        </w:rPr>
        <w:t xml:space="preserve"> </w:t>
      </w:r>
    </w:p>
    <w:p w:rsidR="006350E4" w:rsidRDefault="006350E4" w:rsidP="0076466B">
      <w:pPr>
        <w:pStyle w:val="a5"/>
        <w:widowControl w:val="0"/>
        <w:spacing w:before="0" w:beforeAutospacing="0" w:after="0" w:afterAutospacing="0"/>
        <w:ind w:firstLine="567"/>
        <w:jc w:val="both"/>
        <w:rPr>
          <w:color w:val="000000" w:themeColor="text1"/>
          <w:sz w:val="28"/>
          <w:szCs w:val="28"/>
        </w:rPr>
      </w:pPr>
      <w:r w:rsidRPr="006350E4">
        <w:rPr>
          <w:color w:val="000000" w:themeColor="text1"/>
          <w:sz w:val="28"/>
          <w:szCs w:val="28"/>
        </w:rPr>
        <w:t>Зміна терміну дії акт</w:t>
      </w:r>
      <w:r w:rsidR="007810E9">
        <w:rPr>
          <w:color w:val="000000" w:themeColor="text1"/>
          <w:sz w:val="28"/>
          <w:szCs w:val="28"/>
        </w:rPr>
        <w:t>а</w:t>
      </w:r>
      <w:r w:rsidRPr="006350E4">
        <w:rPr>
          <w:color w:val="000000" w:themeColor="text1"/>
          <w:sz w:val="28"/>
          <w:szCs w:val="28"/>
        </w:rPr>
        <w:t xml:space="preserve"> можлива в разі зміни правових актів, на виконання вимог яких </w:t>
      </w:r>
      <w:r w:rsidR="007810E9">
        <w:rPr>
          <w:color w:val="000000" w:themeColor="text1"/>
          <w:sz w:val="28"/>
          <w:szCs w:val="28"/>
        </w:rPr>
        <w:t>розроблено</w:t>
      </w:r>
      <w:r w:rsidRPr="006350E4">
        <w:rPr>
          <w:color w:val="000000" w:themeColor="text1"/>
          <w:sz w:val="28"/>
          <w:szCs w:val="28"/>
        </w:rPr>
        <w:t xml:space="preserve"> проект</w:t>
      </w:r>
      <w:r w:rsidR="00634BC1">
        <w:rPr>
          <w:color w:val="000000" w:themeColor="text1"/>
          <w:sz w:val="28"/>
          <w:szCs w:val="28"/>
        </w:rPr>
        <w:t xml:space="preserve"> постанови</w:t>
      </w:r>
      <w:r w:rsidRPr="006350E4">
        <w:rPr>
          <w:color w:val="000000" w:themeColor="text1"/>
          <w:sz w:val="28"/>
          <w:szCs w:val="28"/>
        </w:rPr>
        <w:t>.</w:t>
      </w:r>
    </w:p>
    <w:p w:rsidR="006350E4" w:rsidRPr="00832D67" w:rsidRDefault="006350E4" w:rsidP="0076466B">
      <w:pPr>
        <w:pStyle w:val="a5"/>
        <w:widowControl w:val="0"/>
        <w:spacing w:before="0" w:beforeAutospacing="0" w:after="0" w:afterAutospacing="0"/>
        <w:ind w:firstLine="567"/>
        <w:jc w:val="both"/>
        <w:rPr>
          <w:sz w:val="28"/>
          <w:szCs w:val="28"/>
        </w:rPr>
      </w:pPr>
    </w:p>
    <w:p w:rsidR="005E6A22" w:rsidRPr="001E31AA" w:rsidRDefault="005E6A22" w:rsidP="0076466B">
      <w:pPr>
        <w:widowControl w:val="0"/>
        <w:spacing w:after="0" w:line="240" w:lineRule="auto"/>
        <w:ind w:firstLine="567"/>
        <w:jc w:val="both"/>
        <w:rPr>
          <w:rFonts w:ascii="Times New Roman" w:eastAsia="Times New Roman" w:hAnsi="Times New Roman" w:cs="Times New Roman"/>
          <w:b/>
          <w:sz w:val="28"/>
          <w:szCs w:val="28"/>
          <w:lang w:eastAsia="ru-RU"/>
        </w:rPr>
      </w:pPr>
      <w:r w:rsidRPr="0098085C">
        <w:rPr>
          <w:rFonts w:ascii="Times New Roman" w:eastAsia="Times New Roman" w:hAnsi="Times New Roman" w:cs="Times New Roman"/>
          <w:b/>
          <w:sz w:val="28"/>
          <w:szCs w:val="28"/>
          <w:lang w:eastAsia="ru-RU"/>
        </w:rPr>
        <w:t>VIII. Визначення показників результативності дії регуляторного акта</w:t>
      </w:r>
    </w:p>
    <w:p w:rsidR="005E6A22" w:rsidRPr="00B347AB" w:rsidRDefault="00613249" w:rsidP="00B347AB">
      <w:pPr>
        <w:widowControl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Показниками результативності регуляторного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 xml:space="preserve"> є:</w:t>
      </w:r>
      <w:r w:rsidR="00B347AB">
        <w:rPr>
          <w:rFonts w:ascii="Times New Roman" w:eastAsia="Times New Roman" w:hAnsi="Times New Roman" w:cs="Times New Roman"/>
          <w:sz w:val="28"/>
          <w:szCs w:val="28"/>
          <w:lang w:eastAsia="ru-RU"/>
        </w:rPr>
        <w:t xml:space="preserve"> </w:t>
      </w:r>
    </w:p>
    <w:p w:rsidR="00B347AB" w:rsidRPr="00AB0813" w:rsidRDefault="00B347AB" w:rsidP="00B347AB">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w:t>
      </w:r>
      <w:r w:rsidRPr="00AB0813">
        <w:rPr>
          <w:rFonts w:ascii="Times New Roman" w:eastAsia="Times New Roman" w:hAnsi="Times New Roman" w:cs="Times New Roman"/>
          <w:color w:val="000000" w:themeColor="text1"/>
          <w:sz w:val="28"/>
          <w:szCs w:val="28"/>
          <w:lang w:eastAsia="ru-RU"/>
        </w:rPr>
        <w:t xml:space="preserve">адходження до бюджету </w:t>
      </w:r>
      <w:r>
        <w:rPr>
          <w:rFonts w:ascii="Times New Roman" w:eastAsia="Times New Roman" w:hAnsi="Times New Roman" w:cs="Times New Roman"/>
          <w:color w:val="000000" w:themeColor="text1"/>
          <w:sz w:val="28"/>
          <w:szCs w:val="28"/>
          <w:lang w:eastAsia="ru-RU"/>
        </w:rPr>
        <w:t xml:space="preserve">від застосованих заходів впливу </w:t>
      </w:r>
      <w:r w:rsidR="00FD16EF">
        <w:rPr>
          <w:rFonts w:ascii="Times New Roman" w:eastAsia="Times New Roman" w:hAnsi="Times New Roman" w:cs="Times New Roman"/>
          <w:color w:val="000000" w:themeColor="text1"/>
          <w:sz w:val="28"/>
          <w:szCs w:val="28"/>
          <w:lang w:eastAsia="ru-RU"/>
        </w:rPr>
        <w:t xml:space="preserve">у вигляді </w:t>
      </w:r>
      <w:r>
        <w:rPr>
          <w:rFonts w:ascii="Times New Roman" w:eastAsia="Times New Roman" w:hAnsi="Times New Roman" w:cs="Times New Roman"/>
          <w:color w:val="000000" w:themeColor="text1"/>
          <w:sz w:val="28"/>
          <w:szCs w:val="28"/>
          <w:lang w:eastAsia="ru-RU"/>
        </w:rPr>
        <w:t>штрафних санкцій</w:t>
      </w:r>
      <w:r w:rsidR="00613249">
        <w:rPr>
          <w:rFonts w:ascii="Times New Roman" w:eastAsia="Times New Roman" w:hAnsi="Times New Roman" w:cs="Times New Roman"/>
          <w:color w:val="000000" w:themeColor="text1"/>
          <w:sz w:val="28"/>
          <w:szCs w:val="28"/>
          <w:lang w:eastAsia="ru-RU"/>
        </w:rPr>
        <w:t xml:space="preserve">; </w:t>
      </w:r>
    </w:p>
    <w:p w:rsidR="001241BA" w:rsidRDefault="00613249" w:rsidP="0076466B">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B0813" w:rsidRPr="00AB081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кількість </w:t>
      </w:r>
      <w:r w:rsidR="00AB0813">
        <w:rPr>
          <w:rFonts w:ascii="Times New Roman" w:eastAsia="Times New Roman" w:hAnsi="Times New Roman" w:cs="Times New Roman"/>
          <w:color w:val="000000" w:themeColor="text1"/>
          <w:sz w:val="28"/>
          <w:szCs w:val="28"/>
          <w:lang w:eastAsia="ru-RU"/>
        </w:rPr>
        <w:t xml:space="preserve">суб’єктів </w:t>
      </w:r>
      <w:r w:rsidR="00444EEA" w:rsidRPr="00AB0813">
        <w:rPr>
          <w:rFonts w:ascii="Times New Roman" w:eastAsia="Times New Roman" w:hAnsi="Times New Roman" w:cs="Times New Roman"/>
          <w:color w:val="000000" w:themeColor="text1"/>
          <w:sz w:val="28"/>
          <w:szCs w:val="28"/>
          <w:lang w:eastAsia="ru-RU"/>
        </w:rPr>
        <w:t>господарювання</w:t>
      </w:r>
      <w:r w:rsidR="00444EEA">
        <w:rPr>
          <w:rFonts w:ascii="Times New Roman" w:eastAsia="Times New Roman" w:hAnsi="Times New Roman" w:cs="Times New Roman"/>
          <w:color w:val="000000" w:themeColor="text1"/>
          <w:sz w:val="28"/>
          <w:szCs w:val="28"/>
          <w:lang w:eastAsia="ru-RU"/>
        </w:rPr>
        <w:t xml:space="preserve"> </w:t>
      </w:r>
      <w:r w:rsidR="00634BC1">
        <w:rPr>
          <w:rFonts w:ascii="Times New Roman" w:eastAsia="Times New Roman" w:hAnsi="Times New Roman" w:cs="Times New Roman"/>
          <w:color w:val="000000" w:themeColor="text1"/>
          <w:sz w:val="28"/>
          <w:szCs w:val="28"/>
          <w:lang w:eastAsia="ru-RU"/>
        </w:rPr>
        <w:t xml:space="preserve">– </w:t>
      </w:r>
      <w:r w:rsidR="00AB0813">
        <w:rPr>
          <w:rFonts w:ascii="Times New Roman" w:eastAsia="Times New Roman" w:hAnsi="Times New Roman" w:cs="Times New Roman"/>
          <w:color w:val="000000" w:themeColor="text1"/>
          <w:sz w:val="28"/>
          <w:szCs w:val="28"/>
          <w:lang w:eastAsia="ru-RU"/>
        </w:rPr>
        <w:t>юридичних</w:t>
      </w:r>
      <w:r w:rsidR="00634BC1">
        <w:rPr>
          <w:rFonts w:ascii="Times New Roman" w:eastAsia="Times New Roman" w:hAnsi="Times New Roman" w:cs="Times New Roman"/>
          <w:color w:val="000000" w:themeColor="text1"/>
          <w:sz w:val="28"/>
          <w:szCs w:val="28"/>
          <w:lang w:eastAsia="ru-RU"/>
        </w:rPr>
        <w:t xml:space="preserve"> </w:t>
      </w:r>
      <w:r w:rsidR="00AB0813">
        <w:rPr>
          <w:rFonts w:ascii="Times New Roman" w:eastAsia="Times New Roman" w:hAnsi="Times New Roman" w:cs="Times New Roman"/>
          <w:color w:val="000000" w:themeColor="text1"/>
          <w:sz w:val="28"/>
          <w:szCs w:val="28"/>
          <w:lang w:eastAsia="ru-RU"/>
        </w:rPr>
        <w:t>осіб (</w:t>
      </w:r>
      <w:r w:rsidR="00AB0813" w:rsidRPr="00AB0813">
        <w:rPr>
          <w:rFonts w:ascii="Times New Roman" w:eastAsia="Times New Roman" w:hAnsi="Times New Roman" w:cs="Times New Roman"/>
          <w:color w:val="000000" w:themeColor="text1"/>
          <w:sz w:val="28"/>
          <w:szCs w:val="28"/>
          <w:lang w:eastAsia="ru-RU"/>
        </w:rPr>
        <w:t xml:space="preserve">крім </w:t>
      </w:r>
      <w:r w:rsidR="00AB0813" w:rsidRPr="00AB0813">
        <w:rPr>
          <w:rFonts w:ascii="Times New Roman" w:eastAsia="Times New Roman" w:hAnsi="Times New Roman" w:cs="Times New Roman"/>
          <w:color w:val="000000" w:themeColor="text1"/>
          <w:sz w:val="28"/>
          <w:szCs w:val="28"/>
          <w:lang w:eastAsia="ru-RU"/>
        </w:rPr>
        <w:lastRenderedPageBreak/>
        <w:t>уповноважених установ</w:t>
      </w:r>
      <w:r w:rsidR="00444EEA">
        <w:rPr>
          <w:rFonts w:ascii="Times New Roman" w:eastAsia="Times New Roman" w:hAnsi="Times New Roman" w:cs="Times New Roman"/>
          <w:color w:val="000000" w:themeColor="text1"/>
          <w:sz w:val="28"/>
          <w:szCs w:val="28"/>
          <w:lang w:eastAsia="ru-RU"/>
        </w:rPr>
        <w:t>), які здійснюють зовнішньоекономічну діяльність</w:t>
      </w:r>
      <w:r w:rsidR="001241BA">
        <w:rPr>
          <w:rFonts w:ascii="Times New Roman" w:eastAsia="Times New Roman" w:hAnsi="Times New Roman" w:cs="Times New Roman"/>
          <w:color w:val="000000" w:themeColor="text1"/>
          <w:sz w:val="28"/>
          <w:szCs w:val="28"/>
          <w:lang w:eastAsia="ru-RU"/>
        </w:rPr>
        <w:t>;</w:t>
      </w:r>
    </w:p>
    <w:p w:rsidR="00AB0813" w:rsidRPr="00AB0813" w:rsidRDefault="00613249" w:rsidP="0076466B">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B0813" w:rsidRPr="00AB0813">
        <w:rPr>
          <w:rFonts w:ascii="Times New Roman" w:eastAsia="Times New Roman" w:hAnsi="Times New Roman" w:cs="Times New Roman"/>
          <w:color w:val="000000" w:themeColor="text1"/>
          <w:sz w:val="28"/>
          <w:szCs w:val="28"/>
          <w:lang w:eastAsia="ru-RU"/>
        </w:rPr>
        <w:t xml:space="preserve">. </w:t>
      </w:r>
      <w:r w:rsidR="00104C8E">
        <w:rPr>
          <w:rFonts w:ascii="Times New Roman" w:eastAsia="Times New Roman" w:hAnsi="Times New Roman" w:cs="Times New Roman"/>
          <w:color w:val="000000" w:themeColor="text1"/>
          <w:sz w:val="28"/>
          <w:szCs w:val="28"/>
          <w:lang w:eastAsia="ru-RU"/>
        </w:rPr>
        <w:t>кошти та</w:t>
      </w:r>
      <w:r w:rsidR="00104C8E" w:rsidRPr="00AB0813">
        <w:rPr>
          <w:rFonts w:ascii="Times New Roman" w:eastAsia="Times New Roman" w:hAnsi="Times New Roman" w:cs="Times New Roman"/>
          <w:color w:val="000000" w:themeColor="text1"/>
          <w:sz w:val="28"/>
          <w:szCs w:val="28"/>
          <w:lang w:eastAsia="ru-RU"/>
        </w:rPr>
        <w:t xml:space="preserve"> час</w:t>
      </w:r>
      <w:r w:rsidR="00104C8E">
        <w:rPr>
          <w:rFonts w:ascii="Times New Roman" w:hAnsi="Times New Roman" w:cs="Times New Roman"/>
          <w:sz w:val="28"/>
          <w:szCs w:val="28"/>
        </w:rPr>
        <w:t xml:space="preserve">, </w:t>
      </w:r>
      <w:r w:rsidR="00AB0813" w:rsidRPr="00AB0813">
        <w:rPr>
          <w:rFonts w:ascii="Times New Roman" w:eastAsia="Times New Roman" w:hAnsi="Times New Roman" w:cs="Times New Roman"/>
          <w:color w:val="000000" w:themeColor="text1"/>
          <w:sz w:val="28"/>
          <w:szCs w:val="28"/>
          <w:lang w:eastAsia="ru-RU"/>
        </w:rPr>
        <w:t>що витрачатим</w:t>
      </w:r>
      <w:r w:rsidR="00042183">
        <w:rPr>
          <w:rFonts w:ascii="Times New Roman" w:eastAsia="Times New Roman" w:hAnsi="Times New Roman" w:cs="Times New Roman"/>
          <w:color w:val="000000" w:themeColor="text1"/>
          <w:sz w:val="28"/>
          <w:szCs w:val="28"/>
          <w:lang w:eastAsia="ru-RU"/>
        </w:rPr>
        <w:t>у</w:t>
      </w:r>
      <w:r w:rsidR="00AB0813" w:rsidRPr="00AB0813">
        <w:rPr>
          <w:rFonts w:ascii="Times New Roman" w:eastAsia="Times New Roman" w:hAnsi="Times New Roman" w:cs="Times New Roman"/>
          <w:color w:val="000000" w:themeColor="text1"/>
          <w:sz w:val="28"/>
          <w:szCs w:val="28"/>
          <w:lang w:eastAsia="ru-RU"/>
        </w:rPr>
        <w:t>ться суб</w:t>
      </w:r>
      <w:r w:rsidR="00444EEA">
        <w:rPr>
          <w:rFonts w:ascii="Times New Roman" w:eastAsia="Times New Roman" w:hAnsi="Times New Roman" w:cs="Times New Roman"/>
          <w:color w:val="000000" w:themeColor="text1"/>
          <w:sz w:val="28"/>
          <w:szCs w:val="28"/>
          <w:lang w:eastAsia="ru-RU"/>
        </w:rPr>
        <w:t>’</w:t>
      </w:r>
      <w:r w:rsidR="00AB0813" w:rsidRPr="00AB0813">
        <w:rPr>
          <w:rFonts w:ascii="Times New Roman" w:eastAsia="Times New Roman" w:hAnsi="Times New Roman" w:cs="Times New Roman"/>
          <w:color w:val="000000" w:themeColor="text1"/>
          <w:sz w:val="28"/>
          <w:szCs w:val="28"/>
          <w:lang w:eastAsia="ru-RU"/>
        </w:rPr>
        <w:t>єктами господарювання, пов</w:t>
      </w:r>
      <w:r w:rsidR="00444EEA">
        <w:rPr>
          <w:rFonts w:ascii="Times New Roman" w:eastAsia="Times New Roman" w:hAnsi="Times New Roman" w:cs="Times New Roman"/>
          <w:color w:val="000000" w:themeColor="text1"/>
          <w:sz w:val="28"/>
          <w:szCs w:val="28"/>
          <w:lang w:eastAsia="ru-RU"/>
        </w:rPr>
        <w:t>’</w:t>
      </w:r>
      <w:r w:rsidR="00AB0813" w:rsidRPr="00AB0813">
        <w:rPr>
          <w:rFonts w:ascii="Times New Roman" w:eastAsia="Times New Roman" w:hAnsi="Times New Roman" w:cs="Times New Roman"/>
          <w:color w:val="000000" w:themeColor="text1"/>
          <w:sz w:val="28"/>
          <w:szCs w:val="28"/>
          <w:lang w:eastAsia="ru-RU"/>
        </w:rPr>
        <w:t xml:space="preserve">язаними з виконанням вимог </w:t>
      </w:r>
      <w:proofErr w:type="spellStart"/>
      <w:r w:rsidR="00AB0813" w:rsidRPr="00AB0813">
        <w:rPr>
          <w:rFonts w:ascii="Times New Roman" w:eastAsia="Times New Roman" w:hAnsi="Times New Roman" w:cs="Times New Roman"/>
          <w:color w:val="000000" w:themeColor="text1"/>
          <w:sz w:val="28"/>
          <w:szCs w:val="28"/>
          <w:lang w:eastAsia="ru-RU"/>
        </w:rPr>
        <w:t>акт</w:t>
      </w:r>
      <w:r w:rsidR="00E02296">
        <w:rPr>
          <w:rFonts w:ascii="Times New Roman" w:eastAsia="Times New Roman" w:hAnsi="Times New Roman" w:cs="Times New Roman"/>
          <w:color w:val="000000" w:themeColor="text1"/>
          <w:sz w:val="28"/>
          <w:szCs w:val="28"/>
          <w:lang w:eastAsia="ru-RU"/>
        </w:rPr>
        <w:t>а</w:t>
      </w:r>
      <w:proofErr w:type="spellEnd"/>
      <w:r w:rsidR="00634BC1">
        <w:rPr>
          <w:rFonts w:ascii="Times New Roman" w:eastAsia="Times New Roman" w:hAnsi="Times New Roman" w:cs="Times New Roman"/>
          <w:color w:val="000000" w:themeColor="text1"/>
          <w:sz w:val="28"/>
          <w:szCs w:val="28"/>
          <w:lang w:eastAsia="ru-RU"/>
        </w:rPr>
        <w:t>,</w:t>
      </w:r>
      <w:r w:rsidR="00AB0813" w:rsidRPr="00AB0813">
        <w:rPr>
          <w:rFonts w:ascii="Times New Roman" w:eastAsia="Times New Roman" w:hAnsi="Times New Roman" w:cs="Times New Roman"/>
          <w:color w:val="000000" w:themeColor="text1"/>
          <w:sz w:val="28"/>
          <w:szCs w:val="28"/>
          <w:lang w:eastAsia="ru-RU"/>
        </w:rPr>
        <w:t xml:space="preserve"> не </w:t>
      </w:r>
      <w:proofErr w:type="spellStart"/>
      <w:r w:rsidR="00042183">
        <w:rPr>
          <w:rFonts w:ascii="Times New Roman" w:eastAsia="Times New Roman" w:hAnsi="Times New Roman" w:cs="Times New Roman"/>
          <w:color w:val="000000" w:themeColor="text1"/>
          <w:sz w:val="28"/>
          <w:szCs w:val="28"/>
          <w:lang w:eastAsia="ru-RU"/>
        </w:rPr>
        <w:t>збільшаться</w:t>
      </w:r>
      <w:proofErr w:type="spellEnd"/>
      <w:r w:rsidR="00AD7E1C">
        <w:rPr>
          <w:rFonts w:ascii="Times New Roman" w:eastAsia="Times New Roman" w:hAnsi="Times New Roman" w:cs="Times New Roman"/>
          <w:color w:val="000000" w:themeColor="text1"/>
          <w:sz w:val="28"/>
          <w:szCs w:val="28"/>
          <w:lang w:eastAsia="ru-RU"/>
        </w:rPr>
        <w:t>;</w:t>
      </w:r>
    </w:p>
    <w:p w:rsidR="00042183" w:rsidRPr="00AB0813" w:rsidRDefault="006B7FBB" w:rsidP="00042183">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B0813" w:rsidRPr="00AB0813">
        <w:rPr>
          <w:rFonts w:ascii="Times New Roman" w:eastAsia="Times New Roman" w:hAnsi="Times New Roman" w:cs="Times New Roman"/>
          <w:color w:val="000000" w:themeColor="text1"/>
          <w:sz w:val="28"/>
          <w:szCs w:val="28"/>
          <w:lang w:eastAsia="ru-RU"/>
        </w:rPr>
        <w:t xml:space="preserve">. </w:t>
      </w:r>
      <w:r w:rsidR="00E02296">
        <w:rPr>
          <w:rFonts w:ascii="Times New Roman" w:eastAsia="Times New Roman" w:hAnsi="Times New Roman" w:cs="Times New Roman"/>
          <w:color w:val="000000" w:themeColor="text1"/>
          <w:sz w:val="28"/>
          <w:szCs w:val="28"/>
          <w:lang w:eastAsia="ru-RU"/>
        </w:rPr>
        <w:t>р</w:t>
      </w:r>
      <w:r w:rsidR="00AB0813" w:rsidRPr="00AB0813">
        <w:rPr>
          <w:rFonts w:ascii="Times New Roman" w:eastAsia="Times New Roman" w:hAnsi="Times New Roman" w:cs="Times New Roman"/>
          <w:color w:val="000000" w:themeColor="text1"/>
          <w:sz w:val="28"/>
          <w:szCs w:val="28"/>
          <w:lang w:eastAsia="ru-RU"/>
        </w:rPr>
        <w:t>івень поінформованості суб’єктів господарювання оцінюється як середній.</w:t>
      </w:r>
      <w:r w:rsidR="00042183" w:rsidRPr="00042183">
        <w:rPr>
          <w:rFonts w:ascii="Times New Roman" w:eastAsia="Times New Roman" w:hAnsi="Times New Roman" w:cs="Times New Roman"/>
          <w:color w:val="000000" w:themeColor="text1"/>
          <w:sz w:val="28"/>
          <w:szCs w:val="28"/>
          <w:lang w:eastAsia="ru-RU"/>
        </w:rPr>
        <w:t xml:space="preserve"> </w:t>
      </w:r>
      <w:r w:rsidR="00042183" w:rsidRPr="00AB0813">
        <w:rPr>
          <w:rFonts w:ascii="Times New Roman" w:eastAsia="Times New Roman" w:hAnsi="Times New Roman" w:cs="Times New Roman"/>
          <w:color w:val="000000" w:themeColor="text1"/>
          <w:sz w:val="28"/>
          <w:szCs w:val="28"/>
          <w:lang w:eastAsia="ru-RU"/>
        </w:rPr>
        <w:t xml:space="preserve">Проект </w:t>
      </w:r>
      <w:proofErr w:type="spellStart"/>
      <w:r w:rsidR="00042183" w:rsidRPr="00AB0813">
        <w:rPr>
          <w:rFonts w:ascii="Times New Roman" w:eastAsia="Times New Roman" w:hAnsi="Times New Roman" w:cs="Times New Roman"/>
          <w:color w:val="000000" w:themeColor="text1"/>
          <w:sz w:val="28"/>
          <w:szCs w:val="28"/>
          <w:lang w:eastAsia="ru-RU"/>
        </w:rPr>
        <w:t>акт</w:t>
      </w:r>
      <w:r w:rsidR="00E02296">
        <w:rPr>
          <w:rFonts w:ascii="Times New Roman" w:eastAsia="Times New Roman" w:hAnsi="Times New Roman" w:cs="Times New Roman"/>
          <w:color w:val="000000" w:themeColor="text1"/>
          <w:sz w:val="28"/>
          <w:szCs w:val="28"/>
          <w:lang w:eastAsia="ru-RU"/>
        </w:rPr>
        <w:t>а</w:t>
      </w:r>
      <w:proofErr w:type="spellEnd"/>
      <w:r w:rsidR="00042183" w:rsidRPr="00AB0813">
        <w:rPr>
          <w:rFonts w:ascii="Times New Roman" w:eastAsia="Times New Roman" w:hAnsi="Times New Roman" w:cs="Times New Roman"/>
          <w:color w:val="000000" w:themeColor="text1"/>
          <w:sz w:val="28"/>
          <w:szCs w:val="28"/>
          <w:lang w:eastAsia="ru-RU"/>
        </w:rPr>
        <w:t xml:space="preserve"> розміщено на офіційному веб-порталі ДФС. Після прийняття акт буде оприлюднено у засобах масової інформації</w:t>
      </w:r>
      <w:r w:rsidR="00BB1148">
        <w:rPr>
          <w:rFonts w:ascii="Times New Roman" w:eastAsia="Times New Roman" w:hAnsi="Times New Roman" w:cs="Times New Roman"/>
          <w:color w:val="000000" w:themeColor="text1"/>
          <w:sz w:val="28"/>
          <w:szCs w:val="28"/>
          <w:lang w:eastAsia="ru-RU"/>
        </w:rPr>
        <w:t>;</w:t>
      </w:r>
      <w:r w:rsidR="00042183" w:rsidRPr="00AB0813">
        <w:rPr>
          <w:rFonts w:ascii="Times New Roman" w:eastAsia="Times New Roman" w:hAnsi="Times New Roman" w:cs="Times New Roman"/>
          <w:color w:val="000000" w:themeColor="text1"/>
          <w:sz w:val="28"/>
          <w:szCs w:val="28"/>
          <w:lang w:eastAsia="ru-RU"/>
        </w:rPr>
        <w:t xml:space="preserve">  </w:t>
      </w:r>
    </w:p>
    <w:p w:rsidR="00AB0813" w:rsidRPr="00AB0813" w:rsidRDefault="00682AA0" w:rsidP="0076466B">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C63693">
        <w:rPr>
          <w:rFonts w:ascii="Times New Roman" w:eastAsia="Times New Roman" w:hAnsi="Times New Roman" w:cs="Times New Roman"/>
          <w:color w:val="000000" w:themeColor="text1"/>
          <w:sz w:val="28"/>
          <w:szCs w:val="28"/>
          <w:lang w:eastAsia="ru-RU"/>
        </w:rPr>
        <w:t>к</w:t>
      </w:r>
      <w:r w:rsidR="00AB0813" w:rsidRPr="00AB0813">
        <w:rPr>
          <w:rFonts w:ascii="Times New Roman" w:eastAsia="Times New Roman" w:hAnsi="Times New Roman" w:cs="Times New Roman"/>
          <w:color w:val="000000" w:themeColor="text1"/>
          <w:sz w:val="28"/>
          <w:szCs w:val="28"/>
          <w:lang w:eastAsia="ru-RU"/>
        </w:rPr>
        <w:t xml:space="preserve">ількість </w:t>
      </w:r>
      <w:r w:rsidR="00444EEA">
        <w:rPr>
          <w:rFonts w:ascii="Times New Roman" w:eastAsia="Times New Roman" w:hAnsi="Times New Roman" w:cs="Times New Roman"/>
          <w:color w:val="000000" w:themeColor="text1"/>
          <w:sz w:val="28"/>
          <w:szCs w:val="28"/>
          <w:lang w:eastAsia="ru-RU"/>
        </w:rPr>
        <w:t xml:space="preserve">перевірених суб’єктів господарювання </w:t>
      </w:r>
      <w:r w:rsidR="00C63693">
        <w:rPr>
          <w:rFonts w:ascii="Times New Roman" w:eastAsia="Times New Roman" w:hAnsi="Times New Roman" w:cs="Times New Roman"/>
          <w:color w:val="000000" w:themeColor="text1"/>
          <w:sz w:val="28"/>
          <w:szCs w:val="28"/>
          <w:lang w:eastAsia="ru-RU"/>
        </w:rPr>
        <w:t xml:space="preserve">– </w:t>
      </w:r>
      <w:r w:rsidR="00444EEA">
        <w:rPr>
          <w:rFonts w:ascii="Times New Roman" w:eastAsia="Times New Roman" w:hAnsi="Times New Roman" w:cs="Times New Roman"/>
          <w:color w:val="000000" w:themeColor="text1"/>
          <w:sz w:val="28"/>
          <w:szCs w:val="28"/>
          <w:lang w:eastAsia="ru-RU"/>
        </w:rPr>
        <w:t>юридичних осіб (</w:t>
      </w:r>
      <w:r w:rsidR="00444EEA" w:rsidRPr="00AB0813">
        <w:rPr>
          <w:rFonts w:ascii="Times New Roman" w:eastAsia="Times New Roman" w:hAnsi="Times New Roman" w:cs="Times New Roman"/>
          <w:color w:val="000000" w:themeColor="text1"/>
          <w:sz w:val="28"/>
          <w:szCs w:val="28"/>
          <w:lang w:eastAsia="ru-RU"/>
        </w:rPr>
        <w:t>крім уповноважених установ</w:t>
      </w:r>
      <w:r w:rsidR="00444EEA">
        <w:rPr>
          <w:rFonts w:ascii="Times New Roman" w:eastAsia="Times New Roman" w:hAnsi="Times New Roman" w:cs="Times New Roman"/>
          <w:color w:val="000000" w:themeColor="text1"/>
          <w:sz w:val="28"/>
          <w:szCs w:val="28"/>
          <w:lang w:eastAsia="ru-RU"/>
        </w:rPr>
        <w:t>) з питань дотримання ними вимог валютного законодавства</w:t>
      </w:r>
      <w:r w:rsidR="00C63693">
        <w:rPr>
          <w:rFonts w:ascii="Times New Roman" w:eastAsia="Times New Roman" w:hAnsi="Times New Roman" w:cs="Times New Roman"/>
          <w:color w:val="000000" w:themeColor="text1"/>
          <w:sz w:val="28"/>
          <w:szCs w:val="28"/>
          <w:lang w:eastAsia="ru-RU"/>
        </w:rPr>
        <w:t>;</w:t>
      </w:r>
    </w:p>
    <w:p w:rsidR="00AB0813" w:rsidRPr="00AB0813" w:rsidRDefault="00682AA0" w:rsidP="0076466B">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w:t>
      </w:r>
      <w:r w:rsidR="00C63693">
        <w:rPr>
          <w:rFonts w:ascii="Times New Roman" w:eastAsia="Times New Roman" w:hAnsi="Times New Roman" w:cs="Times New Roman"/>
          <w:color w:val="000000" w:themeColor="text1"/>
          <w:sz w:val="28"/>
          <w:szCs w:val="28"/>
          <w:lang w:eastAsia="ru-RU"/>
        </w:rPr>
        <w:t>к</w:t>
      </w:r>
      <w:r w:rsidR="00AB0813" w:rsidRPr="00AB0813">
        <w:rPr>
          <w:rFonts w:ascii="Times New Roman" w:eastAsia="Times New Roman" w:hAnsi="Times New Roman" w:cs="Times New Roman"/>
          <w:color w:val="000000" w:themeColor="text1"/>
          <w:sz w:val="28"/>
          <w:szCs w:val="28"/>
          <w:lang w:eastAsia="ru-RU"/>
        </w:rPr>
        <w:t xml:space="preserve">ількість </w:t>
      </w:r>
      <w:r w:rsidR="00444EEA">
        <w:rPr>
          <w:rFonts w:ascii="Times New Roman" w:eastAsia="Times New Roman" w:hAnsi="Times New Roman" w:cs="Times New Roman"/>
          <w:color w:val="000000" w:themeColor="text1"/>
          <w:sz w:val="28"/>
          <w:szCs w:val="28"/>
          <w:lang w:eastAsia="ru-RU"/>
        </w:rPr>
        <w:t>та сума застосованих заходів впливу</w:t>
      </w:r>
      <w:r w:rsidR="002621C8">
        <w:rPr>
          <w:rFonts w:ascii="Times New Roman" w:eastAsia="Times New Roman" w:hAnsi="Times New Roman" w:cs="Times New Roman"/>
          <w:color w:val="000000" w:themeColor="text1"/>
          <w:sz w:val="28"/>
          <w:szCs w:val="28"/>
          <w:lang w:eastAsia="ru-RU"/>
        </w:rPr>
        <w:t xml:space="preserve"> </w:t>
      </w:r>
      <w:r w:rsidR="00EE172A">
        <w:rPr>
          <w:rFonts w:ascii="Times New Roman" w:eastAsia="Times New Roman" w:hAnsi="Times New Roman" w:cs="Times New Roman"/>
          <w:color w:val="000000" w:themeColor="text1"/>
          <w:sz w:val="28"/>
          <w:szCs w:val="28"/>
          <w:lang w:eastAsia="ru-RU"/>
        </w:rPr>
        <w:t>у вигляді штрафних санкцій</w:t>
      </w:r>
      <w:r w:rsidR="00444EEA">
        <w:rPr>
          <w:rFonts w:ascii="Times New Roman" w:eastAsia="Times New Roman" w:hAnsi="Times New Roman" w:cs="Times New Roman"/>
          <w:color w:val="000000" w:themeColor="text1"/>
          <w:sz w:val="28"/>
          <w:szCs w:val="28"/>
          <w:lang w:eastAsia="ru-RU"/>
        </w:rPr>
        <w:t xml:space="preserve"> за порушення вимог валютного законодавства.</w:t>
      </w:r>
    </w:p>
    <w:p w:rsidR="00AB0813" w:rsidRDefault="00AB0813" w:rsidP="0076466B">
      <w:pPr>
        <w:pStyle w:val="11"/>
        <w:widowControl w:val="0"/>
        <w:tabs>
          <w:tab w:val="left" w:pos="9921"/>
        </w:tabs>
        <w:ind w:firstLine="567"/>
        <w:jc w:val="both"/>
        <w:rPr>
          <w:sz w:val="28"/>
          <w:szCs w:val="28"/>
          <w:lang w:val="uk-UA"/>
        </w:rPr>
      </w:pPr>
    </w:p>
    <w:p w:rsidR="00BF4B53" w:rsidRPr="00BF4B53" w:rsidRDefault="00BF4B53" w:rsidP="00FA79D6">
      <w:pPr>
        <w:widowControl w:val="0"/>
        <w:spacing w:before="120" w:after="120" w:line="240" w:lineRule="auto"/>
        <w:ind w:firstLine="567"/>
        <w:jc w:val="both"/>
        <w:rPr>
          <w:rFonts w:ascii="Times New Roman" w:eastAsia="Times New Roman" w:hAnsi="Times New Roman" w:cs="Times New Roman"/>
          <w:b/>
          <w:sz w:val="28"/>
          <w:szCs w:val="28"/>
          <w:lang w:eastAsia="ru-RU"/>
        </w:rPr>
      </w:pPr>
      <w:r w:rsidRPr="00BF4B53">
        <w:rPr>
          <w:rFonts w:ascii="Times New Roman" w:eastAsia="Times New Roman" w:hAnsi="Times New Roman" w:cs="Times New Roman"/>
          <w:b/>
          <w:sz w:val="28"/>
          <w:szCs w:val="28"/>
          <w:lang w:eastAsia="ru-RU"/>
        </w:rPr>
        <w:t>IX. Визначення заходів, за допомогою яких здійснюватиметься відстеження результативності дії регуляторного акта</w:t>
      </w:r>
    </w:p>
    <w:p w:rsidR="00B27782" w:rsidRPr="00641EEC" w:rsidRDefault="00B27782" w:rsidP="00B27782">
      <w:pPr>
        <w:pStyle w:val="11"/>
        <w:widowControl w:val="0"/>
        <w:ind w:firstLine="567"/>
        <w:jc w:val="both"/>
        <w:rPr>
          <w:sz w:val="28"/>
          <w:szCs w:val="28"/>
          <w:lang w:val="uk-UA"/>
        </w:rPr>
      </w:pPr>
      <w:r w:rsidRPr="00641EEC">
        <w:rPr>
          <w:sz w:val="28"/>
          <w:szCs w:val="28"/>
          <w:lang w:val="uk-UA"/>
        </w:rPr>
        <w:t xml:space="preserve">Базове відстеження результативності </w:t>
      </w:r>
      <w:proofErr w:type="spellStart"/>
      <w:r w:rsidRPr="00641EEC">
        <w:rPr>
          <w:sz w:val="28"/>
          <w:szCs w:val="28"/>
          <w:lang w:val="uk-UA"/>
        </w:rPr>
        <w:t>акта</w:t>
      </w:r>
      <w:proofErr w:type="spellEnd"/>
      <w:r w:rsidRPr="00641EEC">
        <w:rPr>
          <w:sz w:val="28"/>
          <w:szCs w:val="28"/>
          <w:lang w:val="uk-UA"/>
        </w:rPr>
        <w:t xml:space="preserve"> буде здійснюватис</w:t>
      </w:r>
      <w:r w:rsidR="00731B92">
        <w:rPr>
          <w:sz w:val="28"/>
          <w:szCs w:val="28"/>
          <w:lang w:val="uk-UA"/>
        </w:rPr>
        <w:t>я</w:t>
      </w:r>
      <w:r w:rsidRPr="00641EEC">
        <w:rPr>
          <w:sz w:val="28"/>
          <w:szCs w:val="28"/>
          <w:lang w:val="uk-UA"/>
        </w:rPr>
        <w:t xml:space="preserve"> через рік після набрання чинності цим актом шляхом </w:t>
      </w:r>
      <w:r>
        <w:rPr>
          <w:sz w:val="28"/>
          <w:szCs w:val="28"/>
          <w:lang w:val="uk-UA"/>
        </w:rPr>
        <w:t>аналізу</w:t>
      </w:r>
      <w:r w:rsidRPr="00641EEC">
        <w:rPr>
          <w:sz w:val="28"/>
          <w:szCs w:val="28"/>
          <w:lang w:val="uk-UA"/>
        </w:rPr>
        <w:t xml:space="preserve"> статистичних даних.</w:t>
      </w:r>
    </w:p>
    <w:p w:rsidR="00B27782" w:rsidRDefault="00B27782" w:rsidP="00B27782">
      <w:pPr>
        <w:pStyle w:val="11"/>
        <w:widowControl w:val="0"/>
        <w:ind w:firstLine="567"/>
        <w:jc w:val="both"/>
        <w:rPr>
          <w:sz w:val="28"/>
          <w:szCs w:val="28"/>
          <w:lang w:val="uk-UA"/>
        </w:rPr>
      </w:pPr>
      <w:r w:rsidRPr="00641EEC">
        <w:rPr>
          <w:sz w:val="28"/>
          <w:szCs w:val="28"/>
          <w:lang w:val="uk-UA"/>
        </w:rPr>
        <w:t xml:space="preserve">Повторне відстеження результативності </w:t>
      </w:r>
      <w:proofErr w:type="spellStart"/>
      <w:r w:rsidRPr="00641EEC">
        <w:rPr>
          <w:sz w:val="28"/>
          <w:szCs w:val="28"/>
          <w:lang w:val="uk-UA"/>
        </w:rPr>
        <w:t>акта</w:t>
      </w:r>
      <w:proofErr w:type="spellEnd"/>
      <w:r w:rsidRPr="00641EEC">
        <w:rPr>
          <w:sz w:val="28"/>
          <w:szCs w:val="28"/>
          <w:lang w:val="uk-UA"/>
        </w:rPr>
        <w:t xml:space="preserve"> буде здійснюватис</w:t>
      </w:r>
      <w:r w:rsidR="00731B92">
        <w:rPr>
          <w:sz w:val="28"/>
          <w:szCs w:val="28"/>
          <w:lang w:val="uk-UA"/>
        </w:rPr>
        <w:t>я</w:t>
      </w:r>
      <w:r w:rsidRPr="00641EEC">
        <w:rPr>
          <w:sz w:val="28"/>
          <w:szCs w:val="28"/>
          <w:lang w:val="uk-UA"/>
        </w:rPr>
        <w:t xml:space="preserve"> через два роки з дня набрання ним чинності.</w:t>
      </w:r>
    </w:p>
    <w:p w:rsidR="00B27782" w:rsidRPr="00641EEC" w:rsidRDefault="00B27782" w:rsidP="00B27782">
      <w:pPr>
        <w:pStyle w:val="11"/>
        <w:widowControl w:val="0"/>
        <w:ind w:firstLine="567"/>
        <w:jc w:val="both"/>
        <w:rPr>
          <w:sz w:val="28"/>
          <w:szCs w:val="28"/>
          <w:lang w:val="uk-UA"/>
        </w:rPr>
      </w:pPr>
      <w:r>
        <w:rPr>
          <w:sz w:val="28"/>
          <w:szCs w:val="28"/>
          <w:lang w:val="uk-UA"/>
        </w:rPr>
        <w:t xml:space="preserve">Періодичні відстеження планується здійснювати один раз у кожні три роки, починаючи з дня закінчення заходів повторного відстеження результативності цього </w:t>
      </w:r>
      <w:proofErr w:type="spellStart"/>
      <w:r>
        <w:rPr>
          <w:sz w:val="28"/>
          <w:szCs w:val="28"/>
          <w:lang w:val="uk-UA"/>
        </w:rPr>
        <w:t>акт</w:t>
      </w:r>
      <w:r w:rsidR="00E02296">
        <w:rPr>
          <w:sz w:val="28"/>
          <w:szCs w:val="28"/>
          <w:lang w:val="uk-UA"/>
        </w:rPr>
        <w:t>а</w:t>
      </w:r>
      <w:proofErr w:type="spellEnd"/>
      <w:r>
        <w:rPr>
          <w:sz w:val="28"/>
          <w:szCs w:val="28"/>
          <w:lang w:val="uk-UA"/>
        </w:rPr>
        <w:t>.</w:t>
      </w:r>
    </w:p>
    <w:p w:rsidR="007E1BC8" w:rsidRPr="0037015D" w:rsidRDefault="00B27782" w:rsidP="0076466B">
      <w:pPr>
        <w:pStyle w:val="11"/>
        <w:widowControl w:val="0"/>
        <w:ind w:firstLine="567"/>
        <w:jc w:val="both"/>
        <w:rPr>
          <w:sz w:val="28"/>
          <w:szCs w:val="28"/>
          <w:lang w:val="uk-UA"/>
        </w:rPr>
      </w:pPr>
      <w:r>
        <w:rPr>
          <w:sz w:val="28"/>
          <w:szCs w:val="28"/>
          <w:lang w:val="uk-UA"/>
        </w:rPr>
        <w:t>В</w:t>
      </w:r>
      <w:r w:rsidR="007E1BC8" w:rsidRPr="006C5435">
        <w:rPr>
          <w:sz w:val="28"/>
          <w:szCs w:val="28"/>
          <w:lang w:val="uk-UA"/>
        </w:rPr>
        <w:t xml:space="preserve">ідстеження результативності </w:t>
      </w:r>
      <w:r w:rsidR="00C350A0">
        <w:rPr>
          <w:sz w:val="28"/>
          <w:szCs w:val="28"/>
          <w:lang w:val="uk-UA"/>
        </w:rPr>
        <w:t>цього акт</w:t>
      </w:r>
      <w:r w:rsidR="00AD7E1C">
        <w:rPr>
          <w:sz w:val="28"/>
          <w:szCs w:val="28"/>
          <w:lang w:val="uk-UA"/>
        </w:rPr>
        <w:t>а</w:t>
      </w:r>
      <w:r w:rsidR="00C350A0">
        <w:rPr>
          <w:sz w:val="28"/>
          <w:szCs w:val="28"/>
          <w:lang w:val="uk-UA"/>
        </w:rPr>
        <w:t xml:space="preserve"> </w:t>
      </w:r>
      <w:r w:rsidR="007E1BC8" w:rsidRPr="006C5435">
        <w:rPr>
          <w:sz w:val="28"/>
          <w:szCs w:val="28"/>
          <w:lang w:val="uk-UA"/>
        </w:rPr>
        <w:t>буде здійснюватис</w:t>
      </w:r>
      <w:r w:rsidR="0037015D">
        <w:rPr>
          <w:sz w:val="28"/>
          <w:szCs w:val="28"/>
          <w:lang w:val="uk-UA"/>
        </w:rPr>
        <w:t>я</w:t>
      </w:r>
      <w:r w:rsidR="007E1BC8" w:rsidRPr="006C5435">
        <w:rPr>
          <w:sz w:val="28"/>
          <w:szCs w:val="28"/>
          <w:lang w:val="uk-UA"/>
        </w:rPr>
        <w:t xml:space="preserve"> </w:t>
      </w:r>
      <w:r w:rsidR="004038D7">
        <w:rPr>
          <w:sz w:val="28"/>
          <w:szCs w:val="28"/>
          <w:lang w:val="uk-UA"/>
        </w:rPr>
        <w:br/>
      </w:r>
      <w:r w:rsidR="0037015D">
        <w:rPr>
          <w:sz w:val="28"/>
          <w:szCs w:val="28"/>
          <w:lang w:val="uk-UA"/>
        </w:rPr>
        <w:t>ДФС</w:t>
      </w:r>
      <w:r w:rsidR="007E1BC8">
        <w:rPr>
          <w:sz w:val="28"/>
          <w:szCs w:val="28"/>
          <w:lang w:val="uk-UA"/>
        </w:rPr>
        <w:t xml:space="preserve"> України</w:t>
      </w:r>
      <w:r w:rsidR="0037015D">
        <w:rPr>
          <w:sz w:val="28"/>
          <w:szCs w:val="28"/>
          <w:lang w:val="uk-UA"/>
        </w:rPr>
        <w:t xml:space="preserve"> статистичним методом – шляхом аналізу динаміки показників, вказаних у розділі </w:t>
      </w:r>
      <w:r w:rsidR="0037015D">
        <w:rPr>
          <w:sz w:val="28"/>
          <w:szCs w:val="28"/>
          <w:lang w:val="en-US"/>
        </w:rPr>
        <w:t>V</w:t>
      </w:r>
      <w:r w:rsidR="0037015D">
        <w:rPr>
          <w:sz w:val="28"/>
          <w:szCs w:val="28"/>
          <w:lang w:val="uk-UA"/>
        </w:rPr>
        <w:t>ІІІ</w:t>
      </w:r>
      <w:r w:rsidR="007E1BC8" w:rsidRPr="006C5435">
        <w:rPr>
          <w:sz w:val="28"/>
          <w:szCs w:val="28"/>
          <w:lang w:val="uk-UA"/>
        </w:rPr>
        <w:t>.</w:t>
      </w:r>
    </w:p>
    <w:p w:rsidR="00BF4B53" w:rsidRPr="00BF4B53" w:rsidRDefault="00BF4B53" w:rsidP="0076466B">
      <w:pPr>
        <w:widowControl w:val="0"/>
        <w:spacing w:after="0" w:line="240" w:lineRule="auto"/>
        <w:ind w:firstLine="709"/>
        <w:jc w:val="both"/>
        <w:rPr>
          <w:rFonts w:ascii="Times New Roman" w:eastAsia="Times New Roman" w:hAnsi="Times New Roman" w:cs="Times New Roman"/>
          <w:sz w:val="28"/>
          <w:szCs w:val="28"/>
          <w:lang w:eastAsia="ru-RU"/>
        </w:rPr>
      </w:pPr>
    </w:p>
    <w:p w:rsidR="00BF4B53" w:rsidRDefault="00BF4B53" w:rsidP="0076466B">
      <w:pPr>
        <w:widowControl w:val="0"/>
        <w:spacing w:after="0" w:line="240" w:lineRule="auto"/>
        <w:ind w:firstLine="709"/>
        <w:jc w:val="both"/>
        <w:rPr>
          <w:rFonts w:ascii="Times New Roman" w:eastAsia="Times New Roman" w:hAnsi="Times New Roman" w:cs="Times New Roman"/>
          <w:sz w:val="28"/>
          <w:szCs w:val="28"/>
          <w:lang w:eastAsia="ru-RU"/>
        </w:rPr>
      </w:pPr>
    </w:p>
    <w:p w:rsidR="0051169E" w:rsidRPr="00057B10" w:rsidRDefault="0051169E" w:rsidP="0076466B">
      <w:pPr>
        <w:pStyle w:val="11"/>
        <w:widowControl w:val="0"/>
        <w:jc w:val="both"/>
        <w:rPr>
          <w:b/>
          <w:sz w:val="28"/>
          <w:szCs w:val="28"/>
          <w:lang w:val="uk-UA"/>
        </w:rPr>
      </w:pPr>
      <w:r w:rsidRPr="00057B10">
        <w:rPr>
          <w:b/>
          <w:sz w:val="28"/>
          <w:szCs w:val="28"/>
          <w:lang w:val="uk-UA"/>
        </w:rPr>
        <w:t>В.о. Голови</w:t>
      </w:r>
      <w:r w:rsidR="00243A87" w:rsidRPr="00243A87">
        <w:rPr>
          <w:b/>
          <w:sz w:val="28"/>
          <w:szCs w:val="28"/>
          <w:lang w:val="uk-UA"/>
        </w:rPr>
        <w:t xml:space="preserve"> </w:t>
      </w:r>
      <w:r w:rsidR="00243A87" w:rsidRPr="00057B10">
        <w:rPr>
          <w:b/>
          <w:sz w:val="28"/>
          <w:szCs w:val="28"/>
          <w:lang w:val="uk-UA"/>
        </w:rPr>
        <w:t>Державної</w:t>
      </w:r>
    </w:p>
    <w:p w:rsidR="00C6380F" w:rsidRPr="002621C8" w:rsidRDefault="0051169E" w:rsidP="0076466B">
      <w:pPr>
        <w:pStyle w:val="11"/>
        <w:widowControl w:val="0"/>
        <w:jc w:val="both"/>
        <w:rPr>
          <w:b/>
          <w:sz w:val="28"/>
          <w:szCs w:val="28"/>
          <w:lang w:val="uk-UA"/>
        </w:rPr>
      </w:pPr>
      <w:r w:rsidRPr="00057B10">
        <w:rPr>
          <w:b/>
          <w:sz w:val="28"/>
          <w:szCs w:val="28"/>
          <w:lang w:val="uk-UA"/>
        </w:rPr>
        <w:t xml:space="preserve">фіскальної служби України </w:t>
      </w:r>
      <w:r w:rsidRPr="00057B10">
        <w:rPr>
          <w:b/>
          <w:sz w:val="28"/>
          <w:szCs w:val="28"/>
          <w:lang w:val="uk-UA"/>
        </w:rPr>
        <w:tab/>
      </w:r>
      <w:r>
        <w:rPr>
          <w:b/>
          <w:sz w:val="28"/>
          <w:szCs w:val="28"/>
          <w:lang w:val="uk-UA"/>
        </w:rPr>
        <w:t xml:space="preserve"> </w:t>
      </w:r>
      <w:r w:rsidRPr="00057B10">
        <w:rPr>
          <w:b/>
          <w:sz w:val="28"/>
          <w:szCs w:val="28"/>
          <w:lang w:val="uk-UA"/>
        </w:rPr>
        <w:tab/>
      </w:r>
      <w:r w:rsidRPr="00057B10">
        <w:rPr>
          <w:b/>
          <w:sz w:val="28"/>
          <w:szCs w:val="28"/>
          <w:lang w:val="uk-UA"/>
        </w:rPr>
        <w:tab/>
      </w:r>
      <w:r>
        <w:rPr>
          <w:b/>
          <w:sz w:val="28"/>
          <w:szCs w:val="28"/>
          <w:lang w:val="uk-UA"/>
        </w:rPr>
        <w:tab/>
        <w:t xml:space="preserve">   </w:t>
      </w:r>
      <w:r w:rsidR="00243A87">
        <w:rPr>
          <w:b/>
          <w:sz w:val="28"/>
          <w:szCs w:val="28"/>
          <w:lang w:val="uk-UA"/>
        </w:rPr>
        <w:t xml:space="preserve">                   </w:t>
      </w:r>
      <w:r>
        <w:rPr>
          <w:b/>
          <w:sz w:val="28"/>
          <w:szCs w:val="28"/>
          <w:lang w:val="uk-UA"/>
        </w:rPr>
        <w:t xml:space="preserve"> О</w:t>
      </w:r>
      <w:r w:rsidRPr="00057B10">
        <w:rPr>
          <w:b/>
          <w:sz w:val="28"/>
          <w:szCs w:val="28"/>
          <w:lang w:val="uk-UA"/>
        </w:rPr>
        <w:t xml:space="preserve">. </w:t>
      </w:r>
      <w:r>
        <w:rPr>
          <w:b/>
          <w:sz w:val="28"/>
          <w:szCs w:val="28"/>
          <w:lang w:val="uk-UA"/>
        </w:rPr>
        <w:t>ВЛАСОВ</w:t>
      </w:r>
    </w:p>
    <w:p w:rsidR="00920C79" w:rsidRPr="00204D2E" w:rsidRDefault="00920C79" w:rsidP="0076466B">
      <w:pPr>
        <w:widowControl w:val="0"/>
        <w:spacing w:after="0" w:line="240" w:lineRule="auto"/>
        <w:ind w:firstLine="709"/>
        <w:jc w:val="both"/>
        <w:rPr>
          <w:rFonts w:ascii="Times New Roman" w:eastAsia="Times New Roman" w:hAnsi="Times New Roman" w:cs="Times New Roman"/>
          <w:b/>
          <w:sz w:val="28"/>
          <w:szCs w:val="28"/>
          <w:lang w:eastAsia="ru-RU"/>
        </w:rPr>
      </w:pPr>
    </w:p>
    <w:sectPr w:rsidR="00920C79" w:rsidRPr="00204D2E" w:rsidSect="008A64BE">
      <w:headerReference w:type="default" r:id="rId9"/>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D6" w:rsidRDefault="00D216D6" w:rsidP="00CA4AA4">
      <w:pPr>
        <w:spacing w:after="0" w:line="240" w:lineRule="auto"/>
      </w:pPr>
      <w:r>
        <w:separator/>
      </w:r>
    </w:p>
  </w:endnote>
  <w:endnote w:type="continuationSeparator" w:id="0">
    <w:p w:rsidR="00D216D6" w:rsidRDefault="00D216D6" w:rsidP="00CA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D6" w:rsidRDefault="00D216D6" w:rsidP="00CA4AA4">
      <w:pPr>
        <w:spacing w:after="0" w:line="240" w:lineRule="auto"/>
      </w:pPr>
      <w:r>
        <w:separator/>
      </w:r>
    </w:p>
  </w:footnote>
  <w:footnote w:type="continuationSeparator" w:id="0">
    <w:p w:rsidR="00D216D6" w:rsidRDefault="00D216D6" w:rsidP="00CA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65702"/>
      <w:docPartObj>
        <w:docPartGallery w:val="Page Numbers (Top of Page)"/>
        <w:docPartUnique/>
      </w:docPartObj>
    </w:sdtPr>
    <w:sdtEndPr/>
    <w:sdtContent>
      <w:p w:rsidR="00CA4AA4" w:rsidRDefault="00B944A1">
        <w:pPr>
          <w:pStyle w:val="a6"/>
          <w:jc w:val="center"/>
        </w:pPr>
        <w:r>
          <w:fldChar w:fldCharType="begin"/>
        </w:r>
        <w:r w:rsidR="00CA4AA4">
          <w:instrText>PAGE   \* MERGEFORMAT</w:instrText>
        </w:r>
        <w:r>
          <w:fldChar w:fldCharType="separate"/>
        </w:r>
        <w:r w:rsidR="008E7482" w:rsidRPr="008E7482">
          <w:rPr>
            <w:noProof/>
            <w:lang w:val="ru-RU"/>
          </w:rPr>
          <w:t>4</w:t>
        </w:r>
        <w:r>
          <w:fldChar w:fldCharType="end"/>
        </w:r>
      </w:p>
    </w:sdtContent>
  </w:sdt>
  <w:p w:rsidR="00CA4AA4" w:rsidRDefault="00CA4A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573"/>
    <w:multiLevelType w:val="hybridMultilevel"/>
    <w:tmpl w:val="5CFCC2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642D97"/>
    <w:multiLevelType w:val="hybridMultilevel"/>
    <w:tmpl w:val="CAE2C0A6"/>
    <w:lvl w:ilvl="0" w:tplc="CDFCE1B0">
      <w:numFmt w:val="bullet"/>
      <w:lvlText w:val=""/>
      <w:lvlJc w:val="left"/>
      <w:pPr>
        <w:ind w:left="1620" w:hanging="90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B332F7F"/>
    <w:multiLevelType w:val="hybridMultilevel"/>
    <w:tmpl w:val="63FE9D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1FC6473"/>
    <w:multiLevelType w:val="hybridMultilevel"/>
    <w:tmpl w:val="B97AF37C"/>
    <w:lvl w:ilvl="0" w:tplc="CDFCE1B0">
      <w:numFmt w:val="bullet"/>
      <w:lvlText w:val=""/>
      <w:lvlJc w:val="left"/>
      <w:pPr>
        <w:ind w:left="1620" w:hanging="90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B"/>
    <w:rsid w:val="000060E1"/>
    <w:rsid w:val="00006E38"/>
    <w:rsid w:val="00012C3E"/>
    <w:rsid w:val="00014DE5"/>
    <w:rsid w:val="0001666F"/>
    <w:rsid w:val="00017BF2"/>
    <w:rsid w:val="00017C47"/>
    <w:rsid w:val="00021D5B"/>
    <w:rsid w:val="00025628"/>
    <w:rsid w:val="00031036"/>
    <w:rsid w:val="000347BD"/>
    <w:rsid w:val="00036614"/>
    <w:rsid w:val="00042183"/>
    <w:rsid w:val="00056DFF"/>
    <w:rsid w:val="000700B8"/>
    <w:rsid w:val="00070B19"/>
    <w:rsid w:val="00075F8A"/>
    <w:rsid w:val="00082535"/>
    <w:rsid w:val="00093171"/>
    <w:rsid w:val="000A0CAB"/>
    <w:rsid w:val="000A273B"/>
    <w:rsid w:val="000B28E2"/>
    <w:rsid w:val="000B5D98"/>
    <w:rsid w:val="000C01AC"/>
    <w:rsid w:val="000C4D6B"/>
    <w:rsid w:val="000C780E"/>
    <w:rsid w:val="000E05A2"/>
    <w:rsid w:val="000E2B26"/>
    <w:rsid w:val="000E7E1B"/>
    <w:rsid w:val="000F09D2"/>
    <w:rsid w:val="000F422F"/>
    <w:rsid w:val="00102344"/>
    <w:rsid w:val="00104C8E"/>
    <w:rsid w:val="001107E2"/>
    <w:rsid w:val="00110AD5"/>
    <w:rsid w:val="001241BA"/>
    <w:rsid w:val="00126F65"/>
    <w:rsid w:val="00126FD4"/>
    <w:rsid w:val="0013097D"/>
    <w:rsid w:val="0013217B"/>
    <w:rsid w:val="00132F7A"/>
    <w:rsid w:val="00141D8D"/>
    <w:rsid w:val="00147986"/>
    <w:rsid w:val="0015202F"/>
    <w:rsid w:val="001538CA"/>
    <w:rsid w:val="001543BB"/>
    <w:rsid w:val="00155856"/>
    <w:rsid w:val="00156536"/>
    <w:rsid w:val="00160029"/>
    <w:rsid w:val="00161B5C"/>
    <w:rsid w:val="00165A58"/>
    <w:rsid w:val="00167D47"/>
    <w:rsid w:val="00174986"/>
    <w:rsid w:val="0018138A"/>
    <w:rsid w:val="001814A8"/>
    <w:rsid w:val="001836A1"/>
    <w:rsid w:val="001859A1"/>
    <w:rsid w:val="0019743F"/>
    <w:rsid w:val="0019749A"/>
    <w:rsid w:val="00197A4B"/>
    <w:rsid w:val="001A0D46"/>
    <w:rsid w:val="001A3508"/>
    <w:rsid w:val="001A3D3C"/>
    <w:rsid w:val="001A779A"/>
    <w:rsid w:val="001B0FC8"/>
    <w:rsid w:val="001B24A5"/>
    <w:rsid w:val="001B72BB"/>
    <w:rsid w:val="001B7BD4"/>
    <w:rsid w:val="001C2F32"/>
    <w:rsid w:val="001C3CB1"/>
    <w:rsid w:val="001C47BE"/>
    <w:rsid w:val="001C60DD"/>
    <w:rsid w:val="001C61DA"/>
    <w:rsid w:val="001D11D4"/>
    <w:rsid w:val="001D26F0"/>
    <w:rsid w:val="001D324D"/>
    <w:rsid w:val="001D71B5"/>
    <w:rsid w:val="001E2759"/>
    <w:rsid w:val="001E31AA"/>
    <w:rsid w:val="001E4664"/>
    <w:rsid w:val="001F09A3"/>
    <w:rsid w:val="001F0B1C"/>
    <w:rsid w:val="001F2F92"/>
    <w:rsid w:val="001F3D0D"/>
    <w:rsid w:val="001F6089"/>
    <w:rsid w:val="0020068F"/>
    <w:rsid w:val="002026CC"/>
    <w:rsid w:val="00204D2E"/>
    <w:rsid w:val="00217479"/>
    <w:rsid w:val="002207EC"/>
    <w:rsid w:val="0022083C"/>
    <w:rsid w:val="002210F0"/>
    <w:rsid w:val="0022343C"/>
    <w:rsid w:val="002252D9"/>
    <w:rsid w:val="00225988"/>
    <w:rsid w:val="0023266F"/>
    <w:rsid w:val="0023539E"/>
    <w:rsid w:val="00237E97"/>
    <w:rsid w:val="00241EF5"/>
    <w:rsid w:val="00243A87"/>
    <w:rsid w:val="002440BF"/>
    <w:rsid w:val="0024695C"/>
    <w:rsid w:val="00246C1E"/>
    <w:rsid w:val="0025430D"/>
    <w:rsid w:val="00260986"/>
    <w:rsid w:val="002621C8"/>
    <w:rsid w:val="00262AAA"/>
    <w:rsid w:val="002651FD"/>
    <w:rsid w:val="0027223E"/>
    <w:rsid w:val="002756D6"/>
    <w:rsid w:val="00282936"/>
    <w:rsid w:val="00283C3B"/>
    <w:rsid w:val="002844EB"/>
    <w:rsid w:val="00287125"/>
    <w:rsid w:val="002873F5"/>
    <w:rsid w:val="0029157F"/>
    <w:rsid w:val="0029449D"/>
    <w:rsid w:val="002A64D6"/>
    <w:rsid w:val="002A6CC0"/>
    <w:rsid w:val="002B08C9"/>
    <w:rsid w:val="002B1918"/>
    <w:rsid w:val="002B2667"/>
    <w:rsid w:val="002B45D5"/>
    <w:rsid w:val="002B5E60"/>
    <w:rsid w:val="002C429C"/>
    <w:rsid w:val="002C4B9D"/>
    <w:rsid w:val="002C4C96"/>
    <w:rsid w:val="002C738C"/>
    <w:rsid w:val="002D12D6"/>
    <w:rsid w:val="002D41C5"/>
    <w:rsid w:val="002E2E2E"/>
    <w:rsid w:val="002E343E"/>
    <w:rsid w:val="002E522C"/>
    <w:rsid w:val="002E74DE"/>
    <w:rsid w:val="002F174B"/>
    <w:rsid w:val="002F2A8C"/>
    <w:rsid w:val="002F72EB"/>
    <w:rsid w:val="003018FC"/>
    <w:rsid w:val="00305C97"/>
    <w:rsid w:val="00307F81"/>
    <w:rsid w:val="00310F1B"/>
    <w:rsid w:val="00312DA3"/>
    <w:rsid w:val="00312E62"/>
    <w:rsid w:val="00313064"/>
    <w:rsid w:val="00315A8B"/>
    <w:rsid w:val="00322C57"/>
    <w:rsid w:val="00322D6C"/>
    <w:rsid w:val="00327347"/>
    <w:rsid w:val="003321A3"/>
    <w:rsid w:val="0033319B"/>
    <w:rsid w:val="00333F6B"/>
    <w:rsid w:val="00335A9B"/>
    <w:rsid w:val="00340F71"/>
    <w:rsid w:val="00345E2A"/>
    <w:rsid w:val="0035465A"/>
    <w:rsid w:val="00356F80"/>
    <w:rsid w:val="00364878"/>
    <w:rsid w:val="003661E9"/>
    <w:rsid w:val="00367612"/>
    <w:rsid w:val="0037015D"/>
    <w:rsid w:val="00382AB4"/>
    <w:rsid w:val="00390400"/>
    <w:rsid w:val="00396FEE"/>
    <w:rsid w:val="003A0171"/>
    <w:rsid w:val="003A4294"/>
    <w:rsid w:val="003A71A6"/>
    <w:rsid w:val="003B00A0"/>
    <w:rsid w:val="003B33D5"/>
    <w:rsid w:val="003B7590"/>
    <w:rsid w:val="003C2D25"/>
    <w:rsid w:val="003C31FF"/>
    <w:rsid w:val="003C3363"/>
    <w:rsid w:val="003C3B8D"/>
    <w:rsid w:val="003E4A7C"/>
    <w:rsid w:val="003F3910"/>
    <w:rsid w:val="003F54FA"/>
    <w:rsid w:val="004038D7"/>
    <w:rsid w:val="00403E77"/>
    <w:rsid w:val="00404373"/>
    <w:rsid w:val="00411DFE"/>
    <w:rsid w:val="00423333"/>
    <w:rsid w:val="004240FE"/>
    <w:rsid w:val="00425A59"/>
    <w:rsid w:val="00427F5F"/>
    <w:rsid w:val="00431DEE"/>
    <w:rsid w:val="004327F1"/>
    <w:rsid w:val="004352B0"/>
    <w:rsid w:val="00440D1B"/>
    <w:rsid w:val="0044403E"/>
    <w:rsid w:val="00444EEA"/>
    <w:rsid w:val="00446D1A"/>
    <w:rsid w:val="00455FB6"/>
    <w:rsid w:val="00457787"/>
    <w:rsid w:val="00463CB1"/>
    <w:rsid w:val="00474E5F"/>
    <w:rsid w:val="004750FA"/>
    <w:rsid w:val="00476726"/>
    <w:rsid w:val="00480072"/>
    <w:rsid w:val="004818BF"/>
    <w:rsid w:val="00483D1C"/>
    <w:rsid w:val="00483F58"/>
    <w:rsid w:val="00490404"/>
    <w:rsid w:val="0049223C"/>
    <w:rsid w:val="00492B3A"/>
    <w:rsid w:val="00492C22"/>
    <w:rsid w:val="0049312F"/>
    <w:rsid w:val="00494149"/>
    <w:rsid w:val="004A3611"/>
    <w:rsid w:val="004A67F2"/>
    <w:rsid w:val="004C421F"/>
    <w:rsid w:val="004D2F2A"/>
    <w:rsid w:val="004D3FCA"/>
    <w:rsid w:val="004D5665"/>
    <w:rsid w:val="004D659E"/>
    <w:rsid w:val="004E0187"/>
    <w:rsid w:val="004E48DE"/>
    <w:rsid w:val="004F0A73"/>
    <w:rsid w:val="004F37A3"/>
    <w:rsid w:val="004F472F"/>
    <w:rsid w:val="00504261"/>
    <w:rsid w:val="0051169E"/>
    <w:rsid w:val="00514405"/>
    <w:rsid w:val="005159DE"/>
    <w:rsid w:val="00521072"/>
    <w:rsid w:val="00521A1A"/>
    <w:rsid w:val="00525338"/>
    <w:rsid w:val="00525476"/>
    <w:rsid w:val="005259F3"/>
    <w:rsid w:val="00525B99"/>
    <w:rsid w:val="005326E9"/>
    <w:rsid w:val="00542D7D"/>
    <w:rsid w:val="0054721A"/>
    <w:rsid w:val="005551A1"/>
    <w:rsid w:val="00561169"/>
    <w:rsid w:val="00565ADF"/>
    <w:rsid w:val="00575351"/>
    <w:rsid w:val="00584DF8"/>
    <w:rsid w:val="00591CB5"/>
    <w:rsid w:val="005940F2"/>
    <w:rsid w:val="0059544F"/>
    <w:rsid w:val="00595B4F"/>
    <w:rsid w:val="00597AD1"/>
    <w:rsid w:val="005A040B"/>
    <w:rsid w:val="005A09C0"/>
    <w:rsid w:val="005A318C"/>
    <w:rsid w:val="005A44FB"/>
    <w:rsid w:val="005A528F"/>
    <w:rsid w:val="005B76F1"/>
    <w:rsid w:val="005C342E"/>
    <w:rsid w:val="005C4354"/>
    <w:rsid w:val="005C4646"/>
    <w:rsid w:val="005C4DAB"/>
    <w:rsid w:val="005D377B"/>
    <w:rsid w:val="005D3DB7"/>
    <w:rsid w:val="005D4336"/>
    <w:rsid w:val="005E3568"/>
    <w:rsid w:val="005E6A22"/>
    <w:rsid w:val="005F1090"/>
    <w:rsid w:val="005F157C"/>
    <w:rsid w:val="005F40E5"/>
    <w:rsid w:val="0060165E"/>
    <w:rsid w:val="00602696"/>
    <w:rsid w:val="00602ACE"/>
    <w:rsid w:val="00604FE2"/>
    <w:rsid w:val="006120B6"/>
    <w:rsid w:val="00613249"/>
    <w:rsid w:val="00613602"/>
    <w:rsid w:val="00613C73"/>
    <w:rsid w:val="0061547E"/>
    <w:rsid w:val="0061585A"/>
    <w:rsid w:val="00615BF2"/>
    <w:rsid w:val="00615CEB"/>
    <w:rsid w:val="00626053"/>
    <w:rsid w:val="00633F30"/>
    <w:rsid w:val="00634BC1"/>
    <w:rsid w:val="006350E4"/>
    <w:rsid w:val="00641A74"/>
    <w:rsid w:val="0065159B"/>
    <w:rsid w:val="006525CA"/>
    <w:rsid w:val="00660361"/>
    <w:rsid w:val="00661536"/>
    <w:rsid w:val="0066310C"/>
    <w:rsid w:val="00665330"/>
    <w:rsid w:val="00667CDE"/>
    <w:rsid w:val="00670E32"/>
    <w:rsid w:val="00672672"/>
    <w:rsid w:val="00682AA0"/>
    <w:rsid w:val="0068653F"/>
    <w:rsid w:val="0068787A"/>
    <w:rsid w:val="00692A49"/>
    <w:rsid w:val="006A3641"/>
    <w:rsid w:val="006A6DA1"/>
    <w:rsid w:val="006B077A"/>
    <w:rsid w:val="006B5DBB"/>
    <w:rsid w:val="006B7FBB"/>
    <w:rsid w:val="006C03AC"/>
    <w:rsid w:val="006C17D1"/>
    <w:rsid w:val="006C2590"/>
    <w:rsid w:val="006C297C"/>
    <w:rsid w:val="006C488A"/>
    <w:rsid w:val="006C4FDA"/>
    <w:rsid w:val="006C554E"/>
    <w:rsid w:val="006D0E5D"/>
    <w:rsid w:val="006D48DC"/>
    <w:rsid w:val="006E0469"/>
    <w:rsid w:val="006F52D6"/>
    <w:rsid w:val="006F5A7F"/>
    <w:rsid w:val="00702D8C"/>
    <w:rsid w:val="00702EFB"/>
    <w:rsid w:val="00702F8A"/>
    <w:rsid w:val="007067B1"/>
    <w:rsid w:val="00706DD5"/>
    <w:rsid w:val="0071121E"/>
    <w:rsid w:val="0071453B"/>
    <w:rsid w:val="00716061"/>
    <w:rsid w:val="00716A74"/>
    <w:rsid w:val="007200B6"/>
    <w:rsid w:val="007254FE"/>
    <w:rsid w:val="00727F86"/>
    <w:rsid w:val="00731B92"/>
    <w:rsid w:val="00732D2D"/>
    <w:rsid w:val="00742A9F"/>
    <w:rsid w:val="0074631F"/>
    <w:rsid w:val="00752A80"/>
    <w:rsid w:val="00757465"/>
    <w:rsid w:val="0076466B"/>
    <w:rsid w:val="00765639"/>
    <w:rsid w:val="007810E9"/>
    <w:rsid w:val="007839E4"/>
    <w:rsid w:val="00786CCB"/>
    <w:rsid w:val="00792819"/>
    <w:rsid w:val="0079479F"/>
    <w:rsid w:val="00794EF8"/>
    <w:rsid w:val="00797C61"/>
    <w:rsid w:val="007A06CE"/>
    <w:rsid w:val="007A661B"/>
    <w:rsid w:val="007B0C9C"/>
    <w:rsid w:val="007B228A"/>
    <w:rsid w:val="007B780C"/>
    <w:rsid w:val="007C2634"/>
    <w:rsid w:val="007D59B7"/>
    <w:rsid w:val="007E0CC5"/>
    <w:rsid w:val="007E1BC8"/>
    <w:rsid w:val="007E2B2D"/>
    <w:rsid w:val="007E48B1"/>
    <w:rsid w:val="00801353"/>
    <w:rsid w:val="00805074"/>
    <w:rsid w:val="00811424"/>
    <w:rsid w:val="0081426C"/>
    <w:rsid w:val="00815132"/>
    <w:rsid w:val="00816AA0"/>
    <w:rsid w:val="008177B6"/>
    <w:rsid w:val="00817E0F"/>
    <w:rsid w:val="008240B6"/>
    <w:rsid w:val="0083052D"/>
    <w:rsid w:val="00832B2C"/>
    <w:rsid w:val="0083395E"/>
    <w:rsid w:val="008455B9"/>
    <w:rsid w:val="008516E9"/>
    <w:rsid w:val="00852467"/>
    <w:rsid w:val="00853750"/>
    <w:rsid w:val="00855CFA"/>
    <w:rsid w:val="0086195B"/>
    <w:rsid w:val="00862899"/>
    <w:rsid w:val="0086363A"/>
    <w:rsid w:val="0087335F"/>
    <w:rsid w:val="0087651A"/>
    <w:rsid w:val="00882B1D"/>
    <w:rsid w:val="00884183"/>
    <w:rsid w:val="00890447"/>
    <w:rsid w:val="00894A2E"/>
    <w:rsid w:val="00897372"/>
    <w:rsid w:val="008A10CB"/>
    <w:rsid w:val="008A64BE"/>
    <w:rsid w:val="008B3644"/>
    <w:rsid w:val="008B4B9B"/>
    <w:rsid w:val="008C08E3"/>
    <w:rsid w:val="008C1139"/>
    <w:rsid w:val="008C673A"/>
    <w:rsid w:val="008D06BC"/>
    <w:rsid w:val="008D4930"/>
    <w:rsid w:val="008D7F51"/>
    <w:rsid w:val="008E362F"/>
    <w:rsid w:val="008E5474"/>
    <w:rsid w:val="008E6C1A"/>
    <w:rsid w:val="008E7482"/>
    <w:rsid w:val="008E7A50"/>
    <w:rsid w:val="008F173B"/>
    <w:rsid w:val="008F62B0"/>
    <w:rsid w:val="00907F12"/>
    <w:rsid w:val="009171C9"/>
    <w:rsid w:val="00920C79"/>
    <w:rsid w:val="00920F60"/>
    <w:rsid w:val="00924F92"/>
    <w:rsid w:val="0092743C"/>
    <w:rsid w:val="00927E0A"/>
    <w:rsid w:val="00931298"/>
    <w:rsid w:val="00940A64"/>
    <w:rsid w:val="009438CB"/>
    <w:rsid w:val="00944512"/>
    <w:rsid w:val="0094642A"/>
    <w:rsid w:val="00950F39"/>
    <w:rsid w:val="0095483C"/>
    <w:rsid w:val="00957811"/>
    <w:rsid w:val="0096100C"/>
    <w:rsid w:val="009671CF"/>
    <w:rsid w:val="0097207D"/>
    <w:rsid w:val="009731BD"/>
    <w:rsid w:val="009761B6"/>
    <w:rsid w:val="00980513"/>
    <w:rsid w:val="0098085C"/>
    <w:rsid w:val="00986F19"/>
    <w:rsid w:val="00996ACA"/>
    <w:rsid w:val="009B1356"/>
    <w:rsid w:val="009B2585"/>
    <w:rsid w:val="009B321B"/>
    <w:rsid w:val="009B4E73"/>
    <w:rsid w:val="009B6AAB"/>
    <w:rsid w:val="009C026A"/>
    <w:rsid w:val="009D5252"/>
    <w:rsid w:val="009D7A70"/>
    <w:rsid w:val="009E33C7"/>
    <w:rsid w:val="009E7E79"/>
    <w:rsid w:val="009F1089"/>
    <w:rsid w:val="009F2BF0"/>
    <w:rsid w:val="00A0126B"/>
    <w:rsid w:val="00A03053"/>
    <w:rsid w:val="00A050B5"/>
    <w:rsid w:val="00A1002A"/>
    <w:rsid w:val="00A1154A"/>
    <w:rsid w:val="00A118B2"/>
    <w:rsid w:val="00A12711"/>
    <w:rsid w:val="00A25493"/>
    <w:rsid w:val="00A25B1F"/>
    <w:rsid w:val="00A2700D"/>
    <w:rsid w:val="00A3356E"/>
    <w:rsid w:val="00A41470"/>
    <w:rsid w:val="00A438A8"/>
    <w:rsid w:val="00A4500D"/>
    <w:rsid w:val="00A45364"/>
    <w:rsid w:val="00A5322B"/>
    <w:rsid w:val="00A53720"/>
    <w:rsid w:val="00A564CD"/>
    <w:rsid w:val="00A6011A"/>
    <w:rsid w:val="00A6350B"/>
    <w:rsid w:val="00A65620"/>
    <w:rsid w:val="00A667D0"/>
    <w:rsid w:val="00A66A9A"/>
    <w:rsid w:val="00A719AB"/>
    <w:rsid w:val="00A762D6"/>
    <w:rsid w:val="00A81C73"/>
    <w:rsid w:val="00A8532A"/>
    <w:rsid w:val="00A942AB"/>
    <w:rsid w:val="00A9726C"/>
    <w:rsid w:val="00AA5BB0"/>
    <w:rsid w:val="00AA606C"/>
    <w:rsid w:val="00AB0813"/>
    <w:rsid w:val="00AB08EC"/>
    <w:rsid w:val="00AB246F"/>
    <w:rsid w:val="00AB7073"/>
    <w:rsid w:val="00AC13E9"/>
    <w:rsid w:val="00AC5469"/>
    <w:rsid w:val="00AC76B5"/>
    <w:rsid w:val="00AD733C"/>
    <w:rsid w:val="00AD7E1C"/>
    <w:rsid w:val="00AE09F3"/>
    <w:rsid w:val="00AE7B48"/>
    <w:rsid w:val="00AF16C0"/>
    <w:rsid w:val="00AF1FAC"/>
    <w:rsid w:val="00AF40BD"/>
    <w:rsid w:val="00AF644F"/>
    <w:rsid w:val="00B061A1"/>
    <w:rsid w:val="00B10381"/>
    <w:rsid w:val="00B13783"/>
    <w:rsid w:val="00B13EF8"/>
    <w:rsid w:val="00B14331"/>
    <w:rsid w:val="00B25D89"/>
    <w:rsid w:val="00B26C73"/>
    <w:rsid w:val="00B26CD4"/>
    <w:rsid w:val="00B27782"/>
    <w:rsid w:val="00B33A58"/>
    <w:rsid w:val="00B347AB"/>
    <w:rsid w:val="00B35528"/>
    <w:rsid w:val="00B36D5E"/>
    <w:rsid w:val="00B424E9"/>
    <w:rsid w:val="00B43C1E"/>
    <w:rsid w:val="00B4617F"/>
    <w:rsid w:val="00B46579"/>
    <w:rsid w:val="00B51F11"/>
    <w:rsid w:val="00B528C2"/>
    <w:rsid w:val="00B5350B"/>
    <w:rsid w:val="00B60DBF"/>
    <w:rsid w:val="00B65424"/>
    <w:rsid w:val="00B7581F"/>
    <w:rsid w:val="00B77014"/>
    <w:rsid w:val="00B83DAC"/>
    <w:rsid w:val="00B87016"/>
    <w:rsid w:val="00B944A1"/>
    <w:rsid w:val="00B94A6E"/>
    <w:rsid w:val="00B950C7"/>
    <w:rsid w:val="00B96295"/>
    <w:rsid w:val="00B96515"/>
    <w:rsid w:val="00BA204B"/>
    <w:rsid w:val="00BA4F59"/>
    <w:rsid w:val="00BA594D"/>
    <w:rsid w:val="00BA650F"/>
    <w:rsid w:val="00BA687E"/>
    <w:rsid w:val="00BB1148"/>
    <w:rsid w:val="00BB5E49"/>
    <w:rsid w:val="00BC0898"/>
    <w:rsid w:val="00BD6009"/>
    <w:rsid w:val="00BD60A7"/>
    <w:rsid w:val="00BD6799"/>
    <w:rsid w:val="00BE11B6"/>
    <w:rsid w:val="00BE3968"/>
    <w:rsid w:val="00BE6090"/>
    <w:rsid w:val="00BF4B53"/>
    <w:rsid w:val="00BF7765"/>
    <w:rsid w:val="00C01BDB"/>
    <w:rsid w:val="00C057D2"/>
    <w:rsid w:val="00C058F3"/>
    <w:rsid w:val="00C1115C"/>
    <w:rsid w:val="00C13E2D"/>
    <w:rsid w:val="00C15AC7"/>
    <w:rsid w:val="00C20B6B"/>
    <w:rsid w:val="00C31F47"/>
    <w:rsid w:val="00C34038"/>
    <w:rsid w:val="00C350A0"/>
    <w:rsid w:val="00C35597"/>
    <w:rsid w:val="00C366DE"/>
    <w:rsid w:val="00C36F8A"/>
    <w:rsid w:val="00C375FB"/>
    <w:rsid w:val="00C5547E"/>
    <w:rsid w:val="00C56F24"/>
    <w:rsid w:val="00C60575"/>
    <w:rsid w:val="00C63693"/>
    <w:rsid w:val="00C6380F"/>
    <w:rsid w:val="00C63F0B"/>
    <w:rsid w:val="00C660DB"/>
    <w:rsid w:val="00C72C42"/>
    <w:rsid w:val="00C77438"/>
    <w:rsid w:val="00C92DB3"/>
    <w:rsid w:val="00CA00DE"/>
    <w:rsid w:val="00CA2525"/>
    <w:rsid w:val="00CA2F46"/>
    <w:rsid w:val="00CA4AA4"/>
    <w:rsid w:val="00CA797D"/>
    <w:rsid w:val="00CB5A0E"/>
    <w:rsid w:val="00CC0B5F"/>
    <w:rsid w:val="00CC0E92"/>
    <w:rsid w:val="00CC313B"/>
    <w:rsid w:val="00CC4539"/>
    <w:rsid w:val="00CC6FE5"/>
    <w:rsid w:val="00CD2463"/>
    <w:rsid w:val="00CD7AAF"/>
    <w:rsid w:val="00CE026D"/>
    <w:rsid w:val="00CE266F"/>
    <w:rsid w:val="00CE38E5"/>
    <w:rsid w:val="00CF1A8F"/>
    <w:rsid w:val="00CF1D47"/>
    <w:rsid w:val="00CF79A6"/>
    <w:rsid w:val="00D02AED"/>
    <w:rsid w:val="00D05DAB"/>
    <w:rsid w:val="00D10C9D"/>
    <w:rsid w:val="00D117F5"/>
    <w:rsid w:val="00D11F94"/>
    <w:rsid w:val="00D12100"/>
    <w:rsid w:val="00D2087D"/>
    <w:rsid w:val="00D209FD"/>
    <w:rsid w:val="00D216D6"/>
    <w:rsid w:val="00D26E33"/>
    <w:rsid w:val="00D33975"/>
    <w:rsid w:val="00D4680E"/>
    <w:rsid w:val="00D531A8"/>
    <w:rsid w:val="00D53924"/>
    <w:rsid w:val="00D60065"/>
    <w:rsid w:val="00D60A66"/>
    <w:rsid w:val="00D64064"/>
    <w:rsid w:val="00D670FE"/>
    <w:rsid w:val="00D71006"/>
    <w:rsid w:val="00D72796"/>
    <w:rsid w:val="00D8099B"/>
    <w:rsid w:val="00D82E3D"/>
    <w:rsid w:val="00D83CE2"/>
    <w:rsid w:val="00D90AB1"/>
    <w:rsid w:val="00D938DB"/>
    <w:rsid w:val="00D95E14"/>
    <w:rsid w:val="00D96322"/>
    <w:rsid w:val="00DA4692"/>
    <w:rsid w:val="00DA5603"/>
    <w:rsid w:val="00DB1DD8"/>
    <w:rsid w:val="00DC0406"/>
    <w:rsid w:val="00DC138D"/>
    <w:rsid w:val="00DC2D8C"/>
    <w:rsid w:val="00DC6927"/>
    <w:rsid w:val="00DC77C2"/>
    <w:rsid w:val="00DD74F4"/>
    <w:rsid w:val="00DE1D16"/>
    <w:rsid w:val="00DF5275"/>
    <w:rsid w:val="00DF69DD"/>
    <w:rsid w:val="00E01D77"/>
    <w:rsid w:val="00E02296"/>
    <w:rsid w:val="00E04E23"/>
    <w:rsid w:val="00E10036"/>
    <w:rsid w:val="00E128A4"/>
    <w:rsid w:val="00E207DD"/>
    <w:rsid w:val="00E279D6"/>
    <w:rsid w:val="00E32E08"/>
    <w:rsid w:val="00E33562"/>
    <w:rsid w:val="00E33BB9"/>
    <w:rsid w:val="00E352CF"/>
    <w:rsid w:val="00E41634"/>
    <w:rsid w:val="00E43853"/>
    <w:rsid w:val="00E448FE"/>
    <w:rsid w:val="00E51F04"/>
    <w:rsid w:val="00E610F7"/>
    <w:rsid w:val="00E6617F"/>
    <w:rsid w:val="00E67C37"/>
    <w:rsid w:val="00E86E2C"/>
    <w:rsid w:val="00E9152C"/>
    <w:rsid w:val="00EC4F2D"/>
    <w:rsid w:val="00EC691F"/>
    <w:rsid w:val="00ED63BE"/>
    <w:rsid w:val="00EE0CC3"/>
    <w:rsid w:val="00EE172A"/>
    <w:rsid w:val="00EE507E"/>
    <w:rsid w:val="00EF2F40"/>
    <w:rsid w:val="00EF329E"/>
    <w:rsid w:val="00EF473C"/>
    <w:rsid w:val="00EF6654"/>
    <w:rsid w:val="00F02660"/>
    <w:rsid w:val="00F11AAD"/>
    <w:rsid w:val="00F14214"/>
    <w:rsid w:val="00F23602"/>
    <w:rsid w:val="00F2485F"/>
    <w:rsid w:val="00F34BF0"/>
    <w:rsid w:val="00F376AA"/>
    <w:rsid w:val="00F40D39"/>
    <w:rsid w:val="00F41777"/>
    <w:rsid w:val="00F44047"/>
    <w:rsid w:val="00F47B9E"/>
    <w:rsid w:val="00F50055"/>
    <w:rsid w:val="00F50695"/>
    <w:rsid w:val="00F63072"/>
    <w:rsid w:val="00F72DF7"/>
    <w:rsid w:val="00F74351"/>
    <w:rsid w:val="00F758B1"/>
    <w:rsid w:val="00F82C16"/>
    <w:rsid w:val="00F865BB"/>
    <w:rsid w:val="00F91BF4"/>
    <w:rsid w:val="00F92A71"/>
    <w:rsid w:val="00F943C3"/>
    <w:rsid w:val="00FA2FFC"/>
    <w:rsid w:val="00FA3D50"/>
    <w:rsid w:val="00FA465A"/>
    <w:rsid w:val="00FA683D"/>
    <w:rsid w:val="00FA79D6"/>
    <w:rsid w:val="00FA7F7D"/>
    <w:rsid w:val="00FB12EF"/>
    <w:rsid w:val="00FB13B1"/>
    <w:rsid w:val="00FC3662"/>
    <w:rsid w:val="00FC4A79"/>
    <w:rsid w:val="00FD16EF"/>
    <w:rsid w:val="00FE4AF4"/>
    <w:rsid w:val="00FE757A"/>
    <w:rsid w:val="00FF13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22D6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DE"/>
    <w:pPr>
      <w:ind w:left="720"/>
      <w:contextualSpacing/>
    </w:pPr>
  </w:style>
  <w:style w:type="table" w:styleId="a4">
    <w:name w:val="Table Grid"/>
    <w:basedOn w:val="a1"/>
    <w:uiPriority w:val="59"/>
    <w:rsid w:val="00C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rsid w:val="00A450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5"/>
    <w:locked/>
    <w:rsid w:val="00A4500D"/>
    <w:rPr>
      <w:rFonts w:ascii="Times New Roman" w:eastAsia="Times New Roman" w:hAnsi="Times New Roman" w:cs="Times New Roman"/>
      <w:color w:val="000000"/>
      <w:sz w:val="24"/>
      <w:szCs w:val="24"/>
      <w:lang w:eastAsia="ru-RU"/>
    </w:rPr>
  </w:style>
  <w:style w:type="table" w:customStyle="1" w:styleId="10">
    <w:name w:val="Сетка таблицы1"/>
    <w:basedOn w:val="a1"/>
    <w:next w:val="a4"/>
    <w:uiPriority w:val="59"/>
    <w:rsid w:val="00542D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36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A254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B26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11F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2D6C"/>
    <w:rPr>
      <w:rFonts w:ascii="Arial" w:eastAsia="Times New Roman" w:hAnsi="Arial" w:cs="Arial"/>
      <w:b/>
      <w:bCs/>
      <w:sz w:val="26"/>
      <w:szCs w:val="26"/>
      <w:lang w:eastAsia="ru-RU"/>
    </w:rPr>
  </w:style>
  <w:style w:type="paragraph" w:styleId="HTML">
    <w:name w:val="HTML Preformatted"/>
    <w:basedOn w:val="a"/>
    <w:link w:val="HTML0"/>
    <w:uiPriority w:val="99"/>
    <w:rsid w:val="00BF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lang w:val="ru-RU" w:eastAsia="zh-CN" w:bidi="hi-IN"/>
    </w:rPr>
  </w:style>
  <w:style w:type="character" w:customStyle="1" w:styleId="HTML0">
    <w:name w:val="Стандартный HTML Знак"/>
    <w:basedOn w:val="a0"/>
    <w:link w:val="HTML"/>
    <w:uiPriority w:val="99"/>
    <w:rsid w:val="00BF4B53"/>
    <w:rPr>
      <w:rFonts w:ascii="Courier New" w:eastAsia="Times New Roman" w:hAnsi="Courier New" w:cs="Courier New"/>
      <w:color w:val="000000"/>
      <w:kern w:val="1"/>
      <w:lang w:val="ru-RU" w:eastAsia="zh-CN" w:bidi="hi-IN"/>
    </w:rPr>
  </w:style>
  <w:style w:type="table" w:customStyle="1" w:styleId="6">
    <w:name w:val="Сетка таблицы6"/>
    <w:basedOn w:val="a1"/>
    <w:next w:val="a4"/>
    <w:uiPriority w:val="59"/>
    <w:rsid w:val="00F11A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4AA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4AA4"/>
  </w:style>
  <w:style w:type="paragraph" w:styleId="a8">
    <w:name w:val="footer"/>
    <w:basedOn w:val="a"/>
    <w:link w:val="a9"/>
    <w:uiPriority w:val="99"/>
    <w:unhideWhenUsed/>
    <w:rsid w:val="00CA4AA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A4AA4"/>
  </w:style>
  <w:style w:type="paragraph" w:styleId="aa">
    <w:name w:val="Balloon Text"/>
    <w:basedOn w:val="a"/>
    <w:link w:val="ab"/>
    <w:uiPriority w:val="99"/>
    <w:semiHidden/>
    <w:unhideWhenUsed/>
    <w:rsid w:val="00ED63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63BE"/>
    <w:rPr>
      <w:rFonts w:ascii="Tahoma" w:hAnsi="Tahoma" w:cs="Tahoma"/>
      <w:sz w:val="16"/>
      <w:szCs w:val="16"/>
    </w:rPr>
  </w:style>
  <w:style w:type="character" w:customStyle="1" w:styleId="FontStyle12">
    <w:name w:val="Font Style12"/>
    <w:uiPriority w:val="99"/>
    <w:rsid w:val="00F72DF7"/>
    <w:rPr>
      <w:rFonts w:ascii="Times New Roman" w:hAnsi="Times New Roman" w:cs="Times New Roman"/>
      <w:b/>
      <w:bCs/>
      <w:color w:val="000000"/>
      <w:sz w:val="18"/>
      <w:szCs w:val="18"/>
    </w:rPr>
  </w:style>
  <w:style w:type="paragraph" w:customStyle="1" w:styleId="11">
    <w:name w:val="Обычный1"/>
    <w:rsid w:val="007E1BC8"/>
    <w:pPr>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22D6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DE"/>
    <w:pPr>
      <w:ind w:left="720"/>
      <w:contextualSpacing/>
    </w:pPr>
  </w:style>
  <w:style w:type="table" w:styleId="a4">
    <w:name w:val="Table Grid"/>
    <w:basedOn w:val="a1"/>
    <w:uiPriority w:val="59"/>
    <w:rsid w:val="00C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rsid w:val="00A450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5"/>
    <w:locked/>
    <w:rsid w:val="00A4500D"/>
    <w:rPr>
      <w:rFonts w:ascii="Times New Roman" w:eastAsia="Times New Roman" w:hAnsi="Times New Roman" w:cs="Times New Roman"/>
      <w:color w:val="000000"/>
      <w:sz w:val="24"/>
      <w:szCs w:val="24"/>
      <w:lang w:eastAsia="ru-RU"/>
    </w:rPr>
  </w:style>
  <w:style w:type="table" w:customStyle="1" w:styleId="10">
    <w:name w:val="Сетка таблицы1"/>
    <w:basedOn w:val="a1"/>
    <w:next w:val="a4"/>
    <w:uiPriority w:val="59"/>
    <w:rsid w:val="00542D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36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A254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B26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11F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2D6C"/>
    <w:rPr>
      <w:rFonts w:ascii="Arial" w:eastAsia="Times New Roman" w:hAnsi="Arial" w:cs="Arial"/>
      <w:b/>
      <w:bCs/>
      <w:sz w:val="26"/>
      <w:szCs w:val="26"/>
      <w:lang w:eastAsia="ru-RU"/>
    </w:rPr>
  </w:style>
  <w:style w:type="paragraph" w:styleId="HTML">
    <w:name w:val="HTML Preformatted"/>
    <w:basedOn w:val="a"/>
    <w:link w:val="HTML0"/>
    <w:uiPriority w:val="99"/>
    <w:rsid w:val="00BF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lang w:val="ru-RU" w:eastAsia="zh-CN" w:bidi="hi-IN"/>
    </w:rPr>
  </w:style>
  <w:style w:type="character" w:customStyle="1" w:styleId="HTML0">
    <w:name w:val="Стандартный HTML Знак"/>
    <w:basedOn w:val="a0"/>
    <w:link w:val="HTML"/>
    <w:uiPriority w:val="99"/>
    <w:rsid w:val="00BF4B53"/>
    <w:rPr>
      <w:rFonts w:ascii="Courier New" w:eastAsia="Times New Roman" w:hAnsi="Courier New" w:cs="Courier New"/>
      <w:color w:val="000000"/>
      <w:kern w:val="1"/>
      <w:lang w:val="ru-RU" w:eastAsia="zh-CN" w:bidi="hi-IN"/>
    </w:rPr>
  </w:style>
  <w:style w:type="table" w:customStyle="1" w:styleId="6">
    <w:name w:val="Сетка таблицы6"/>
    <w:basedOn w:val="a1"/>
    <w:next w:val="a4"/>
    <w:uiPriority w:val="59"/>
    <w:rsid w:val="00F11A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4AA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4AA4"/>
  </w:style>
  <w:style w:type="paragraph" w:styleId="a8">
    <w:name w:val="footer"/>
    <w:basedOn w:val="a"/>
    <w:link w:val="a9"/>
    <w:uiPriority w:val="99"/>
    <w:unhideWhenUsed/>
    <w:rsid w:val="00CA4AA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A4AA4"/>
  </w:style>
  <w:style w:type="paragraph" w:styleId="aa">
    <w:name w:val="Balloon Text"/>
    <w:basedOn w:val="a"/>
    <w:link w:val="ab"/>
    <w:uiPriority w:val="99"/>
    <w:semiHidden/>
    <w:unhideWhenUsed/>
    <w:rsid w:val="00ED63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63BE"/>
    <w:rPr>
      <w:rFonts w:ascii="Tahoma" w:hAnsi="Tahoma" w:cs="Tahoma"/>
      <w:sz w:val="16"/>
      <w:szCs w:val="16"/>
    </w:rPr>
  </w:style>
  <w:style w:type="character" w:customStyle="1" w:styleId="FontStyle12">
    <w:name w:val="Font Style12"/>
    <w:uiPriority w:val="99"/>
    <w:rsid w:val="00F72DF7"/>
    <w:rPr>
      <w:rFonts w:ascii="Times New Roman" w:hAnsi="Times New Roman" w:cs="Times New Roman"/>
      <w:b/>
      <w:bCs/>
      <w:color w:val="000000"/>
      <w:sz w:val="18"/>
      <w:szCs w:val="18"/>
    </w:rPr>
  </w:style>
  <w:style w:type="paragraph" w:customStyle="1" w:styleId="11">
    <w:name w:val="Обычный1"/>
    <w:rsid w:val="007E1BC8"/>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D7C5-101A-4F2E-B4A3-514CEFB8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7</Pages>
  <Words>8384</Words>
  <Characters>4779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БАКУМЕНКО АЛЬОНА ЯРОСЛАВІВНА</dc:creator>
  <cp:lastModifiedBy>БОЧКО  ІРИНА  АНАТОЛІЇВНА</cp:lastModifiedBy>
  <cp:revision>139</cp:revision>
  <cp:lastPrinted>2019-04-17T12:43:00Z</cp:lastPrinted>
  <dcterms:created xsi:type="dcterms:W3CDTF">2019-04-08T07:30:00Z</dcterms:created>
  <dcterms:modified xsi:type="dcterms:W3CDTF">2019-06-12T07:08:00Z</dcterms:modified>
</cp:coreProperties>
</file>