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3D" w:rsidRPr="00745B1B" w:rsidRDefault="0086213D" w:rsidP="0086213D">
      <w:pPr>
        <w:pStyle w:val="a3"/>
        <w:spacing w:before="60" w:after="60"/>
        <w:ind w:right="-2"/>
        <w:rPr>
          <w:szCs w:val="28"/>
        </w:rPr>
      </w:pPr>
      <w:r w:rsidRPr="00745B1B">
        <w:rPr>
          <w:szCs w:val="28"/>
        </w:rPr>
        <w:t>ПОЯСНЮВАЛЬНА ЗАПИСКА</w:t>
      </w:r>
    </w:p>
    <w:p w:rsidR="0086213D" w:rsidRPr="00745B1B" w:rsidRDefault="0086213D" w:rsidP="00460C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szCs w:val="28"/>
        </w:rPr>
      </w:pPr>
      <w:r w:rsidRPr="00745B1B">
        <w:rPr>
          <w:b/>
        </w:rPr>
        <w:t>до про</w:t>
      </w:r>
      <w:r w:rsidR="00F92746">
        <w:rPr>
          <w:b/>
        </w:rPr>
        <w:t>е</w:t>
      </w:r>
      <w:r w:rsidRPr="00745B1B">
        <w:rPr>
          <w:b/>
        </w:rPr>
        <w:t xml:space="preserve">кту </w:t>
      </w:r>
      <w:r w:rsidRPr="00E82C2E">
        <w:rPr>
          <w:b/>
          <w:color w:val="000000"/>
          <w:szCs w:val="28"/>
        </w:rPr>
        <w:t xml:space="preserve">постанови Кабінету Міністрів України </w:t>
      </w:r>
      <w:r>
        <w:rPr>
          <w:b/>
          <w:color w:val="000000"/>
          <w:szCs w:val="28"/>
        </w:rPr>
        <w:t>«</w:t>
      </w:r>
      <w:r w:rsidR="00460CA6" w:rsidRPr="00345DAD">
        <w:rPr>
          <w:b/>
          <w:bCs/>
          <w:color w:val="000000"/>
          <w:szCs w:val="28"/>
          <w:bdr w:val="none" w:sz="0" w:space="0" w:color="auto" w:frame="1"/>
        </w:rPr>
        <w:t xml:space="preserve">Про внесення змін до </w:t>
      </w:r>
      <w:r w:rsidR="00693996">
        <w:rPr>
          <w:b/>
          <w:color w:val="000000"/>
          <w:szCs w:val="28"/>
        </w:rPr>
        <w:t xml:space="preserve">Порядку списання непогашених грошових </w:t>
      </w:r>
      <w:proofErr w:type="spellStart"/>
      <w:r w:rsidR="00693996">
        <w:rPr>
          <w:b/>
          <w:color w:val="000000"/>
          <w:szCs w:val="28"/>
        </w:rPr>
        <w:t>зобов</w:t>
      </w:r>
      <w:proofErr w:type="spellEnd"/>
      <w:r w:rsidR="00693996" w:rsidRPr="00693996">
        <w:rPr>
          <w:b/>
          <w:color w:val="000000"/>
          <w:szCs w:val="28"/>
          <w:lang w:val="ru-RU"/>
        </w:rPr>
        <w:t>’</w:t>
      </w:r>
      <w:proofErr w:type="spellStart"/>
      <w:r w:rsidR="00693996">
        <w:rPr>
          <w:b/>
          <w:color w:val="000000"/>
          <w:szCs w:val="28"/>
        </w:rPr>
        <w:t>язань</w:t>
      </w:r>
      <w:proofErr w:type="spellEnd"/>
      <w:r w:rsidR="00693996">
        <w:rPr>
          <w:b/>
          <w:color w:val="000000"/>
          <w:szCs w:val="28"/>
        </w:rPr>
        <w:t xml:space="preserve"> або податкового боргу після ліквідації платника податків, не </w:t>
      </w:r>
      <w:proofErr w:type="spellStart"/>
      <w:r w:rsidR="00693996">
        <w:rPr>
          <w:b/>
          <w:color w:val="000000"/>
          <w:szCs w:val="28"/>
        </w:rPr>
        <w:t>пов</w:t>
      </w:r>
      <w:proofErr w:type="spellEnd"/>
      <w:r w:rsidR="00693996" w:rsidRPr="00693996">
        <w:rPr>
          <w:b/>
          <w:color w:val="000000"/>
          <w:szCs w:val="28"/>
          <w:lang w:val="ru-RU"/>
        </w:rPr>
        <w:t>’</w:t>
      </w:r>
      <w:proofErr w:type="spellStart"/>
      <w:r w:rsidR="00693996">
        <w:rPr>
          <w:b/>
          <w:color w:val="000000"/>
          <w:szCs w:val="28"/>
        </w:rPr>
        <w:t>язаної</w:t>
      </w:r>
      <w:proofErr w:type="spellEnd"/>
      <w:r w:rsidR="00693996">
        <w:rPr>
          <w:b/>
          <w:color w:val="000000"/>
          <w:szCs w:val="28"/>
        </w:rPr>
        <w:t xml:space="preserve"> з банкрутством</w:t>
      </w:r>
      <w:r>
        <w:rPr>
          <w:b/>
          <w:color w:val="000000"/>
          <w:szCs w:val="28"/>
        </w:rPr>
        <w:t>»</w:t>
      </w:r>
    </w:p>
    <w:p w:rsidR="0086213D" w:rsidRPr="00253674" w:rsidRDefault="0086213D" w:rsidP="0086213D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0"/>
          <w:szCs w:val="20"/>
        </w:rPr>
      </w:pPr>
    </w:p>
    <w:p w:rsidR="0086213D" w:rsidRDefault="0086213D" w:rsidP="0086213D">
      <w:pPr>
        <w:ind w:firstLine="567"/>
        <w:jc w:val="both"/>
        <w:rPr>
          <w:b/>
          <w:szCs w:val="28"/>
        </w:rPr>
      </w:pPr>
      <w:r w:rsidRPr="002A22C5">
        <w:rPr>
          <w:b/>
          <w:szCs w:val="28"/>
        </w:rPr>
        <w:t>1.</w:t>
      </w:r>
      <w:r w:rsidRPr="002A22C5">
        <w:rPr>
          <w:szCs w:val="28"/>
        </w:rPr>
        <w:t xml:space="preserve"> </w:t>
      </w:r>
      <w:r w:rsidRPr="002A22C5">
        <w:rPr>
          <w:b/>
          <w:szCs w:val="28"/>
        </w:rPr>
        <w:t>Резюме</w:t>
      </w:r>
    </w:p>
    <w:p w:rsidR="00F92746" w:rsidRPr="00F92746" w:rsidRDefault="00F92746" w:rsidP="0086213D">
      <w:pPr>
        <w:ind w:firstLine="567"/>
        <w:jc w:val="both"/>
        <w:rPr>
          <w:b/>
          <w:sz w:val="16"/>
          <w:szCs w:val="16"/>
        </w:rPr>
      </w:pPr>
    </w:p>
    <w:p w:rsidR="0086213D" w:rsidRDefault="0086213D" w:rsidP="0086213D">
      <w:pPr>
        <w:ind w:firstLine="567"/>
        <w:jc w:val="both"/>
        <w:rPr>
          <w:szCs w:val="28"/>
        </w:rPr>
      </w:pPr>
      <w:r w:rsidRPr="002A22C5">
        <w:rPr>
          <w:szCs w:val="28"/>
        </w:rPr>
        <w:t xml:space="preserve">Метою прийняття </w:t>
      </w:r>
      <w:proofErr w:type="spellStart"/>
      <w:r w:rsidRPr="002A22C5">
        <w:rPr>
          <w:szCs w:val="28"/>
        </w:rPr>
        <w:t>акта</w:t>
      </w:r>
      <w:proofErr w:type="spellEnd"/>
      <w:r w:rsidRPr="002A22C5">
        <w:rPr>
          <w:szCs w:val="28"/>
        </w:rPr>
        <w:t xml:space="preserve"> є приведення його положень у відповідність до </w:t>
      </w:r>
      <w:r w:rsidR="00CC1BEC">
        <w:rPr>
          <w:szCs w:val="28"/>
        </w:rPr>
        <w:t xml:space="preserve">вимог </w:t>
      </w:r>
      <w:r w:rsidRPr="00CA024A">
        <w:rPr>
          <w:szCs w:val="28"/>
        </w:rPr>
        <w:t xml:space="preserve">пункту </w:t>
      </w:r>
      <w:r w:rsidR="00CC1BEC" w:rsidRPr="00CA024A">
        <w:rPr>
          <w:szCs w:val="28"/>
        </w:rPr>
        <w:t>1</w:t>
      </w:r>
      <w:r w:rsidRPr="00CA024A">
        <w:rPr>
          <w:szCs w:val="28"/>
        </w:rPr>
        <w:t>5 розділу І Закону України від 16 січня 2020 року № 466-</w:t>
      </w:r>
      <w:r w:rsidRPr="00CA024A">
        <w:rPr>
          <w:szCs w:val="28"/>
          <w:lang w:val="en-US"/>
        </w:rPr>
        <w:t>IX</w:t>
      </w:r>
      <w:r w:rsidRPr="00CA024A">
        <w:rPr>
          <w:szCs w:val="28"/>
        </w:rPr>
        <w:t xml:space="preserve"> «Про внесення змін до Податкового кодексу України щодо вдосконалення адміністрування податків, усунення технічних та логічних </w:t>
      </w:r>
      <w:proofErr w:type="spellStart"/>
      <w:r w:rsidRPr="00CA024A">
        <w:rPr>
          <w:szCs w:val="28"/>
        </w:rPr>
        <w:t>неузгодженостей</w:t>
      </w:r>
      <w:proofErr w:type="spellEnd"/>
      <w:r w:rsidRPr="00CA024A">
        <w:rPr>
          <w:szCs w:val="28"/>
        </w:rPr>
        <w:t xml:space="preserve"> у податковому законодавстві» (далі – Закон № 466),</w:t>
      </w:r>
      <w:r>
        <w:rPr>
          <w:szCs w:val="28"/>
        </w:rPr>
        <w:t xml:space="preserve"> яким </w:t>
      </w:r>
      <w:proofErr w:type="spellStart"/>
      <w:r>
        <w:rPr>
          <w:szCs w:val="28"/>
        </w:rPr>
        <w:t>внесено</w:t>
      </w:r>
      <w:proofErr w:type="spellEnd"/>
      <w:r>
        <w:rPr>
          <w:szCs w:val="28"/>
        </w:rPr>
        <w:t xml:space="preserve"> зміни до </w:t>
      </w:r>
      <w:r w:rsidR="000A5CC3">
        <w:rPr>
          <w:szCs w:val="28"/>
        </w:rPr>
        <w:t>Податкового к</w:t>
      </w:r>
      <w:r>
        <w:rPr>
          <w:szCs w:val="28"/>
        </w:rPr>
        <w:t>одексу</w:t>
      </w:r>
      <w:r w:rsidR="000A5CC3">
        <w:rPr>
          <w:szCs w:val="28"/>
        </w:rPr>
        <w:t xml:space="preserve"> України</w:t>
      </w:r>
      <w:r w:rsidR="00856EC6">
        <w:rPr>
          <w:szCs w:val="28"/>
        </w:rPr>
        <w:t xml:space="preserve"> (далі – Кодекс)</w:t>
      </w:r>
      <w:r>
        <w:rPr>
          <w:szCs w:val="28"/>
        </w:rPr>
        <w:t xml:space="preserve">, </w:t>
      </w:r>
      <w:r w:rsidR="00C059C5">
        <w:rPr>
          <w:szCs w:val="28"/>
        </w:rPr>
        <w:t xml:space="preserve">які </w:t>
      </w:r>
      <w:r w:rsidR="001C4752">
        <w:rPr>
          <w:szCs w:val="28"/>
        </w:rPr>
        <w:t xml:space="preserve">передбачають </w:t>
      </w:r>
      <w:r w:rsidR="00EE7598">
        <w:rPr>
          <w:szCs w:val="28"/>
        </w:rPr>
        <w:t xml:space="preserve">функціонування </w:t>
      </w:r>
      <w:r w:rsidR="00CA024A">
        <w:rPr>
          <w:color w:val="000000"/>
          <w:shd w:val="clear" w:color="auto" w:fill="FFFFFF"/>
        </w:rPr>
        <w:t xml:space="preserve">центрального органу виконавчої влади, що реалізує державну податкову політику, та його територіальних органів </w:t>
      </w:r>
      <w:r w:rsidR="00EE7598">
        <w:rPr>
          <w:szCs w:val="28"/>
        </w:rPr>
        <w:t>у форматі «однієї юридичної особи»</w:t>
      </w:r>
      <w:r w:rsidR="00B27230" w:rsidRPr="00B27230">
        <w:rPr>
          <w:szCs w:val="28"/>
        </w:rPr>
        <w:t xml:space="preserve"> (</w:t>
      </w:r>
      <w:r w:rsidR="00B27230">
        <w:rPr>
          <w:szCs w:val="28"/>
        </w:rPr>
        <w:t>стаття 41</w:t>
      </w:r>
      <w:r w:rsidR="00F92746">
        <w:rPr>
          <w:szCs w:val="28"/>
        </w:rPr>
        <w:t xml:space="preserve"> Кодексу</w:t>
      </w:r>
      <w:r w:rsidR="00B27230" w:rsidRPr="00B27230">
        <w:rPr>
          <w:szCs w:val="28"/>
        </w:rPr>
        <w:t>)</w:t>
      </w:r>
      <w:r w:rsidR="006926EB">
        <w:rPr>
          <w:szCs w:val="28"/>
        </w:rPr>
        <w:t xml:space="preserve">, </w:t>
      </w:r>
      <w:r w:rsidR="00C059C5">
        <w:rPr>
          <w:szCs w:val="28"/>
        </w:rPr>
        <w:t xml:space="preserve">у </w:t>
      </w:r>
      <w:r w:rsidR="00974741">
        <w:rPr>
          <w:szCs w:val="28"/>
        </w:rPr>
        <w:t xml:space="preserve">частині </w:t>
      </w:r>
      <w:r w:rsidR="00B27230">
        <w:rPr>
          <w:szCs w:val="28"/>
        </w:rPr>
        <w:t xml:space="preserve">змін </w:t>
      </w:r>
      <w:r w:rsidR="008F1FA6">
        <w:rPr>
          <w:szCs w:val="28"/>
        </w:rPr>
        <w:t>щодо</w:t>
      </w:r>
      <w:r w:rsidR="00B27230">
        <w:rPr>
          <w:szCs w:val="28"/>
        </w:rPr>
        <w:t xml:space="preserve"> </w:t>
      </w:r>
      <w:r w:rsidR="00974741">
        <w:rPr>
          <w:szCs w:val="28"/>
        </w:rPr>
        <w:t xml:space="preserve">делегування </w:t>
      </w:r>
      <w:r w:rsidR="008F1FA6">
        <w:rPr>
          <w:color w:val="000000"/>
          <w:shd w:val="clear" w:color="auto" w:fill="FFFFFF"/>
        </w:rPr>
        <w:t xml:space="preserve">керівниками територіальних органів </w:t>
      </w:r>
      <w:r w:rsidR="008E42CB">
        <w:rPr>
          <w:color w:val="000000"/>
          <w:shd w:val="clear" w:color="auto" w:fill="FFFFFF"/>
        </w:rPr>
        <w:t xml:space="preserve">певних </w:t>
      </w:r>
      <w:r w:rsidR="00974741">
        <w:rPr>
          <w:szCs w:val="28"/>
        </w:rPr>
        <w:t xml:space="preserve">повноважень </w:t>
      </w:r>
      <w:r w:rsidR="008F1FA6">
        <w:rPr>
          <w:color w:val="000000"/>
          <w:shd w:val="clear" w:color="auto" w:fill="FFFFFF"/>
        </w:rPr>
        <w:t>посадовим (службовим) особам</w:t>
      </w:r>
      <w:r w:rsidR="008F1FA6">
        <w:rPr>
          <w:szCs w:val="28"/>
        </w:rPr>
        <w:t xml:space="preserve"> таких органів </w:t>
      </w:r>
      <w:r w:rsidR="008F1FA6">
        <w:rPr>
          <w:color w:val="000000"/>
          <w:shd w:val="clear" w:color="auto" w:fill="FFFFFF"/>
        </w:rPr>
        <w:t>(їх структурним підрозділам)</w:t>
      </w:r>
      <w:r w:rsidR="008F1FA6">
        <w:rPr>
          <w:szCs w:val="28"/>
        </w:rPr>
        <w:t xml:space="preserve"> </w:t>
      </w:r>
      <w:r w:rsidR="00B27230">
        <w:rPr>
          <w:szCs w:val="28"/>
        </w:rPr>
        <w:t>(стаття 20</w:t>
      </w:r>
      <w:r w:rsidR="00F92746">
        <w:rPr>
          <w:szCs w:val="28"/>
        </w:rPr>
        <w:t xml:space="preserve"> Кодексу</w:t>
      </w:r>
      <w:r w:rsidR="00B27230">
        <w:rPr>
          <w:szCs w:val="28"/>
        </w:rPr>
        <w:t>)</w:t>
      </w:r>
      <w:r w:rsidRPr="002A22C5">
        <w:rPr>
          <w:szCs w:val="28"/>
        </w:rPr>
        <w:t>.</w:t>
      </w:r>
    </w:p>
    <w:p w:rsidR="0086213D" w:rsidRPr="00F92746" w:rsidRDefault="0086213D" w:rsidP="0086213D">
      <w:pPr>
        <w:ind w:firstLine="567"/>
        <w:rPr>
          <w:sz w:val="16"/>
          <w:szCs w:val="16"/>
        </w:rPr>
      </w:pPr>
    </w:p>
    <w:p w:rsidR="0086213D" w:rsidRDefault="0086213D" w:rsidP="0086213D">
      <w:pPr>
        <w:ind w:firstLine="567"/>
        <w:rPr>
          <w:b/>
          <w:szCs w:val="28"/>
        </w:rPr>
      </w:pPr>
      <w:r w:rsidRPr="00615073">
        <w:rPr>
          <w:b/>
          <w:szCs w:val="28"/>
        </w:rPr>
        <w:t>2. Проблема, яка потребує розв’язання</w:t>
      </w:r>
    </w:p>
    <w:p w:rsidR="00F92746" w:rsidRPr="00F92746" w:rsidRDefault="00F92746" w:rsidP="0086213D">
      <w:pPr>
        <w:ind w:firstLine="567"/>
        <w:rPr>
          <w:b/>
          <w:sz w:val="16"/>
          <w:szCs w:val="16"/>
        </w:rPr>
      </w:pPr>
    </w:p>
    <w:p w:rsidR="0086213D" w:rsidRDefault="00717ED6" w:rsidP="00CC7BC1">
      <w:pPr>
        <w:pStyle w:val="3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0B7E">
        <w:rPr>
          <w:rFonts w:ascii="Times New Roman" w:hAnsi="Times New Roman" w:cs="Times New Roman"/>
          <w:b w:val="0"/>
          <w:sz w:val="28"/>
          <w:szCs w:val="28"/>
        </w:rPr>
        <w:t xml:space="preserve">Внесені до Кодексу </w:t>
      </w:r>
      <w:r w:rsidR="0086213D" w:rsidRPr="00A50B7E">
        <w:rPr>
          <w:rFonts w:ascii="Times New Roman" w:hAnsi="Times New Roman" w:cs="Times New Roman"/>
          <w:b w:val="0"/>
          <w:sz w:val="28"/>
          <w:szCs w:val="28"/>
        </w:rPr>
        <w:t xml:space="preserve">та інших законодавчих актів зміни, що передбачають започаткування в результаті проведення адміністративної реформи функціонування однієї юридичної особи для центрального органу виконавчої влади, що реалізує державну податкову політику, </w:t>
      </w:r>
      <w:r w:rsidR="0081479C">
        <w:rPr>
          <w:rFonts w:ascii="Times New Roman" w:hAnsi="Times New Roman" w:cs="Times New Roman"/>
          <w:b w:val="0"/>
          <w:sz w:val="28"/>
          <w:szCs w:val="28"/>
        </w:rPr>
        <w:t xml:space="preserve">та його територіальних органів, </w:t>
      </w:r>
      <w:r w:rsidR="0086213D" w:rsidRPr="00A50B7E">
        <w:rPr>
          <w:rFonts w:ascii="Times New Roman" w:hAnsi="Times New Roman" w:cs="Times New Roman"/>
          <w:b w:val="0"/>
          <w:sz w:val="28"/>
          <w:szCs w:val="28"/>
        </w:rPr>
        <w:t>потребу</w:t>
      </w:r>
      <w:r w:rsidR="00930FAC" w:rsidRPr="00A50B7E">
        <w:rPr>
          <w:rFonts w:ascii="Times New Roman" w:hAnsi="Times New Roman" w:cs="Times New Roman"/>
          <w:b w:val="0"/>
          <w:sz w:val="28"/>
          <w:szCs w:val="28"/>
        </w:rPr>
        <w:t>ю</w:t>
      </w:r>
      <w:r w:rsidR="006D47DD" w:rsidRPr="00A50B7E">
        <w:rPr>
          <w:rFonts w:ascii="Times New Roman" w:hAnsi="Times New Roman" w:cs="Times New Roman"/>
          <w:b w:val="0"/>
          <w:sz w:val="28"/>
          <w:szCs w:val="28"/>
        </w:rPr>
        <w:t xml:space="preserve">ть </w:t>
      </w:r>
      <w:r w:rsidR="00CC7BC1" w:rsidRPr="00A50B7E">
        <w:rPr>
          <w:rFonts w:ascii="Times New Roman" w:hAnsi="Times New Roman" w:cs="Times New Roman"/>
          <w:b w:val="0"/>
          <w:sz w:val="28"/>
          <w:szCs w:val="28"/>
        </w:rPr>
        <w:t>внесення відповідних змін щодо</w:t>
      </w:r>
      <w:r w:rsidR="0086213D" w:rsidRPr="00A50B7E">
        <w:rPr>
          <w:rFonts w:ascii="Times New Roman" w:hAnsi="Times New Roman" w:cs="Times New Roman"/>
          <w:b w:val="0"/>
          <w:sz w:val="28"/>
          <w:szCs w:val="28"/>
        </w:rPr>
        <w:t xml:space="preserve"> делегування керівником такого органу окремих повноважень уповноваженим особам </w:t>
      </w:r>
      <w:r w:rsidR="00CC7BC1" w:rsidRPr="00A50B7E">
        <w:rPr>
          <w:rFonts w:ascii="Times New Roman" w:hAnsi="Times New Roman" w:cs="Times New Roman"/>
          <w:b w:val="0"/>
          <w:sz w:val="28"/>
          <w:szCs w:val="28"/>
        </w:rPr>
        <w:t>територіальних органів центрального органу виконавчої влади, що реалізує державну податкову політику</w:t>
      </w:r>
      <w:r w:rsidR="0086213D" w:rsidRPr="00A50B7E">
        <w:rPr>
          <w:rFonts w:ascii="Times New Roman" w:hAnsi="Times New Roman" w:cs="Times New Roman"/>
          <w:b w:val="0"/>
          <w:sz w:val="28"/>
          <w:szCs w:val="28"/>
        </w:rPr>
        <w:t xml:space="preserve"> (як</w:t>
      </w:r>
      <w:r w:rsidR="0086213D" w:rsidRPr="00856EC6">
        <w:rPr>
          <w:rFonts w:ascii="Times New Roman" w:hAnsi="Times New Roman" w:cs="Times New Roman"/>
          <w:b w:val="0"/>
          <w:sz w:val="28"/>
          <w:szCs w:val="28"/>
        </w:rPr>
        <w:t xml:space="preserve"> державних органів без статусу юридичної особи)</w:t>
      </w:r>
      <w:r w:rsidRPr="00856EC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92746" w:rsidRPr="00F92746" w:rsidRDefault="00F92746" w:rsidP="00F92746">
      <w:pPr>
        <w:rPr>
          <w:sz w:val="16"/>
          <w:szCs w:val="16"/>
        </w:rPr>
      </w:pPr>
    </w:p>
    <w:p w:rsidR="0086213D" w:rsidRDefault="0086213D" w:rsidP="0086213D">
      <w:pPr>
        <w:tabs>
          <w:tab w:val="num" w:pos="0"/>
        </w:tabs>
        <w:ind w:firstLine="567"/>
        <w:jc w:val="both"/>
        <w:rPr>
          <w:b/>
          <w:szCs w:val="28"/>
        </w:rPr>
      </w:pPr>
      <w:r w:rsidRPr="002A22C5">
        <w:rPr>
          <w:b/>
          <w:szCs w:val="28"/>
        </w:rPr>
        <w:t>3. Суть про</w:t>
      </w:r>
      <w:r w:rsidR="00F92746">
        <w:rPr>
          <w:b/>
          <w:szCs w:val="28"/>
        </w:rPr>
        <w:t>е</w:t>
      </w:r>
      <w:r w:rsidRPr="002A22C5">
        <w:rPr>
          <w:b/>
          <w:szCs w:val="28"/>
        </w:rPr>
        <w:t xml:space="preserve">кту </w:t>
      </w:r>
      <w:proofErr w:type="spellStart"/>
      <w:r w:rsidRPr="002A22C5">
        <w:rPr>
          <w:b/>
          <w:szCs w:val="28"/>
        </w:rPr>
        <w:t>акта</w:t>
      </w:r>
      <w:proofErr w:type="spellEnd"/>
    </w:p>
    <w:p w:rsidR="00F92746" w:rsidRPr="00F92746" w:rsidRDefault="00F92746" w:rsidP="0086213D">
      <w:pPr>
        <w:tabs>
          <w:tab w:val="num" w:pos="0"/>
        </w:tabs>
        <w:ind w:firstLine="567"/>
        <w:jc w:val="both"/>
        <w:rPr>
          <w:b/>
          <w:sz w:val="16"/>
          <w:szCs w:val="16"/>
        </w:rPr>
      </w:pPr>
    </w:p>
    <w:p w:rsidR="0086213D" w:rsidRDefault="0086213D" w:rsidP="00785652">
      <w:pPr>
        <w:ind w:firstLine="567"/>
        <w:jc w:val="both"/>
        <w:rPr>
          <w:szCs w:val="28"/>
        </w:rPr>
      </w:pPr>
      <w:r w:rsidRPr="002A22C5">
        <w:rPr>
          <w:color w:val="000000"/>
          <w:shd w:val="clear" w:color="auto" w:fill="FFFFFF"/>
        </w:rPr>
        <w:t>Про</w:t>
      </w:r>
      <w:r w:rsidR="00F92746">
        <w:rPr>
          <w:color w:val="000000"/>
          <w:shd w:val="clear" w:color="auto" w:fill="FFFFFF"/>
        </w:rPr>
        <w:t>е</w:t>
      </w:r>
      <w:r w:rsidRPr="002A22C5">
        <w:rPr>
          <w:color w:val="000000"/>
          <w:shd w:val="clear" w:color="auto" w:fill="FFFFFF"/>
        </w:rPr>
        <w:t xml:space="preserve">ктом </w:t>
      </w:r>
      <w:r>
        <w:rPr>
          <w:color w:val="000000"/>
          <w:shd w:val="clear" w:color="auto" w:fill="FFFFFF"/>
        </w:rPr>
        <w:t>постанови</w:t>
      </w:r>
      <w:r w:rsidRPr="002A22C5">
        <w:rPr>
          <w:color w:val="000000"/>
          <w:shd w:val="clear" w:color="auto" w:fill="FFFFFF"/>
        </w:rPr>
        <w:t xml:space="preserve"> пропонуєтьс</w:t>
      </w:r>
      <w:r>
        <w:rPr>
          <w:color w:val="000000"/>
          <w:shd w:val="clear" w:color="auto" w:fill="FFFFFF"/>
        </w:rPr>
        <w:t xml:space="preserve">я </w:t>
      </w:r>
      <w:proofErr w:type="spellStart"/>
      <w:r>
        <w:rPr>
          <w:color w:val="000000"/>
          <w:shd w:val="clear" w:color="auto" w:fill="FFFFFF"/>
        </w:rPr>
        <w:t>внести</w:t>
      </w:r>
      <w:proofErr w:type="spellEnd"/>
      <w:r>
        <w:rPr>
          <w:color w:val="000000"/>
          <w:shd w:val="clear" w:color="auto" w:fill="FFFFFF"/>
        </w:rPr>
        <w:t xml:space="preserve"> зміни до </w:t>
      </w:r>
      <w:r w:rsidR="00F92746">
        <w:rPr>
          <w:color w:val="000000"/>
          <w:shd w:val="clear" w:color="auto" w:fill="FFFFFF"/>
        </w:rPr>
        <w:t xml:space="preserve">п. 2 </w:t>
      </w:r>
      <w:r w:rsidR="006E0E3D">
        <w:rPr>
          <w:color w:val="000000"/>
          <w:shd w:val="clear" w:color="auto" w:fill="FFFFFF"/>
        </w:rPr>
        <w:t xml:space="preserve">Порядку </w:t>
      </w:r>
      <w:r w:rsidR="006E0E3D" w:rsidRPr="00461895">
        <w:rPr>
          <w:szCs w:val="28"/>
        </w:rPr>
        <w:t>списання непогашених грошових зобов’язань або податкового боргу після ліквідації платника податків, не пов’язаної з банкрутством</w:t>
      </w:r>
      <w:r w:rsidR="006E0E3D">
        <w:rPr>
          <w:szCs w:val="28"/>
        </w:rPr>
        <w:t>,</w:t>
      </w:r>
      <w:r w:rsidR="006E0E3D">
        <w:rPr>
          <w:color w:val="000000"/>
          <w:shd w:val="clear" w:color="auto" w:fill="FFFFFF"/>
        </w:rPr>
        <w:t xml:space="preserve"> </w:t>
      </w:r>
      <w:r w:rsidR="003E646B">
        <w:rPr>
          <w:color w:val="000000"/>
          <w:shd w:val="clear" w:color="auto" w:fill="FFFFFF"/>
        </w:rPr>
        <w:t xml:space="preserve">та </w:t>
      </w:r>
      <w:r w:rsidR="0077232F">
        <w:rPr>
          <w:color w:val="000000"/>
          <w:shd w:val="clear" w:color="auto" w:fill="FFFFFF"/>
        </w:rPr>
        <w:t xml:space="preserve">форми рішення </w:t>
      </w:r>
      <w:r w:rsidR="0077232F">
        <w:rPr>
          <w:szCs w:val="28"/>
        </w:rPr>
        <w:t>про списання безнадійного податкового боргу, затвердженої</w:t>
      </w:r>
      <w:r w:rsidR="0077232F">
        <w:rPr>
          <w:color w:val="000000"/>
          <w:shd w:val="clear" w:color="auto" w:fill="FFFFFF"/>
        </w:rPr>
        <w:t xml:space="preserve"> </w:t>
      </w:r>
      <w:r w:rsidR="003E646B">
        <w:rPr>
          <w:color w:val="000000"/>
          <w:shd w:val="clear" w:color="auto" w:fill="FFFFFF"/>
        </w:rPr>
        <w:t>д</w:t>
      </w:r>
      <w:r w:rsidR="003E646B">
        <w:rPr>
          <w:color w:val="000000"/>
          <w:szCs w:val="28"/>
        </w:rPr>
        <w:t>одатк</w:t>
      </w:r>
      <w:r w:rsidR="0077232F">
        <w:rPr>
          <w:color w:val="000000"/>
          <w:szCs w:val="28"/>
        </w:rPr>
        <w:t>ом</w:t>
      </w:r>
      <w:r w:rsidR="003E646B">
        <w:rPr>
          <w:color w:val="000000"/>
          <w:szCs w:val="28"/>
        </w:rPr>
        <w:t xml:space="preserve"> до Порядку</w:t>
      </w:r>
      <w:r w:rsidR="0077232F">
        <w:rPr>
          <w:color w:val="000000"/>
          <w:szCs w:val="28"/>
        </w:rPr>
        <w:t xml:space="preserve">, </w:t>
      </w:r>
      <w:r w:rsidR="006D4AD4">
        <w:rPr>
          <w:color w:val="000000"/>
          <w:szCs w:val="28"/>
        </w:rPr>
        <w:t>що передбачатимуть можливість прийняття та підписання</w:t>
      </w:r>
      <w:r w:rsidR="0001022F">
        <w:rPr>
          <w:color w:val="000000"/>
          <w:szCs w:val="28"/>
        </w:rPr>
        <w:t xml:space="preserve"> </w:t>
      </w:r>
      <w:r w:rsidR="00A66C2F">
        <w:rPr>
          <w:color w:val="000000"/>
          <w:szCs w:val="28"/>
        </w:rPr>
        <w:t xml:space="preserve">такого рішення не лише керівником </w:t>
      </w:r>
      <w:r w:rsidR="00ED3386">
        <w:rPr>
          <w:szCs w:val="28"/>
        </w:rPr>
        <w:t>територіального податкового</w:t>
      </w:r>
      <w:r w:rsidR="00A66C2F" w:rsidRPr="00092801">
        <w:rPr>
          <w:szCs w:val="28"/>
        </w:rPr>
        <w:t xml:space="preserve"> органу</w:t>
      </w:r>
      <w:r w:rsidR="00A66C2F">
        <w:rPr>
          <w:color w:val="000000"/>
          <w:szCs w:val="28"/>
        </w:rPr>
        <w:t xml:space="preserve"> або його заступником, а </w:t>
      </w:r>
      <w:r w:rsidR="00ED3386">
        <w:rPr>
          <w:color w:val="000000"/>
          <w:szCs w:val="28"/>
        </w:rPr>
        <w:t xml:space="preserve">також </w:t>
      </w:r>
      <w:r w:rsidR="006D4AD4">
        <w:rPr>
          <w:color w:val="000000"/>
          <w:szCs w:val="28"/>
        </w:rPr>
        <w:t>уповноваженою особою</w:t>
      </w:r>
      <w:r w:rsidR="00A66C2F">
        <w:rPr>
          <w:szCs w:val="28"/>
        </w:rPr>
        <w:t>.</w:t>
      </w:r>
    </w:p>
    <w:p w:rsidR="00890806" w:rsidRPr="00890806" w:rsidRDefault="00890806" w:rsidP="00785652">
      <w:pPr>
        <w:ind w:firstLine="567"/>
        <w:jc w:val="both"/>
        <w:rPr>
          <w:color w:val="000000"/>
          <w:shd w:val="clear" w:color="auto" w:fill="FFFFFF"/>
        </w:rPr>
      </w:pPr>
      <w:r>
        <w:rPr>
          <w:szCs w:val="28"/>
        </w:rPr>
        <w:t>Також у про</w:t>
      </w:r>
      <w:r w:rsidR="00F92746">
        <w:rPr>
          <w:szCs w:val="28"/>
        </w:rPr>
        <w:t>е</w:t>
      </w:r>
      <w:r>
        <w:rPr>
          <w:szCs w:val="28"/>
        </w:rPr>
        <w:t xml:space="preserve">кті постанови враховано </w:t>
      </w:r>
      <w:r w:rsidR="00F92746">
        <w:rPr>
          <w:szCs w:val="28"/>
        </w:rPr>
        <w:t xml:space="preserve">зміни, які були внесені до постанови Кабінету Міністрів України від 17.01.2018 № 55 «Деякі питання документування управлінської діяльності», </w:t>
      </w:r>
      <w:r>
        <w:rPr>
          <w:szCs w:val="28"/>
        </w:rPr>
        <w:t>згідно з яким</w:t>
      </w:r>
      <w:r w:rsidR="00F92746">
        <w:rPr>
          <w:szCs w:val="28"/>
        </w:rPr>
        <w:t>и</w:t>
      </w:r>
      <w:r>
        <w:rPr>
          <w:szCs w:val="28"/>
        </w:rPr>
        <w:t xml:space="preserve"> </w:t>
      </w:r>
      <w:r w:rsidR="00504F30">
        <w:rPr>
          <w:szCs w:val="28"/>
        </w:rPr>
        <w:t xml:space="preserve">змінено </w:t>
      </w:r>
      <w:r>
        <w:rPr>
          <w:szCs w:val="28"/>
        </w:rPr>
        <w:t>написання уживаних слів</w:t>
      </w:r>
      <w:r w:rsidR="00F92746">
        <w:rPr>
          <w:szCs w:val="28"/>
        </w:rPr>
        <w:t xml:space="preserve"> в частині підписання документів</w:t>
      </w:r>
      <w:r>
        <w:rPr>
          <w:szCs w:val="28"/>
        </w:rPr>
        <w:t>.</w:t>
      </w:r>
    </w:p>
    <w:p w:rsidR="0086213D" w:rsidRPr="00F92746" w:rsidRDefault="0086213D" w:rsidP="0086213D">
      <w:pPr>
        <w:ind w:firstLine="567"/>
        <w:jc w:val="both"/>
        <w:rPr>
          <w:sz w:val="16"/>
          <w:szCs w:val="16"/>
        </w:rPr>
      </w:pPr>
    </w:p>
    <w:p w:rsidR="0086213D" w:rsidRPr="00E155A5" w:rsidRDefault="0086213D" w:rsidP="0086213D">
      <w:pPr>
        <w:ind w:firstLine="567"/>
        <w:jc w:val="both"/>
        <w:rPr>
          <w:b/>
          <w:color w:val="000000"/>
          <w:shd w:val="clear" w:color="auto" w:fill="FFFFFF"/>
        </w:rPr>
      </w:pPr>
      <w:r w:rsidRPr="00E155A5">
        <w:rPr>
          <w:b/>
          <w:color w:val="000000"/>
          <w:shd w:val="clear" w:color="auto" w:fill="FFFFFF"/>
        </w:rPr>
        <w:t>4. Вплив на бюджет</w:t>
      </w:r>
    </w:p>
    <w:p w:rsidR="0086213D" w:rsidRPr="00F92746" w:rsidRDefault="0086213D" w:rsidP="0086213D">
      <w:pPr>
        <w:ind w:firstLine="567"/>
        <w:jc w:val="both"/>
        <w:rPr>
          <w:b/>
          <w:color w:val="000000"/>
          <w:sz w:val="16"/>
          <w:szCs w:val="16"/>
          <w:shd w:val="clear" w:color="auto" w:fill="FFFFFF"/>
        </w:rPr>
      </w:pPr>
    </w:p>
    <w:p w:rsidR="0086213D" w:rsidRPr="00E155A5" w:rsidRDefault="0086213D" w:rsidP="0086213D">
      <w:pPr>
        <w:ind w:firstLine="567"/>
        <w:jc w:val="both"/>
        <w:rPr>
          <w:color w:val="000000"/>
          <w:shd w:val="clear" w:color="auto" w:fill="FFFFFF"/>
        </w:rPr>
      </w:pPr>
      <w:r w:rsidRPr="00E155A5">
        <w:rPr>
          <w:color w:val="000000"/>
          <w:shd w:val="clear" w:color="auto" w:fill="FFFFFF"/>
        </w:rPr>
        <w:t xml:space="preserve">Реалізація акта не потребує фінансування з державного чи місцевого бюджетів. </w:t>
      </w:r>
    </w:p>
    <w:p w:rsidR="0086213D" w:rsidRPr="00E155A5" w:rsidRDefault="0086213D" w:rsidP="0086213D">
      <w:pPr>
        <w:ind w:firstLine="567"/>
        <w:jc w:val="both"/>
        <w:rPr>
          <w:color w:val="000000"/>
          <w:sz w:val="12"/>
          <w:szCs w:val="12"/>
          <w:shd w:val="clear" w:color="auto" w:fill="FFFFFF"/>
        </w:rPr>
      </w:pPr>
    </w:p>
    <w:p w:rsidR="00F92746" w:rsidRDefault="00F92746" w:rsidP="0086213D">
      <w:pPr>
        <w:pStyle w:val="3"/>
        <w:widowControl w:val="0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6213D" w:rsidRPr="00E155A5" w:rsidRDefault="0086213D" w:rsidP="0086213D">
      <w:pPr>
        <w:pStyle w:val="3"/>
        <w:widowControl w:val="0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155A5">
        <w:rPr>
          <w:rFonts w:ascii="Times New Roman" w:hAnsi="Times New Roman" w:cs="Times New Roman"/>
          <w:sz w:val="28"/>
          <w:szCs w:val="28"/>
        </w:rPr>
        <w:t>5. Позиція заінтересованих сторін</w:t>
      </w:r>
    </w:p>
    <w:p w:rsidR="0086213D" w:rsidRPr="00F92746" w:rsidRDefault="0086213D" w:rsidP="0086213D">
      <w:pPr>
        <w:ind w:firstLine="567"/>
        <w:rPr>
          <w:sz w:val="16"/>
          <w:szCs w:val="16"/>
        </w:rPr>
      </w:pPr>
    </w:p>
    <w:p w:rsidR="0086213D" w:rsidRPr="009F3B4A" w:rsidRDefault="0086213D" w:rsidP="0086213D">
      <w:pPr>
        <w:ind w:firstLine="567"/>
        <w:jc w:val="both"/>
        <w:rPr>
          <w:szCs w:val="28"/>
        </w:rPr>
      </w:pPr>
      <w:r w:rsidRPr="009F3B4A">
        <w:rPr>
          <w:szCs w:val="28"/>
        </w:rPr>
        <w:t>Про</w:t>
      </w:r>
      <w:r w:rsidR="00F92746">
        <w:rPr>
          <w:szCs w:val="28"/>
        </w:rPr>
        <w:t>е</w:t>
      </w:r>
      <w:r w:rsidRPr="009F3B4A">
        <w:rPr>
          <w:szCs w:val="28"/>
        </w:rPr>
        <w:t xml:space="preserve">кт </w:t>
      </w:r>
      <w:r>
        <w:rPr>
          <w:szCs w:val="28"/>
        </w:rPr>
        <w:t>постанови</w:t>
      </w:r>
      <w:r w:rsidRPr="009F3B4A">
        <w:rPr>
          <w:szCs w:val="28"/>
        </w:rPr>
        <w:t xml:space="preserve"> не потребує проведення консультації із заінтересованими сторонами.</w:t>
      </w:r>
    </w:p>
    <w:p w:rsidR="0086213D" w:rsidRPr="009F3B4A" w:rsidRDefault="0086213D" w:rsidP="0086213D">
      <w:pPr>
        <w:ind w:firstLine="567"/>
        <w:jc w:val="both"/>
        <w:rPr>
          <w:szCs w:val="28"/>
        </w:rPr>
      </w:pPr>
      <w:r w:rsidRPr="009F3B4A">
        <w:rPr>
          <w:szCs w:val="28"/>
        </w:rPr>
        <w:t>Про</w:t>
      </w:r>
      <w:r w:rsidR="00F92746">
        <w:rPr>
          <w:szCs w:val="28"/>
        </w:rPr>
        <w:t>е</w:t>
      </w:r>
      <w:r w:rsidRPr="009F3B4A">
        <w:rPr>
          <w:szCs w:val="28"/>
        </w:rPr>
        <w:t xml:space="preserve">кт </w:t>
      </w:r>
      <w:r>
        <w:rPr>
          <w:szCs w:val="28"/>
        </w:rPr>
        <w:t>постанови</w:t>
      </w:r>
      <w:r w:rsidRPr="009F3B4A">
        <w:rPr>
          <w:szCs w:val="28"/>
        </w:rPr>
        <w:t xml:space="preserve"> не стосується питань функціонування місцевого самоврядування</w:t>
      </w:r>
      <w:r w:rsidRPr="00E155A5">
        <w:t xml:space="preserve">, прав та інтересів територіальних громад, місцевого та регіонального розвитку, соціально-трудової сфери, прав осіб з інвалідністю </w:t>
      </w:r>
      <w:r w:rsidRPr="00E155A5">
        <w:rPr>
          <w:szCs w:val="28"/>
        </w:rPr>
        <w:t xml:space="preserve">та не потребує зазначення позицій відповідних заінтересованих сторін:  уповноважених представників всеукраїнських асоціацій органів </w:t>
      </w:r>
      <w:r w:rsidRPr="00E155A5">
        <w:t xml:space="preserve">місцевого самоврядування чи відповідних органів місцевого самоврядування, </w:t>
      </w:r>
      <w:r w:rsidRPr="00E155A5">
        <w:rPr>
          <w:szCs w:val="28"/>
        </w:rPr>
        <w:t xml:space="preserve">уповноважених представників всеукраїнських профспілок, їх об’єднань, всеукраїнських об’єднань організацій роботодавців, всеукраїнських </w:t>
      </w:r>
      <w:r w:rsidRPr="009F3B4A">
        <w:rPr>
          <w:szCs w:val="28"/>
        </w:rPr>
        <w:t>громадських організацій інвалідів, їх спілок.</w:t>
      </w:r>
    </w:p>
    <w:p w:rsidR="0086213D" w:rsidRPr="009F3B4A" w:rsidRDefault="0086213D" w:rsidP="0086213D">
      <w:pPr>
        <w:ind w:firstLine="567"/>
        <w:jc w:val="both"/>
        <w:rPr>
          <w:szCs w:val="28"/>
        </w:rPr>
      </w:pPr>
      <w:r w:rsidRPr="009F3B4A">
        <w:rPr>
          <w:szCs w:val="28"/>
        </w:rPr>
        <w:t>Не потребує направлення на погодження до Спільного представницького органу репрезентативних всеукраїнських об’єднань профспілок на національному рівні, Спільного представницького органу сторони роботодавців на національному рівні.</w:t>
      </w:r>
    </w:p>
    <w:p w:rsidR="0086213D" w:rsidRPr="00E155A5" w:rsidRDefault="0086213D" w:rsidP="0086213D">
      <w:pPr>
        <w:pStyle w:val="3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B4A">
        <w:rPr>
          <w:rFonts w:ascii="Times New Roman" w:hAnsi="Times New Roman" w:cs="Times New Roman"/>
          <w:b w:val="0"/>
          <w:sz w:val="28"/>
          <w:szCs w:val="28"/>
        </w:rPr>
        <w:t>Про</w:t>
      </w:r>
      <w:r w:rsidR="00F9274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F3B4A">
        <w:rPr>
          <w:rFonts w:ascii="Times New Roman" w:hAnsi="Times New Roman" w:cs="Times New Roman"/>
          <w:b w:val="0"/>
          <w:sz w:val="28"/>
          <w:szCs w:val="28"/>
        </w:rPr>
        <w:t xml:space="preserve">кт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постанови</w:t>
      </w:r>
      <w:r w:rsidRPr="009F3B4A">
        <w:rPr>
          <w:rFonts w:ascii="Times New Roman" w:hAnsi="Times New Roman" w:cs="Times New Roman"/>
          <w:b w:val="0"/>
          <w:sz w:val="28"/>
          <w:szCs w:val="28"/>
        </w:rPr>
        <w:t xml:space="preserve"> не стосується сфери наукової та науково-технічної діяльності</w:t>
      </w:r>
      <w:r w:rsidRPr="00E155A5">
        <w:rPr>
          <w:rFonts w:ascii="Times New Roman" w:hAnsi="Times New Roman" w:cs="Times New Roman"/>
          <w:b w:val="0"/>
          <w:sz w:val="28"/>
          <w:szCs w:val="28"/>
        </w:rPr>
        <w:t xml:space="preserve"> та не потребує зазначення позиції Наукового комітету Національної ради з питань розвитку науки і технологій.</w:t>
      </w:r>
    </w:p>
    <w:p w:rsidR="0086213D" w:rsidRPr="00F92746" w:rsidRDefault="0086213D" w:rsidP="0086213D">
      <w:pPr>
        <w:ind w:firstLine="567"/>
        <w:jc w:val="both"/>
        <w:rPr>
          <w:sz w:val="16"/>
          <w:szCs w:val="16"/>
        </w:rPr>
      </w:pPr>
    </w:p>
    <w:p w:rsidR="0086213D" w:rsidRPr="00E155A5" w:rsidRDefault="0086213D" w:rsidP="0086213D">
      <w:pPr>
        <w:pStyle w:val="3"/>
        <w:widowControl w:val="0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5A5">
        <w:rPr>
          <w:rFonts w:ascii="Times New Roman" w:hAnsi="Times New Roman" w:cs="Times New Roman"/>
          <w:sz w:val="28"/>
          <w:szCs w:val="28"/>
        </w:rPr>
        <w:t>6. Прогноз впливу</w:t>
      </w:r>
    </w:p>
    <w:p w:rsidR="0086213D" w:rsidRPr="00F92746" w:rsidRDefault="0086213D" w:rsidP="0086213D">
      <w:pPr>
        <w:ind w:firstLine="567"/>
        <w:rPr>
          <w:sz w:val="16"/>
          <w:szCs w:val="16"/>
        </w:rPr>
      </w:pPr>
    </w:p>
    <w:p w:rsidR="0086213D" w:rsidRPr="00E155A5" w:rsidRDefault="0086213D" w:rsidP="0086213D">
      <w:pPr>
        <w:ind w:firstLine="567"/>
        <w:jc w:val="both"/>
        <w:rPr>
          <w:bCs/>
          <w:spacing w:val="-2"/>
          <w:szCs w:val="28"/>
        </w:rPr>
      </w:pPr>
      <w:r w:rsidRPr="00E155A5">
        <w:rPr>
          <w:bCs/>
          <w:spacing w:val="-2"/>
          <w:szCs w:val="28"/>
        </w:rPr>
        <w:t>Про</w:t>
      </w:r>
      <w:r w:rsidR="00F92746">
        <w:rPr>
          <w:bCs/>
          <w:spacing w:val="-2"/>
          <w:szCs w:val="28"/>
        </w:rPr>
        <w:t>е</w:t>
      </w:r>
      <w:r w:rsidRPr="00E155A5">
        <w:rPr>
          <w:bCs/>
          <w:spacing w:val="-2"/>
          <w:szCs w:val="28"/>
        </w:rPr>
        <w:t xml:space="preserve">кт </w:t>
      </w:r>
      <w:r>
        <w:rPr>
          <w:bCs/>
          <w:spacing w:val="-2"/>
          <w:szCs w:val="28"/>
        </w:rPr>
        <w:t>постанови</w:t>
      </w:r>
      <w:r w:rsidRPr="00E155A5">
        <w:rPr>
          <w:bCs/>
          <w:spacing w:val="-2"/>
          <w:szCs w:val="28"/>
        </w:rPr>
        <w:t xml:space="preserve"> не є регуляторним актом.</w:t>
      </w:r>
    </w:p>
    <w:p w:rsidR="0086213D" w:rsidRPr="00E155A5" w:rsidRDefault="0086213D" w:rsidP="0086213D">
      <w:pPr>
        <w:ind w:firstLine="567"/>
        <w:jc w:val="both"/>
      </w:pPr>
      <w:r w:rsidRPr="00E155A5">
        <w:t>Дія нормативно-правового акта поширюється на необмежене коло осіб</w:t>
      </w:r>
      <w:r w:rsidRPr="00E155A5">
        <w:rPr>
          <w:szCs w:val="28"/>
        </w:rPr>
        <w:t>.</w:t>
      </w:r>
    </w:p>
    <w:p w:rsidR="0086213D" w:rsidRPr="00E155A5" w:rsidRDefault="0086213D" w:rsidP="0086213D">
      <w:pPr>
        <w:ind w:firstLine="567"/>
        <w:jc w:val="both"/>
      </w:pPr>
      <w:r>
        <w:t>Постанову</w:t>
      </w:r>
      <w:r w:rsidRPr="00E155A5">
        <w:t xml:space="preserve"> буде оприлюднено, а тому рівень поінформованості суб’єктів господарювання є високим.</w:t>
      </w:r>
    </w:p>
    <w:p w:rsidR="0086213D" w:rsidRPr="00E155A5" w:rsidRDefault="0086213D" w:rsidP="0086213D">
      <w:pPr>
        <w:ind w:firstLine="567"/>
        <w:jc w:val="both"/>
      </w:pPr>
      <w:r w:rsidRPr="00E155A5">
        <w:t>Про</w:t>
      </w:r>
      <w:r w:rsidR="00F92746">
        <w:t>е</w:t>
      </w:r>
      <w:r w:rsidRPr="00E155A5">
        <w:t xml:space="preserve">кт </w:t>
      </w:r>
      <w:r>
        <w:t>постанови</w:t>
      </w:r>
      <w:r w:rsidRPr="00E155A5">
        <w:t xml:space="preserve"> відповідає принципам державної регуляторної політики, зокрема в частині збереження балансу інтересів суб’єктів господарювання, громадян та держави.</w:t>
      </w:r>
    </w:p>
    <w:p w:rsidR="0086213D" w:rsidRPr="00E155A5" w:rsidRDefault="0086213D" w:rsidP="0086213D">
      <w:pPr>
        <w:pStyle w:val="3"/>
        <w:widowControl w:val="0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55A5">
        <w:rPr>
          <w:rFonts w:ascii="Times New Roman" w:hAnsi="Times New Roman" w:cs="Times New Roman"/>
          <w:b w:val="0"/>
          <w:sz w:val="28"/>
          <w:szCs w:val="28"/>
        </w:rPr>
        <w:t>Про</w:t>
      </w:r>
      <w:r w:rsidR="00F9274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155A5">
        <w:rPr>
          <w:rFonts w:ascii="Times New Roman" w:hAnsi="Times New Roman" w:cs="Times New Roman"/>
          <w:b w:val="0"/>
          <w:sz w:val="28"/>
          <w:szCs w:val="28"/>
        </w:rPr>
        <w:t xml:space="preserve">кт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постанови</w:t>
      </w:r>
      <w:r w:rsidRPr="00E155A5">
        <w:rPr>
          <w:rFonts w:ascii="Times New Roman" w:hAnsi="Times New Roman" w:cs="Times New Roman"/>
          <w:b w:val="0"/>
          <w:sz w:val="28"/>
          <w:szCs w:val="28"/>
        </w:rPr>
        <w:t xml:space="preserve"> не стосується питань розвитку адміністративно-територіальних одиниць та не матиме впливу на регіональний розвиток.</w:t>
      </w:r>
    </w:p>
    <w:p w:rsidR="0086213D" w:rsidRPr="00E155A5" w:rsidRDefault="0086213D" w:rsidP="0086213D">
      <w:pPr>
        <w:ind w:firstLine="567"/>
        <w:jc w:val="both"/>
      </w:pPr>
      <w:r w:rsidRPr="00E155A5">
        <w:t xml:space="preserve">Прийняття </w:t>
      </w:r>
      <w:r>
        <w:t>постанови</w:t>
      </w:r>
      <w:r w:rsidRPr="00E155A5">
        <w:t xml:space="preserve"> не вплине на ринок праці.</w:t>
      </w:r>
    </w:p>
    <w:p w:rsidR="0086213D" w:rsidRPr="00E155A5" w:rsidRDefault="0086213D" w:rsidP="0086213D">
      <w:pPr>
        <w:ind w:firstLine="567"/>
        <w:jc w:val="both"/>
      </w:pPr>
      <w:r w:rsidRPr="00E155A5">
        <w:t xml:space="preserve">Прийняття </w:t>
      </w:r>
      <w:r>
        <w:t>постанови</w:t>
      </w:r>
      <w:r w:rsidRPr="00E155A5">
        <w:t xml:space="preserve"> за предметом правового регулювання не матиме впливу на інші сфери суспільних відносин.</w:t>
      </w:r>
    </w:p>
    <w:p w:rsidR="0086213D" w:rsidRPr="00F92746" w:rsidRDefault="0086213D" w:rsidP="0086213D">
      <w:pPr>
        <w:ind w:firstLine="567"/>
        <w:jc w:val="both"/>
        <w:rPr>
          <w:sz w:val="16"/>
          <w:szCs w:val="16"/>
        </w:rPr>
      </w:pPr>
    </w:p>
    <w:p w:rsidR="0086213D" w:rsidRPr="00E155A5" w:rsidRDefault="0086213D" w:rsidP="0086213D">
      <w:pPr>
        <w:ind w:firstLine="567"/>
        <w:jc w:val="both"/>
        <w:rPr>
          <w:b/>
          <w:szCs w:val="28"/>
        </w:rPr>
      </w:pPr>
      <w:r w:rsidRPr="00E155A5">
        <w:rPr>
          <w:b/>
          <w:szCs w:val="28"/>
        </w:rPr>
        <w:t>7. Позиція заінтересованих органів</w:t>
      </w:r>
    </w:p>
    <w:p w:rsidR="0086213D" w:rsidRPr="00F92746" w:rsidRDefault="0086213D" w:rsidP="0086213D">
      <w:pPr>
        <w:ind w:firstLine="567"/>
        <w:jc w:val="both"/>
        <w:rPr>
          <w:b/>
          <w:sz w:val="16"/>
          <w:szCs w:val="16"/>
        </w:rPr>
      </w:pPr>
    </w:p>
    <w:p w:rsidR="0086213D" w:rsidRPr="00E155A5" w:rsidRDefault="0086213D" w:rsidP="0086213D">
      <w:pPr>
        <w:pStyle w:val="3"/>
        <w:widowControl w:val="0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55A5">
        <w:rPr>
          <w:rFonts w:ascii="Times New Roman" w:hAnsi="Times New Roman" w:cs="Times New Roman"/>
          <w:b w:val="0"/>
          <w:sz w:val="28"/>
          <w:szCs w:val="28"/>
        </w:rPr>
        <w:t>Про</w:t>
      </w:r>
      <w:r w:rsidR="00F9274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155A5">
        <w:rPr>
          <w:rFonts w:ascii="Times New Roman" w:hAnsi="Times New Roman" w:cs="Times New Roman"/>
          <w:b w:val="0"/>
          <w:sz w:val="28"/>
          <w:szCs w:val="28"/>
        </w:rPr>
        <w:t xml:space="preserve">кт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постанови</w:t>
      </w:r>
      <w:r w:rsidRPr="00E155A5">
        <w:rPr>
          <w:rFonts w:ascii="Times New Roman" w:hAnsi="Times New Roman" w:cs="Times New Roman"/>
          <w:b w:val="0"/>
          <w:sz w:val="28"/>
          <w:szCs w:val="28"/>
        </w:rPr>
        <w:t xml:space="preserve"> буде подано на погодження до Державної податкової служби України, Державної регуляторної служби України,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2BE1" w:rsidRPr="00203157">
        <w:rPr>
          <w:rFonts w:ascii="Times New Roman" w:hAnsi="Times New Roman" w:cs="Times New Roman"/>
          <w:b w:val="0"/>
          <w:sz w:val="28"/>
          <w:szCs w:val="28"/>
        </w:rPr>
        <w:t>Міністерства розвитку економіки, торгівлі та сільського господарства</w:t>
      </w:r>
      <w:r w:rsidR="00203157" w:rsidRPr="002031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3157" w:rsidRPr="00ED3386">
        <w:rPr>
          <w:rFonts w:ascii="Times New Roman" w:hAnsi="Times New Roman" w:cs="Times New Roman"/>
          <w:b w:val="0"/>
          <w:sz w:val="28"/>
          <w:szCs w:val="28"/>
        </w:rPr>
        <w:t>України</w:t>
      </w:r>
      <w:r w:rsidR="009840E3">
        <w:rPr>
          <w:rFonts w:ascii="Times New Roman" w:hAnsi="Times New Roman" w:cs="Times New Roman"/>
          <w:b w:val="0"/>
          <w:sz w:val="28"/>
          <w:szCs w:val="28"/>
        </w:rPr>
        <w:t xml:space="preserve"> та</w:t>
      </w:r>
      <w:r w:rsidRPr="00E155A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155A5">
        <w:rPr>
          <w:rFonts w:ascii="Times New Roman" w:hAnsi="Times New Roman" w:cs="Times New Roman"/>
          <w:b w:val="0"/>
          <w:sz w:val="28"/>
          <w:szCs w:val="28"/>
        </w:rPr>
        <w:t>Міністерства юстиції України</w:t>
      </w:r>
      <w:r w:rsidRPr="00E155A5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86213D" w:rsidRPr="00F92746" w:rsidRDefault="0086213D" w:rsidP="0086213D">
      <w:pPr>
        <w:pStyle w:val="3"/>
        <w:widowControl w:val="0"/>
        <w:spacing w:before="0" w:after="0"/>
        <w:ind w:firstLine="567"/>
        <w:rPr>
          <w:rFonts w:ascii="Times New Roman" w:hAnsi="Times New Roman" w:cs="Times New Roman"/>
          <w:sz w:val="16"/>
          <w:szCs w:val="16"/>
        </w:rPr>
      </w:pPr>
    </w:p>
    <w:p w:rsidR="0086213D" w:rsidRPr="00E155A5" w:rsidRDefault="0086213D" w:rsidP="0086213D">
      <w:pPr>
        <w:ind w:firstLine="567"/>
        <w:rPr>
          <w:b/>
        </w:rPr>
      </w:pPr>
      <w:r w:rsidRPr="00E155A5">
        <w:rPr>
          <w:b/>
        </w:rPr>
        <w:t>8. Ризики та обмеження</w:t>
      </w:r>
    </w:p>
    <w:p w:rsidR="0086213D" w:rsidRPr="00F92746" w:rsidRDefault="0086213D" w:rsidP="0086213D">
      <w:pPr>
        <w:ind w:firstLine="567"/>
        <w:rPr>
          <w:b/>
          <w:sz w:val="16"/>
          <w:szCs w:val="16"/>
        </w:rPr>
      </w:pPr>
    </w:p>
    <w:p w:rsidR="0086213D" w:rsidRPr="009F3B4A" w:rsidRDefault="0086213D" w:rsidP="0086213D">
      <w:pPr>
        <w:pStyle w:val="a8"/>
        <w:tabs>
          <w:tab w:val="left" w:pos="9071"/>
        </w:tabs>
        <w:spacing w:before="0"/>
        <w:jc w:val="both"/>
        <w:rPr>
          <w:rFonts w:ascii="Times New Roman" w:hAnsi="Times New Roman"/>
          <w:snapToGrid w:val="0"/>
          <w:sz w:val="28"/>
          <w:szCs w:val="28"/>
        </w:rPr>
      </w:pPr>
      <w:r w:rsidRPr="009F3B4A">
        <w:rPr>
          <w:rFonts w:ascii="Times New Roman" w:hAnsi="Times New Roman"/>
          <w:snapToGrid w:val="0"/>
          <w:sz w:val="28"/>
          <w:szCs w:val="28"/>
        </w:rPr>
        <w:t>У про</w:t>
      </w:r>
      <w:r w:rsidR="00F92746">
        <w:rPr>
          <w:rFonts w:ascii="Times New Roman" w:hAnsi="Times New Roman"/>
          <w:snapToGrid w:val="0"/>
          <w:sz w:val="28"/>
          <w:szCs w:val="28"/>
        </w:rPr>
        <w:t>е</w:t>
      </w:r>
      <w:r w:rsidRPr="009F3B4A">
        <w:rPr>
          <w:rFonts w:ascii="Times New Roman" w:hAnsi="Times New Roman"/>
          <w:snapToGrid w:val="0"/>
          <w:sz w:val="28"/>
          <w:szCs w:val="28"/>
        </w:rPr>
        <w:t xml:space="preserve">кті </w:t>
      </w:r>
      <w:r>
        <w:rPr>
          <w:rFonts w:ascii="Times New Roman" w:hAnsi="Times New Roman"/>
          <w:snapToGrid w:val="0"/>
          <w:sz w:val="28"/>
          <w:szCs w:val="28"/>
        </w:rPr>
        <w:t>постанови</w:t>
      </w:r>
      <w:r w:rsidRPr="009F3B4A">
        <w:rPr>
          <w:rFonts w:ascii="Times New Roman" w:hAnsi="Times New Roman"/>
          <w:snapToGrid w:val="0"/>
          <w:sz w:val="28"/>
          <w:szCs w:val="28"/>
        </w:rPr>
        <w:t xml:space="preserve"> відсутні положення, які містять ознаки дискримінації. Громадська </w:t>
      </w:r>
      <w:proofErr w:type="spellStart"/>
      <w:r w:rsidRPr="009F3B4A">
        <w:rPr>
          <w:rFonts w:ascii="Times New Roman" w:hAnsi="Times New Roman"/>
          <w:snapToGrid w:val="0"/>
          <w:sz w:val="28"/>
          <w:szCs w:val="28"/>
        </w:rPr>
        <w:t>антидискримінаційна</w:t>
      </w:r>
      <w:proofErr w:type="spellEnd"/>
      <w:r w:rsidRPr="009F3B4A">
        <w:rPr>
          <w:rFonts w:ascii="Times New Roman" w:hAnsi="Times New Roman"/>
          <w:snapToGrid w:val="0"/>
          <w:sz w:val="28"/>
          <w:szCs w:val="28"/>
        </w:rPr>
        <w:t xml:space="preserve"> експертиза не проводилась.</w:t>
      </w:r>
    </w:p>
    <w:p w:rsidR="0086213D" w:rsidRPr="009F3B4A" w:rsidRDefault="0086213D" w:rsidP="0086213D">
      <w:pPr>
        <w:pStyle w:val="a8"/>
        <w:tabs>
          <w:tab w:val="left" w:pos="9071"/>
        </w:tabs>
        <w:spacing w:before="0"/>
        <w:jc w:val="both"/>
        <w:rPr>
          <w:rFonts w:ascii="Times New Roman" w:hAnsi="Times New Roman"/>
          <w:snapToGrid w:val="0"/>
          <w:sz w:val="28"/>
          <w:szCs w:val="28"/>
        </w:rPr>
      </w:pPr>
      <w:r w:rsidRPr="009F3B4A">
        <w:rPr>
          <w:rFonts w:ascii="Times New Roman" w:hAnsi="Times New Roman"/>
          <w:snapToGrid w:val="0"/>
          <w:sz w:val="28"/>
          <w:szCs w:val="28"/>
        </w:rPr>
        <w:lastRenderedPageBreak/>
        <w:t>У про</w:t>
      </w:r>
      <w:r w:rsidR="00F92746">
        <w:rPr>
          <w:rFonts w:ascii="Times New Roman" w:hAnsi="Times New Roman"/>
          <w:snapToGrid w:val="0"/>
          <w:sz w:val="28"/>
          <w:szCs w:val="28"/>
        </w:rPr>
        <w:t>е</w:t>
      </w:r>
      <w:r w:rsidRPr="009F3B4A">
        <w:rPr>
          <w:rFonts w:ascii="Times New Roman" w:hAnsi="Times New Roman"/>
          <w:snapToGrid w:val="0"/>
          <w:sz w:val="28"/>
          <w:szCs w:val="28"/>
        </w:rPr>
        <w:t xml:space="preserve">кті </w:t>
      </w:r>
      <w:r>
        <w:rPr>
          <w:rFonts w:ascii="Times New Roman" w:hAnsi="Times New Roman"/>
          <w:snapToGrid w:val="0"/>
          <w:sz w:val="28"/>
          <w:szCs w:val="28"/>
        </w:rPr>
        <w:t xml:space="preserve">постанови </w:t>
      </w:r>
      <w:r w:rsidRPr="009F3B4A">
        <w:rPr>
          <w:rFonts w:ascii="Times New Roman" w:hAnsi="Times New Roman"/>
          <w:snapToGrid w:val="0"/>
          <w:sz w:val="28"/>
          <w:szCs w:val="28"/>
        </w:rPr>
        <w:t>відсутні положення, які порушують принцип забезпечення рівних прав та можливостей жінок і чоловіків.</w:t>
      </w:r>
    </w:p>
    <w:p w:rsidR="0086213D" w:rsidRPr="009F3B4A" w:rsidRDefault="0086213D" w:rsidP="0086213D">
      <w:pPr>
        <w:widowControl w:val="0"/>
        <w:ind w:firstLine="567"/>
        <w:jc w:val="both"/>
        <w:rPr>
          <w:snapToGrid w:val="0"/>
          <w:szCs w:val="28"/>
        </w:rPr>
      </w:pPr>
      <w:r w:rsidRPr="009F3B4A">
        <w:rPr>
          <w:snapToGrid w:val="0"/>
          <w:szCs w:val="28"/>
        </w:rPr>
        <w:t>У про</w:t>
      </w:r>
      <w:r w:rsidR="00F92746">
        <w:rPr>
          <w:snapToGrid w:val="0"/>
          <w:szCs w:val="28"/>
        </w:rPr>
        <w:t>е</w:t>
      </w:r>
      <w:r w:rsidRPr="009F3B4A">
        <w:rPr>
          <w:snapToGrid w:val="0"/>
          <w:szCs w:val="28"/>
        </w:rPr>
        <w:t xml:space="preserve">кті </w:t>
      </w:r>
      <w:r>
        <w:rPr>
          <w:snapToGrid w:val="0"/>
          <w:szCs w:val="28"/>
        </w:rPr>
        <w:t xml:space="preserve">постанови </w:t>
      </w:r>
      <w:r w:rsidRPr="009F3B4A">
        <w:rPr>
          <w:snapToGrid w:val="0"/>
          <w:szCs w:val="28"/>
        </w:rPr>
        <w:t>відсутні правила і процедури, які можуть містити ризики вчинення корупційних правопорушень та правопорушень, пов’язаних з корупцією.</w:t>
      </w:r>
    </w:p>
    <w:p w:rsidR="0086213D" w:rsidRPr="009F3B4A" w:rsidRDefault="0086213D" w:rsidP="0086213D">
      <w:pPr>
        <w:ind w:firstLine="567"/>
        <w:jc w:val="both"/>
        <w:rPr>
          <w:snapToGrid w:val="0"/>
          <w:szCs w:val="28"/>
        </w:rPr>
      </w:pPr>
      <w:r w:rsidRPr="009F3B4A">
        <w:rPr>
          <w:snapToGrid w:val="0"/>
          <w:szCs w:val="28"/>
        </w:rPr>
        <w:t>Про</w:t>
      </w:r>
      <w:r w:rsidR="00F92746">
        <w:rPr>
          <w:snapToGrid w:val="0"/>
          <w:szCs w:val="28"/>
        </w:rPr>
        <w:t>е</w:t>
      </w:r>
      <w:r w:rsidRPr="009F3B4A">
        <w:rPr>
          <w:snapToGrid w:val="0"/>
          <w:szCs w:val="28"/>
        </w:rPr>
        <w:t xml:space="preserve">кт </w:t>
      </w:r>
      <w:r>
        <w:rPr>
          <w:snapToGrid w:val="0"/>
          <w:szCs w:val="28"/>
        </w:rPr>
        <w:t>постанови</w:t>
      </w:r>
      <w:r w:rsidRPr="009F3B4A">
        <w:rPr>
          <w:snapToGrid w:val="0"/>
          <w:szCs w:val="28"/>
        </w:rPr>
        <w:t xml:space="preserve"> не потребує проведення громадської антикорупційної експертизи.</w:t>
      </w:r>
    </w:p>
    <w:p w:rsidR="0086213D" w:rsidRPr="00F92746" w:rsidRDefault="0086213D" w:rsidP="0086213D">
      <w:pPr>
        <w:ind w:firstLine="567"/>
        <w:jc w:val="both"/>
        <w:rPr>
          <w:b/>
          <w:sz w:val="16"/>
          <w:szCs w:val="16"/>
        </w:rPr>
      </w:pPr>
    </w:p>
    <w:p w:rsidR="0086213D" w:rsidRPr="00E155A5" w:rsidRDefault="0086213D" w:rsidP="0086213D">
      <w:pPr>
        <w:ind w:firstLine="567"/>
        <w:rPr>
          <w:b/>
        </w:rPr>
      </w:pPr>
      <w:r w:rsidRPr="00E155A5">
        <w:rPr>
          <w:b/>
        </w:rPr>
        <w:t>9. Підстава розроблення проєкту акта</w:t>
      </w:r>
    </w:p>
    <w:p w:rsidR="0086213D" w:rsidRPr="00F92746" w:rsidRDefault="0086213D" w:rsidP="0086213D">
      <w:pPr>
        <w:ind w:firstLine="567"/>
        <w:rPr>
          <w:b/>
          <w:sz w:val="16"/>
          <w:szCs w:val="16"/>
        </w:rPr>
      </w:pPr>
      <w:r w:rsidRPr="00E155A5">
        <w:rPr>
          <w:b/>
        </w:rPr>
        <w:t xml:space="preserve"> </w:t>
      </w:r>
    </w:p>
    <w:p w:rsidR="0086213D" w:rsidRDefault="0086213D" w:rsidP="0086213D">
      <w:pPr>
        <w:ind w:firstLine="567"/>
        <w:jc w:val="both"/>
        <w:rPr>
          <w:szCs w:val="28"/>
        </w:rPr>
      </w:pPr>
      <w:r>
        <w:rPr>
          <w:szCs w:val="28"/>
        </w:rPr>
        <w:t>Про</w:t>
      </w:r>
      <w:r w:rsidR="00F92746">
        <w:rPr>
          <w:szCs w:val="28"/>
        </w:rPr>
        <w:t>е</w:t>
      </w:r>
      <w:r>
        <w:rPr>
          <w:szCs w:val="28"/>
        </w:rPr>
        <w:t xml:space="preserve">кт постанови розроблено на виконання </w:t>
      </w:r>
      <w:r w:rsidRPr="006F0BEE">
        <w:rPr>
          <w:szCs w:val="28"/>
        </w:rPr>
        <w:t xml:space="preserve">пункту </w:t>
      </w:r>
      <w:r w:rsidR="006A2BE1" w:rsidRPr="006F0BEE">
        <w:rPr>
          <w:szCs w:val="28"/>
        </w:rPr>
        <w:t>3</w:t>
      </w:r>
      <w:r w:rsidRPr="006F0BEE">
        <w:rPr>
          <w:szCs w:val="28"/>
        </w:rPr>
        <w:t xml:space="preserve"> розділу ІІ Закону №</w:t>
      </w:r>
      <w:r w:rsidRPr="006F0BEE">
        <w:rPr>
          <w:szCs w:val="28"/>
          <w:lang w:val="en-US"/>
        </w:rPr>
        <w:t> </w:t>
      </w:r>
      <w:r w:rsidRPr="006F0BEE">
        <w:rPr>
          <w:szCs w:val="28"/>
        </w:rPr>
        <w:t>466,</w:t>
      </w:r>
      <w:r>
        <w:rPr>
          <w:szCs w:val="28"/>
        </w:rPr>
        <w:t xml:space="preserve"> яким</w:t>
      </w:r>
      <w:r w:rsidRPr="00072333">
        <w:rPr>
          <w:szCs w:val="28"/>
        </w:rPr>
        <w:t xml:space="preserve"> передбачено </w:t>
      </w:r>
      <w:r w:rsidRPr="008C2A49">
        <w:rPr>
          <w:szCs w:val="28"/>
        </w:rPr>
        <w:t xml:space="preserve">Кабінету Міністрів України у </w:t>
      </w:r>
      <w:r w:rsidR="000B4632">
        <w:rPr>
          <w:szCs w:val="28"/>
        </w:rPr>
        <w:t>шести</w:t>
      </w:r>
      <w:r w:rsidRPr="008C2A49">
        <w:rPr>
          <w:szCs w:val="28"/>
        </w:rPr>
        <w:t>місячний строк з дня набрання чинності цим Законом</w:t>
      </w:r>
      <w:r>
        <w:rPr>
          <w:szCs w:val="28"/>
        </w:rPr>
        <w:t xml:space="preserve"> </w:t>
      </w:r>
      <w:r w:rsidRPr="008F4416">
        <w:rPr>
          <w:szCs w:val="28"/>
        </w:rPr>
        <w:t xml:space="preserve">забезпечити приведення </w:t>
      </w:r>
      <w:r w:rsidR="00CA71B0">
        <w:rPr>
          <w:szCs w:val="28"/>
        </w:rPr>
        <w:t>своїх</w:t>
      </w:r>
      <w:r w:rsidRPr="008F4416">
        <w:rPr>
          <w:szCs w:val="28"/>
        </w:rPr>
        <w:t xml:space="preserve"> нормативно</w:t>
      </w:r>
      <w:r w:rsidR="00203157">
        <w:rPr>
          <w:szCs w:val="28"/>
        </w:rPr>
        <w:noBreakHyphen/>
      </w:r>
      <w:r w:rsidRPr="008F4416">
        <w:rPr>
          <w:szCs w:val="28"/>
        </w:rPr>
        <w:t>правових актів</w:t>
      </w:r>
      <w:r>
        <w:rPr>
          <w:szCs w:val="28"/>
        </w:rPr>
        <w:t xml:space="preserve"> у відповідність </w:t>
      </w:r>
      <w:r w:rsidR="009840E3">
        <w:rPr>
          <w:szCs w:val="28"/>
        </w:rPr>
        <w:t>до</w:t>
      </w:r>
      <w:r>
        <w:rPr>
          <w:szCs w:val="28"/>
        </w:rPr>
        <w:t xml:space="preserve"> ц</w:t>
      </w:r>
      <w:r w:rsidR="009840E3">
        <w:rPr>
          <w:szCs w:val="28"/>
        </w:rPr>
        <w:t>ього</w:t>
      </w:r>
      <w:r>
        <w:rPr>
          <w:szCs w:val="28"/>
        </w:rPr>
        <w:t xml:space="preserve"> Закон</w:t>
      </w:r>
      <w:r w:rsidR="009840E3">
        <w:rPr>
          <w:szCs w:val="28"/>
        </w:rPr>
        <w:t>у</w:t>
      </w:r>
      <w:r w:rsidRPr="00072333">
        <w:rPr>
          <w:szCs w:val="28"/>
        </w:rPr>
        <w:t>.</w:t>
      </w:r>
    </w:p>
    <w:p w:rsidR="0086213D" w:rsidRPr="000E4BF2" w:rsidRDefault="0086213D" w:rsidP="0086213D">
      <w:pPr>
        <w:ind w:firstLine="567"/>
        <w:jc w:val="both"/>
        <w:rPr>
          <w:szCs w:val="28"/>
        </w:rPr>
      </w:pPr>
    </w:p>
    <w:p w:rsidR="009840E3" w:rsidRDefault="009840E3" w:rsidP="0086213D">
      <w:pPr>
        <w:spacing w:line="360" w:lineRule="auto"/>
        <w:jc w:val="both"/>
        <w:rPr>
          <w:b/>
          <w:color w:val="000000"/>
          <w:szCs w:val="28"/>
        </w:rPr>
      </w:pPr>
    </w:p>
    <w:p w:rsidR="0086213D" w:rsidRDefault="0086213D" w:rsidP="0086213D">
      <w:pPr>
        <w:spacing w:line="360" w:lineRule="auto"/>
        <w:jc w:val="both"/>
        <w:rPr>
          <w:b/>
          <w:color w:val="000000"/>
          <w:szCs w:val="28"/>
        </w:rPr>
      </w:pPr>
      <w:r w:rsidRPr="00E27E39">
        <w:rPr>
          <w:b/>
          <w:color w:val="000000"/>
          <w:szCs w:val="28"/>
        </w:rPr>
        <w:t xml:space="preserve">Міністр </w:t>
      </w:r>
      <w:r>
        <w:rPr>
          <w:b/>
          <w:color w:val="000000"/>
          <w:szCs w:val="28"/>
        </w:rPr>
        <w:t>фінансів України</w:t>
      </w:r>
      <w:r w:rsidRPr="00E27E39">
        <w:rPr>
          <w:b/>
          <w:color w:val="000000"/>
          <w:szCs w:val="28"/>
        </w:rPr>
        <w:t xml:space="preserve">  </w:t>
      </w:r>
      <w:r>
        <w:rPr>
          <w:b/>
          <w:color w:val="000000"/>
          <w:szCs w:val="28"/>
        </w:rPr>
        <w:t xml:space="preserve">                                                   Сергій МАРЧЕНКО</w:t>
      </w:r>
    </w:p>
    <w:p w:rsidR="0086213D" w:rsidRDefault="0086213D" w:rsidP="0086213D">
      <w:pPr>
        <w:ind w:right="-2"/>
        <w:jc w:val="both"/>
      </w:pPr>
    </w:p>
    <w:p w:rsidR="009840E3" w:rsidRDefault="009840E3" w:rsidP="0086213D">
      <w:pPr>
        <w:ind w:right="-2"/>
        <w:jc w:val="both"/>
      </w:pPr>
    </w:p>
    <w:p w:rsidR="0086213D" w:rsidRDefault="0086213D" w:rsidP="0086213D">
      <w:pPr>
        <w:ind w:right="-2"/>
        <w:jc w:val="both"/>
      </w:pPr>
      <w:r w:rsidRPr="00E27E39">
        <w:t>«____»  ___________  20</w:t>
      </w:r>
      <w:r>
        <w:t xml:space="preserve">___ </w:t>
      </w:r>
      <w:r w:rsidRPr="00E27E39">
        <w:t>р.</w:t>
      </w:r>
    </w:p>
    <w:p w:rsidR="0086213D" w:rsidRDefault="0086213D" w:rsidP="0086213D"/>
    <w:p w:rsidR="0086213D" w:rsidRDefault="0086213D" w:rsidP="0086213D"/>
    <w:p w:rsidR="0086213D" w:rsidRDefault="0086213D" w:rsidP="0086213D"/>
    <w:p w:rsidR="0086213D" w:rsidRDefault="0086213D" w:rsidP="0086213D"/>
    <w:p w:rsidR="00E82937" w:rsidRDefault="0024636E">
      <w:bookmarkStart w:id="0" w:name="_GoBack"/>
      <w:bookmarkEnd w:id="0"/>
    </w:p>
    <w:sectPr w:rsidR="00E82937" w:rsidSect="004446D0">
      <w:headerReference w:type="even" r:id="rId7"/>
      <w:headerReference w:type="default" r:id="rId8"/>
      <w:pgSz w:w="11906" w:h="16838"/>
      <w:pgMar w:top="899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36E" w:rsidRDefault="0024636E">
      <w:r>
        <w:separator/>
      </w:r>
    </w:p>
  </w:endnote>
  <w:endnote w:type="continuationSeparator" w:id="0">
    <w:p w:rsidR="0024636E" w:rsidRDefault="0024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36E" w:rsidRDefault="0024636E">
      <w:r>
        <w:separator/>
      </w:r>
    </w:p>
  </w:footnote>
  <w:footnote w:type="continuationSeparator" w:id="0">
    <w:p w:rsidR="0024636E" w:rsidRDefault="00246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90" w:rsidRDefault="002018C1" w:rsidP="00F3502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2990" w:rsidRDefault="002463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90" w:rsidRDefault="002018C1" w:rsidP="00F3502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2746">
      <w:rPr>
        <w:rStyle w:val="a7"/>
        <w:noProof/>
      </w:rPr>
      <w:t>3</w:t>
    </w:r>
    <w:r>
      <w:rPr>
        <w:rStyle w:val="a7"/>
      </w:rPr>
      <w:fldChar w:fldCharType="end"/>
    </w:r>
  </w:p>
  <w:p w:rsidR="00172990" w:rsidRDefault="002463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3D"/>
    <w:rsid w:val="0001022F"/>
    <w:rsid w:val="0001656F"/>
    <w:rsid w:val="00055E2D"/>
    <w:rsid w:val="0008118A"/>
    <w:rsid w:val="000A5CC3"/>
    <w:rsid w:val="000B4632"/>
    <w:rsid w:val="00141ABB"/>
    <w:rsid w:val="001C4752"/>
    <w:rsid w:val="002018C1"/>
    <w:rsid w:val="00203157"/>
    <w:rsid w:val="0024636E"/>
    <w:rsid w:val="00277DE0"/>
    <w:rsid w:val="002A639E"/>
    <w:rsid w:val="002B1011"/>
    <w:rsid w:val="00306303"/>
    <w:rsid w:val="003E646B"/>
    <w:rsid w:val="00460CA6"/>
    <w:rsid w:val="00461895"/>
    <w:rsid w:val="0047082B"/>
    <w:rsid w:val="00474437"/>
    <w:rsid w:val="004D1DBD"/>
    <w:rsid w:val="00504F30"/>
    <w:rsid w:val="005E6486"/>
    <w:rsid w:val="00643048"/>
    <w:rsid w:val="00661460"/>
    <w:rsid w:val="006926EB"/>
    <w:rsid w:val="00693996"/>
    <w:rsid w:val="006A2BE1"/>
    <w:rsid w:val="006D47DD"/>
    <w:rsid w:val="006D4AD4"/>
    <w:rsid w:val="006E0E3D"/>
    <w:rsid w:val="006F0BEE"/>
    <w:rsid w:val="00717ED6"/>
    <w:rsid w:val="00736B51"/>
    <w:rsid w:val="0077232F"/>
    <w:rsid w:val="00785652"/>
    <w:rsid w:val="007C0B92"/>
    <w:rsid w:val="00800FFC"/>
    <w:rsid w:val="0081479C"/>
    <w:rsid w:val="0083652E"/>
    <w:rsid w:val="008375AF"/>
    <w:rsid w:val="00856EC6"/>
    <w:rsid w:val="0086213D"/>
    <w:rsid w:val="00890806"/>
    <w:rsid w:val="008E42CB"/>
    <w:rsid w:val="008F1FA6"/>
    <w:rsid w:val="00930FAC"/>
    <w:rsid w:val="00974741"/>
    <w:rsid w:val="009840E3"/>
    <w:rsid w:val="00A02A07"/>
    <w:rsid w:val="00A14952"/>
    <w:rsid w:val="00A50B7E"/>
    <w:rsid w:val="00A66C2F"/>
    <w:rsid w:val="00A70E53"/>
    <w:rsid w:val="00AA76E9"/>
    <w:rsid w:val="00B2034C"/>
    <w:rsid w:val="00B27230"/>
    <w:rsid w:val="00B5047A"/>
    <w:rsid w:val="00BB62E9"/>
    <w:rsid w:val="00BC5CB8"/>
    <w:rsid w:val="00BE1494"/>
    <w:rsid w:val="00C059C5"/>
    <w:rsid w:val="00C11F4E"/>
    <w:rsid w:val="00C53C27"/>
    <w:rsid w:val="00CA024A"/>
    <w:rsid w:val="00CA3F54"/>
    <w:rsid w:val="00CA71B0"/>
    <w:rsid w:val="00CC1BEC"/>
    <w:rsid w:val="00CC7BC1"/>
    <w:rsid w:val="00D07332"/>
    <w:rsid w:val="00D41370"/>
    <w:rsid w:val="00D751C3"/>
    <w:rsid w:val="00ED3386"/>
    <w:rsid w:val="00EE7598"/>
    <w:rsid w:val="00F77430"/>
    <w:rsid w:val="00F80BD5"/>
    <w:rsid w:val="00F92746"/>
    <w:rsid w:val="00FA7225"/>
    <w:rsid w:val="00FD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213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621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213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213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6213D"/>
    <w:pPr>
      <w:jc w:val="center"/>
    </w:pPr>
    <w:rPr>
      <w:b/>
    </w:rPr>
  </w:style>
  <w:style w:type="character" w:customStyle="1" w:styleId="a4">
    <w:name w:val="Назва Знак"/>
    <w:basedOn w:val="a0"/>
    <w:link w:val="a3"/>
    <w:rsid w:val="008621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86213D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8621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6213D"/>
  </w:style>
  <w:style w:type="paragraph" w:customStyle="1" w:styleId="a8">
    <w:name w:val="Нормальний текст"/>
    <w:basedOn w:val="a"/>
    <w:rsid w:val="0086213D"/>
    <w:pPr>
      <w:spacing w:before="120"/>
      <w:ind w:firstLine="567"/>
    </w:pPr>
    <w:rPr>
      <w:rFonts w:ascii="Antiqua" w:hAnsi="Antiqua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213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621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213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213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6213D"/>
    <w:pPr>
      <w:jc w:val="center"/>
    </w:pPr>
    <w:rPr>
      <w:b/>
    </w:rPr>
  </w:style>
  <w:style w:type="character" w:customStyle="1" w:styleId="a4">
    <w:name w:val="Назва Знак"/>
    <w:basedOn w:val="a0"/>
    <w:link w:val="a3"/>
    <w:rsid w:val="008621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86213D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8621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6213D"/>
  </w:style>
  <w:style w:type="paragraph" w:customStyle="1" w:styleId="a8">
    <w:name w:val="Нормальний текст"/>
    <w:basedOn w:val="a"/>
    <w:rsid w:val="0086213D"/>
    <w:pPr>
      <w:spacing w:before="120"/>
      <w:ind w:firstLine="567"/>
    </w:pPr>
    <w:rPr>
      <w:rFonts w:ascii="Antiqua" w:hAnsi="Antiqu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3492</Words>
  <Characters>1992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ЮРКОВСЬКА НАТАЛІЯ ОЛЕКСАНДРІВНА</cp:lastModifiedBy>
  <cp:revision>2</cp:revision>
  <dcterms:created xsi:type="dcterms:W3CDTF">2020-08-10T12:33:00Z</dcterms:created>
  <dcterms:modified xsi:type="dcterms:W3CDTF">2020-08-10T12:33:00Z</dcterms:modified>
</cp:coreProperties>
</file>