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jc w:val="right"/>
        <w:rPr>
          <w:rFonts w:eastAsia="Times New Roman"/>
          <w:b w:val="0"/>
        </w:rPr>
      </w:pPr>
      <w:r>
        <w:rPr>
          <w:rFonts w:eastAsia="Times New Roman"/>
          <w:b w:val="0"/>
        </w:rPr>
        <w:t>Додаток 1</w:t>
      </w:r>
    </w:p>
    <w:p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ТЕСТ</w:t>
      </w:r>
      <w:r>
        <w:rPr>
          <w:rFonts w:eastAsia="Times New Roman"/>
        </w:rPr>
        <w:br/>
        <w:t>малого підприємництва (М-Тест)</w:t>
      </w:r>
    </w:p>
    <w:p>
      <w:pPr>
        <w:pStyle w:val="a3"/>
        <w:ind w:firstLine="708"/>
        <w:jc w:val="both"/>
      </w:pPr>
      <w:r>
        <w:t>1. Консультації з представниками мікро- та малого підприємництва щодо оцінки впливу регулювання</w:t>
      </w:r>
    </w:p>
    <w:p>
      <w:pPr>
        <w:pStyle w:val="a3"/>
        <w:ind w:firstLine="708"/>
        <w:jc w:val="both"/>
      </w:pPr>
      <w: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5 березня 2021 р. по 4 квітня 2021 р. шляхом оприлюднення проекту наказу Міністерства фінансів України «Про затвердження Порядку зарахування у рахунок майбутніх платежів єдиного внеску на загальнообов’язкове державне соціальне страхування або повернення надміру та/або помилково сплачених коштів» на офіційному </w:t>
      </w:r>
      <w:proofErr w:type="spellStart"/>
      <w:r>
        <w:t>вебпорталі</w:t>
      </w:r>
      <w:proofErr w:type="spellEnd"/>
      <w:r>
        <w:t xml:space="preserve"> ДПС. Зауважень та пропозицій до проекту не надходило.</w:t>
      </w:r>
    </w:p>
    <w:p>
      <w:pPr>
        <w:pStyle w:val="a3"/>
        <w:ind w:firstLine="708"/>
        <w:jc w:val="both"/>
      </w:pPr>
      <w:r>
        <w:t xml:space="preserve">2. Вимірювання впливу регулювання на </w:t>
      </w:r>
      <w:proofErr w:type="spellStart"/>
      <w:r>
        <w:t>суб</w:t>
      </w:r>
      <w:proofErr w:type="spellEnd"/>
      <w:r>
        <w:rPr>
          <w:lang w:val="ru-RU"/>
        </w:rPr>
        <w:t>’</w:t>
      </w:r>
      <w:proofErr w:type="spellStart"/>
      <w:r>
        <w:t>єктів</w:t>
      </w:r>
      <w:proofErr w:type="spellEnd"/>
      <w:r>
        <w:t xml:space="preserve"> малого підприємництва (мікро- та малі):</w:t>
      </w:r>
    </w:p>
    <w:p>
      <w:pPr>
        <w:pStyle w:val="a3"/>
        <w:ind w:firstLine="708"/>
        <w:jc w:val="both"/>
      </w:pPr>
      <w:r>
        <w:t>кількість суб’єктів малого підприємництва, на яких поширюється регулювання – 35,3 тис (фізичні особи – підприємці, які звертатимуться із заявами про повернення коштів єдиного внеску);</w:t>
      </w:r>
    </w:p>
    <w:p>
      <w:pPr>
        <w:pStyle w:val="a3"/>
        <w:ind w:firstLine="708"/>
        <w:jc w:val="both"/>
      </w:pPr>
      <w:r>
        <w:t>питома вага суб’єктів малого підприємництва у загальній кількості суб’єктів господарювання, на яких проблема справляє вплив, – 57 відсотків (відповідно до таблиці «Оцінка впливу на сферу інтересів суб’єктів господарювання» Аналізу регуляторного впливу).</w:t>
      </w:r>
    </w:p>
    <w:p>
      <w:pPr>
        <w:pStyle w:val="a3"/>
        <w:ind w:firstLine="708"/>
        <w:jc w:val="both"/>
      </w:pPr>
      <w:r>
        <w:t xml:space="preserve">3. Розрахунок витрат </w:t>
      </w:r>
      <w:proofErr w:type="spellStart"/>
      <w:r>
        <w:t>суб</w:t>
      </w:r>
      <w:proofErr w:type="spellEnd"/>
      <w:r>
        <w:rPr>
          <w:lang w:val="ru-RU"/>
        </w:rPr>
        <w:t>’</w:t>
      </w:r>
      <w:proofErr w:type="spellStart"/>
      <w:r>
        <w:t>єктів</w:t>
      </w:r>
      <w:proofErr w:type="spellEnd"/>
      <w:r>
        <w:t xml:space="preserve"> малого підприємництва на виконання вимог регулювання</w:t>
      </w:r>
    </w:p>
    <w:tbl>
      <w:tblPr>
        <w:tblW w:w="5099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9"/>
        <w:gridCol w:w="4019"/>
        <w:gridCol w:w="1598"/>
        <w:gridCol w:w="1287"/>
        <w:gridCol w:w="1698"/>
      </w:tblGrid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Порядковий номер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Найменування оцінки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У перший рік (стартовий рік впровадження регулювання)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Періодичні (за наступний рік)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Витрати за п'ять років</w:t>
            </w:r>
          </w:p>
        </w:tc>
      </w:tr>
      <w:tr>
        <w:trPr>
          <w:tblCellSpacing w:w="22" w:type="dxa"/>
        </w:trPr>
        <w:tc>
          <w:tcPr>
            <w:tcW w:w="495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 xml:space="preserve">Оцінка «прямих» витрат </w:t>
            </w:r>
            <w:proofErr w:type="spellStart"/>
            <w:r>
              <w:t>суб</w:t>
            </w:r>
            <w:proofErr w:type="spellEnd"/>
            <w:r>
              <w:rPr>
                <w:lang w:val="ru-RU"/>
              </w:rPr>
              <w:t>’</w:t>
            </w:r>
            <w:proofErr w:type="spellStart"/>
            <w:r>
              <w:t>єктів</w:t>
            </w:r>
            <w:proofErr w:type="spellEnd"/>
            <w:r>
              <w:t xml:space="preserve"> малого підприємництва на виконання регулювання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1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Придбання необхідного обладнання (пристроїв, машин, механізмів)</w:t>
            </w:r>
            <w:r>
              <w:br/>
            </w:r>
            <w:r>
              <w:rPr>
                <w:i/>
                <w:iCs/>
              </w:rPr>
              <w:t>Формула:</w:t>
            </w:r>
            <w:r>
              <w:br/>
            </w:r>
            <w:r>
              <w:rPr>
                <w:i/>
                <w:iCs/>
              </w:rPr>
              <w:t>кількість необхідних одиниць обладнання Х вартість одиниці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rPr>
                <w:lang w:val="en-US"/>
              </w:rPr>
              <w:t>-</w:t>
            </w:r>
            <w:r>
              <w:t> 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2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  <w:r>
              <w:br/>
            </w:r>
            <w:r>
              <w:rPr>
                <w:i/>
                <w:iCs/>
              </w:rPr>
              <w:t>Формула:</w:t>
            </w:r>
            <w:r>
              <w:br/>
            </w:r>
            <w:r>
              <w:rPr>
                <w:i/>
                <w:iCs/>
              </w:rPr>
              <w:t xml:space="preserve">прямі витрати на процедури повірки (проведення первинного обстеження) в органі державної влади + витрати часу на процедуру обліку (на одиницю </w:t>
            </w:r>
            <w:r>
              <w:rPr>
                <w:i/>
                <w:iCs/>
              </w:rPr>
              <w:lastRenderedPageBreak/>
              <w:t>обладнання) Х вартість часу суб'єкта малого підприємництва (заробітна плата) Х оціночна кількість процедур обліку за рік) Х кількість необхідних одиниць обладнання одному суб'єкту малого підприємництва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rPr>
                <w:lang w:val="en-US"/>
              </w:rPr>
              <w:lastRenderedPageBreak/>
              <w:t>-</w:t>
            </w:r>
            <w:r>
              <w:t> 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Процедури експлуатації обладнання (експлуатаційні витрати - витратні матеріали)</w:t>
            </w:r>
            <w:r>
              <w:br/>
            </w:r>
            <w:r>
              <w:rPr>
                <w:i/>
                <w:iCs/>
              </w:rPr>
              <w:t>Формула:</w:t>
            </w:r>
            <w:r>
              <w:br/>
            </w:r>
            <w:r>
              <w:rPr>
                <w:i/>
                <w:iCs/>
              </w:rPr>
              <w:t>оцінка витрат на експлуатацію обладнання (витратні матеріали та ресурси на одиницю обладнання на рік) Х кількість необхідних одиниць обладнання одному суб'єкту малого підприємництва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4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Процедури обслуговування обладнання (технічне обслуговування)</w:t>
            </w:r>
            <w:r>
              <w:br/>
            </w:r>
            <w:r>
              <w:rPr>
                <w:i/>
                <w:iCs/>
              </w:rPr>
              <w:t>Формула:</w:t>
            </w:r>
            <w:r>
              <w:br/>
            </w:r>
            <w:r>
              <w:rPr>
                <w:i/>
                <w:iCs/>
              </w:rPr>
              <w:t>оцінка вартості процедури обслуговування обладнання (на одиницю обладнання) Х кількість процедур технічного обслуговування на рік на одиницю обладнання Х кількість необхідних одиниць обладнання одному суб'єкту малого підприємництва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rPr>
                <w:lang w:val="en-US"/>
              </w:rPr>
              <w:t>-</w:t>
            </w:r>
            <w:r>
              <w:t> 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5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Інші процедури, а саме витрати на папір та друк заяв, а також поштові витрати на відправку листа з рекомендованим повідомленням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</w:t>
            </w:r>
            <w:r>
              <w:rPr>
                <w:bCs/>
              </w:rPr>
              <w:t>0 грн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 </w:t>
            </w:r>
            <w:r>
              <w:rPr>
                <w:bCs/>
              </w:rPr>
              <w:t>0 грн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 </w:t>
            </w:r>
            <w:r>
              <w:rPr>
                <w:bCs/>
              </w:rPr>
              <w:t>0 грн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6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Разом, гривень</w:t>
            </w:r>
            <w:r>
              <w:br/>
            </w:r>
            <w:r>
              <w:rPr>
                <w:i/>
                <w:iCs/>
              </w:rPr>
              <w:t>Формула:</w:t>
            </w:r>
            <w:r>
              <w:br/>
            </w:r>
            <w:r>
              <w:rPr>
                <w:i/>
                <w:iCs/>
              </w:rPr>
              <w:t>(сума рядків 1 + 2 + 3 + 4 + 5)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Х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7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 xml:space="preserve">Кількість </w:t>
            </w:r>
            <w:proofErr w:type="spellStart"/>
            <w:r>
              <w:t>суб</w:t>
            </w:r>
            <w:proofErr w:type="spellEnd"/>
            <w:r>
              <w:rPr>
                <w:lang w:val="ru-RU"/>
              </w:rPr>
              <w:t>’</w:t>
            </w:r>
            <w:proofErr w:type="spellStart"/>
            <w:r>
              <w:t>єктів</w:t>
            </w:r>
            <w:proofErr w:type="spellEnd"/>
            <w:r>
              <w:t xml:space="preserve"> господарювання, що повинні виконати вимоги регулювання, одиниць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35,3 тис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35,3 тис 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pStyle w:val="a3"/>
              <w:jc w:val="center"/>
            </w:pPr>
            <w:r>
              <w:t>35,3 тис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8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Сумарно, гривень</w:t>
            </w:r>
            <w:r>
              <w:br/>
            </w:r>
            <w:r>
              <w:rPr>
                <w:i/>
                <w:iCs/>
              </w:rPr>
              <w:t>Формула:</w:t>
            </w:r>
            <w:r>
              <w:br/>
            </w:r>
            <w:r>
              <w:rPr>
                <w:i/>
                <w:iCs/>
              </w:rPr>
              <w:t>відповідний стовпчик "разом" Х кількість суб'єктів малого підприємництва, що повинні виконати вимоги регулювання (рядок 6 Х рядок 7)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</w:t>
            </w:r>
            <w:r>
              <w:rPr>
                <w:bCs/>
              </w:rPr>
              <w:t>0 грн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 </w:t>
            </w:r>
            <w:r>
              <w:rPr>
                <w:bCs/>
              </w:rPr>
              <w:t>0 грн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</w:t>
            </w:r>
            <w:r>
              <w:rPr>
                <w:bCs/>
              </w:rPr>
              <w:t>0 грн</w:t>
            </w:r>
          </w:p>
        </w:tc>
      </w:tr>
      <w:tr>
        <w:trPr>
          <w:tblCellSpacing w:w="22" w:type="dxa"/>
        </w:trPr>
        <w:tc>
          <w:tcPr>
            <w:tcW w:w="495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rPr>
                <w:i/>
                <w:iCs/>
              </w:rPr>
            </w:pPr>
            <w:r>
              <w:t>Процедури отримання первинної інформації про вимоги регулювання</w:t>
            </w:r>
            <w:r>
              <w:br/>
            </w:r>
            <w:r>
              <w:rPr>
                <w:i/>
                <w:iCs/>
              </w:rPr>
              <w:t>Формула:</w:t>
            </w:r>
            <w:r>
              <w:br/>
            </w:r>
            <w:r>
              <w:rPr>
                <w:i/>
                <w:iCs/>
              </w:rPr>
              <w:t>витрати часу на отримання інформації про регулювання, отримання необхідних форм та заявок Х вартість часу суб'єкта малого підприємництва (заробітна плата) Х оціночна кількість форм</w:t>
            </w:r>
          </w:p>
          <w:p>
            <w:pPr>
              <w:pStyle w:val="a3"/>
            </w:pPr>
            <w:r>
              <w:t>(0,5 год  </w:t>
            </w:r>
            <w:r>
              <w:rPr>
                <w:sz w:val="18"/>
                <w:szCs w:val="18"/>
              </w:rPr>
              <w:t>х</w:t>
            </w:r>
            <w:r>
              <w:t xml:space="preserve"> 36,36 грн)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18,18 грн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18,18 грн 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90,90 грн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10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rPr>
                <w:i/>
                <w:iCs/>
              </w:rPr>
            </w:pPr>
            <w:r>
              <w:t>Процедури організації виконання вимог регулювання</w:t>
            </w:r>
            <w:r>
              <w:br/>
            </w:r>
            <w:r>
              <w:rPr>
                <w:i/>
                <w:iCs/>
              </w:rPr>
              <w:t>Формула:</w:t>
            </w:r>
            <w:r>
              <w:br/>
            </w:r>
            <w:r>
              <w:rPr>
                <w:i/>
                <w:iCs/>
              </w:rPr>
              <w:t xml:space="preserve">витрати часу на розроблення та впровадження внутрішніх для суб'єкта малого підприємництва процедур на впровадження вимог регулювання Х вартість часу </w:t>
            </w:r>
            <w:r>
              <w:t>суб’єктів</w:t>
            </w:r>
            <w:r>
              <w:rPr>
                <w:i/>
                <w:iCs/>
              </w:rPr>
              <w:t xml:space="preserve"> малого підприємництва (заробітна плата) Х оціночна кількість внутрішніх процедур</w:t>
            </w:r>
          </w:p>
          <w:p>
            <w:pPr>
              <w:pStyle w:val="a3"/>
            </w:pPr>
            <w:r>
              <w:rPr>
                <w:i/>
                <w:iCs/>
              </w:rPr>
              <w:t>(</w:t>
            </w:r>
            <w:r>
              <w:rPr>
                <w:iCs/>
              </w:rPr>
              <w:t xml:space="preserve">0,25 год </w:t>
            </w:r>
            <w:r>
              <w:rPr>
                <w:sz w:val="18"/>
                <w:szCs w:val="18"/>
              </w:rPr>
              <w:t xml:space="preserve">х </w:t>
            </w:r>
            <w:r>
              <w:t xml:space="preserve">36,36 грн)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9,09 грн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9,09 грн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45,45 грн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11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Процедури офіційного звітування</w:t>
            </w:r>
            <w:r>
              <w:br/>
            </w:r>
            <w:r>
              <w:rPr>
                <w:i/>
                <w:iCs/>
              </w:rPr>
              <w:t>Формула:</w:t>
            </w:r>
            <w:r>
              <w:br/>
            </w:r>
            <w:r>
              <w:rPr>
                <w:i/>
                <w:iCs/>
              </w:rPr>
              <w:t xml:space="preserve"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</w:t>
            </w:r>
            <w:r>
              <w:rPr>
                <w:i/>
              </w:rPr>
              <w:t>суб’єктів</w:t>
            </w:r>
            <w:r>
              <w:rPr>
                <w:i/>
                <w:iCs/>
              </w:rPr>
              <w:t>, що користуються формами засобів - окремо електронна звітність, звітність до органу, поштовим зв'язком тощо) + оцінка витрат часу на корегування (оцінка природного рівня помилок)) Х вартість часу суб'єкта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12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Процедури щодо забезпечення процесу перевірок</w:t>
            </w:r>
            <w:r>
              <w:br/>
            </w:r>
            <w:r>
              <w:rPr>
                <w:i/>
                <w:iCs/>
              </w:rPr>
              <w:t>Формула:</w:t>
            </w:r>
            <w:r>
              <w:br/>
            </w:r>
            <w:r>
              <w:rPr>
                <w:i/>
                <w:iCs/>
              </w:rPr>
              <w:t xml:space="preserve">витрати часу на забезпечення </w:t>
            </w:r>
            <w:r>
              <w:rPr>
                <w:i/>
                <w:iCs/>
              </w:rPr>
              <w:lastRenderedPageBreak/>
              <w:t>процесу перевірок з боку контролюючих органів Х вартість часу суб'єкта малого підприємництва (заробітна плата) Х оціночна кількість перевірок за рік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lastRenderedPageBreak/>
              <w:t>13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Інші процедури (уточнити)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14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Разом, гривень</w:t>
            </w:r>
            <w:r>
              <w:br/>
            </w:r>
            <w:r>
              <w:rPr>
                <w:i/>
                <w:iCs/>
              </w:rPr>
              <w:t>Формула:</w:t>
            </w:r>
            <w:r>
              <w:br/>
            </w:r>
            <w:r>
              <w:rPr>
                <w:i/>
                <w:iCs/>
              </w:rPr>
              <w:t>(сума рядків 9 + 10 + 11 + 12 + 13)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27,27 грн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Х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136,35 грн 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15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Кількість суб'єктів малого підприємництва, що повинні виконати вимоги регулювання, одиниць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35,3 тис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35,3 тис 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35,3 тис</w:t>
            </w:r>
          </w:p>
        </w:tc>
      </w:tr>
      <w:tr>
        <w:trPr>
          <w:tblCellSpacing w:w="22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16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Сумарно, гривень</w:t>
            </w:r>
            <w:r>
              <w:br/>
            </w:r>
            <w:r>
              <w:rPr>
                <w:i/>
                <w:iCs/>
              </w:rPr>
              <w:t>Формула:</w:t>
            </w:r>
            <w:r>
              <w:br/>
            </w:r>
            <w:r>
              <w:rPr>
                <w:i/>
                <w:iCs/>
              </w:rPr>
              <w:t>відповідний стовпчик "разом" Х кількість суб'єктів малого підприємництва, що повинні виконати вимоги регулювання (рядок 14 Х рядок 15</w:t>
            </w:r>
            <w:r>
              <w:t>)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962,6 тис грн 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Х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4,8 млн грн</w:t>
            </w:r>
            <w:bookmarkStart w:id="0" w:name="_GoBack"/>
            <w:bookmarkEnd w:id="0"/>
          </w:p>
        </w:tc>
      </w:tr>
    </w:tbl>
    <w:p>
      <w:pPr>
        <w:pStyle w:val="a3"/>
        <w:jc w:val="both"/>
        <w:rPr>
          <w:rFonts w:eastAsia="Times New Roman"/>
        </w:rPr>
      </w:pPr>
      <w:r>
        <w:br w:type="textWrapping" w:clear="all"/>
      </w:r>
    </w:p>
    <w:sectPr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460434"/>
      <w:docPartObj>
        <w:docPartGallery w:val="Page Numbers (Top of Page)"/>
        <w:docPartUnique/>
      </w:docPartObj>
    </w:sdtPr>
    <w:sdtContent>
      <w:p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3497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ГОРОБЕЙ ЛЮДМИЛА АНАТОЛІЇВНА</dc:creator>
  <cp:lastModifiedBy>ГОРОБЕЙ ЛЮДМИЛА АНАТОЛІЇВНА</cp:lastModifiedBy>
  <cp:revision>3</cp:revision>
  <dcterms:created xsi:type="dcterms:W3CDTF">2021-05-21T12:42:00Z</dcterms:created>
  <dcterms:modified xsi:type="dcterms:W3CDTF">2021-05-21T12:42:00Z</dcterms:modified>
</cp:coreProperties>
</file>