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41" w:rsidRDefault="00804F78">
      <w:pPr>
        <w:pStyle w:val="break"/>
        <w:spacing w:after="150"/>
        <w:jc w:val="both"/>
        <w:rPr>
          <w:rStyle w:val="spanrvts0"/>
          <w:lang w:val="uk" w:eastAsia="uk"/>
        </w:rPr>
      </w:pPr>
      <w:r>
        <w:pict>
          <v:rect id="_x0000_i1025" style="width:0;height:.75pt" o:hrpct="0" o:hrstd="t" o:hr="t" fillcolor="gray" stroked="f">
            <v:path strokeok="f"/>
          </v:rect>
        </w:pict>
      </w:r>
      <w:bookmarkStart w:id="0" w:name="n29"/>
      <w:bookmarkEnd w:id="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607141" w:rsidRPr="00804F78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41" w:rsidRDefault="0060714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" w:name="n10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141" w:rsidRDefault="00804F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ЗАТВЕРДЖЕНО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Наказ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Міністерства фінансів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hyperlink r:id="rId6" w:anchor="n9" w:tgtFrame="_blank" w:history="1">
              <w:r>
                <w:rPr>
                  <w:rStyle w:val="arvts101"/>
                  <w:lang w:val="uk" w:eastAsia="uk"/>
                </w:rPr>
                <w:t xml:space="preserve">21.01.2016 № </w:t>
              </w:r>
              <w:r>
                <w:rPr>
                  <w:rStyle w:val="arvts101"/>
                  <w:lang w:val="uk" w:eastAsia="uk"/>
                </w:rPr>
                <w:t>13</w:t>
              </w:r>
            </w:hyperlink>
          </w:p>
        </w:tc>
      </w:tr>
    </w:tbl>
    <w:p w:rsidR="00607141" w:rsidRPr="00804F78" w:rsidRDefault="00607141">
      <w:pPr>
        <w:rPr>
          <w:vanish/>
          <w:lang w:val="ru-RU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607141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141" w:rsidRDefault="0060714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" w:name="n11"/>
            <w:bookmarkEnd w:id="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141" w:rsidRDefault="00804F7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11 лютого 2016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222/28352</w:t>
            </w:r>
          </w:p>
        </w:tc>
      </w:tr>
    </w:tbl>
    <w:p w:rsidR="00607141" w:rsidRDefault="00804F78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3" w:name="n12"/>
      <w:bookmarkStart w:id="4" w:name="_GoBack"/>
      <w:bookmarkEnd w:id="3"/>
      <w:r>
        <w:rPr>
          <w:rStyle w:val="spanrvts23"/>
          <w:lang w:val="uk" w:eastAsia="uk"/>
        </w:rPr>
        <w:t xml:space="preserve">ІНСТРУКЦІЯ </w:t>
      </w:r>
      <w:bookmarkEnd w:id="4"/>
      <w:r>
        <w:rPr>
          <w:rStyle w:val="spanrvts23"/>
          <w:lang w:val="uk" w:eastAsia="uk"/>
        </w:rPr>
        <w:br/>
        <w:t xml:space="preserve">щодо заповнення </w:t>
      </w:r>
      <w:hyperlink w:anchor="n5" w:history="1">
        <w:r>
          <w:rPr>
            <w:rStyle w:val="arvts115"/>
            <w:lang w:val="uk" w:eastAsia="uk"/>
          </w:rPr>
          <w:t>Звіту про використання книг обліку розрахункових операцій (розрахункових книжок)</w:t>
        </w:r>
      </w:hyperlink>
      <w:r>
        <w:rPr>
          <w:rStyle w:val="spanrvts23"/>
          <w:lang w:val="uk" w:eastAsia="uk"/>
        </w:rPr>
        <w:t xml:space="preserve"> за формою № ЗВР-1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5" w:name="n13"/>
      <w:bookmarkEnd w:id="5"/>
      <w:r>
        <w:rPr>
          <w:rStyle w:val="spanrvts0"/>
          <w:lang w:val="uk" w:eastAsia="uk"/>
        </w:rPr>
        <w:t xml:space="preserve">1. Звіт про використання книг обліку розрахункових операцій (розрахункових книжок) за </w:t>
      </w:r>
      <w:hyperlink w:anchor="n5" w:history="1">
        <w:r>
          <w:rPr>
            <w:rStyle w:val="arvts99"/>
            <w:lang w:val="uk" w:eastAsia="uk"/>
          </w:rPr>
          <w:t>формою № ЗВР-1</w:t>
        </w:r>
      </w:hyperlink>
      <w:r>
        <w:rPr>
          <w:rStyle w:val="spanrvts0"/>
          <w:lang w:val="uk" w:eastAsia="uk"/>
        </w:rPr>
        <w:t xml:space="preserve"> (далі - Звіт) складається в розрізі всіх зареєстрованих книг обліку розрахункових операцій, які використовувались протягом звітного м</w:t>
      </w:r>
      <w:r>
        <w:rPr>
          <w:rStyle w:val="spanrvts0"/>
          <w:lang w:val="uk" w:eastAsia="uk"/>
        </w:rPr>
        <w:t>ісяця.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6" w:name="n14"/>
      <w:bookmarkEnd w:id="6"/>
      <w:r>
        <w:rPr>
          <w:rStyle w:val="spanrvts0"/>
          <w:lang w:val="uk" w:eastAsia="uk"/>
        </w:rPr>
        <w:t xml:space="preserve">2. У рядку «До державної податкової інспекції» зазначається назва району, міста, району в місті та міста (для міст з районним розподілом). У рядку «реквізити суб'єкта господарювання» наводяться найменування суб’єкта господарювання (далі — СГ) </w:t>
      </w:r>
      <w:r>
        <w:rPr>
          <w:rStyle w:val="spanrvts0"/>
          <w:lang w:val="uk" w:eastAsia="uk"/>
        </w:rPr>
        <w:t>(найменування для юридичних осіб або прізвище, ім’я, по батькові (за наявності) для фізичних осіб — підприємців), податковий номер або серія (за наявності) та номера паспорта (для фізичних осіб — підприємців, які через свої релігійні переконання відмовилис</w:t>
      </w:r>
      <w:r>
        <w:rPr>
          <w:rStyle w:val="spanrvts0"/>
          <w:lang w:val="uk" w:eastAsia="uk"/>
        </w:rPr>
        <w:t>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паспорті) та його місцезнаходження (місце проживання).</w:t>
      </w:r>
    </w:p>
    <w:p w:rsidR="00607141" w:rsidRDefault="00804F78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7" w:name="n31"/>
      <w:bookmarkEnd w:id="7"/>
      <w:r>
        <w:rPr>
          <w:rStyle w:val="spanrvts46"/>
          <w:lang w:val="uk" w:eastAsia="uk"/>
        </w:rPr>
        <w:t>{Пункт 2 із змінами, внесеними згідно з</w:t>
      </w:r>
      <w:r>
        <w:rPr>
          <w:rStyle w:val="spanrvts11"/>
          <w:lang w:val="uk" w:eastAsia="uk"/>
        </w:rPr>
        <w:t xml:space="preserve"> Наказом </w:t>
      </w:r>
      <w:r>
        <w:rPr>
          <w:rStyle w:val="spanrvts11"/>
          <w:lang w:val="uk" w:eastAsia="uk"/>
        </w:rPr>
        <w:t xml:space="preserve">Міністерства фінансів </w:t>
      </w:r>
      <w:hyperlink r:id="rId7" w:anchor="n12" w:tgtFrame="_blank" w:history="1">
        <w:r>
          <w:rPr>
            <w:rStyle w:val="arvts100"/>
            <w:lang w:val="uk" w:eastAsia="uk"/>
          </w:rPr>
          <w:t>№ 601 від 22.11.2024</w:t>
        </w:r>
      </w:hyperlink>
      <w:r>
        <w:rPr>
          <w:rStyle w:val="spanrvts11"/>
          <w:lang w:val="uk" w:eastAsia="uk"/>
        </w:rPr>
        <w:t xml:space="preserve">, з урахуванням змін, внесених Наказом Міністерства фінансів </w:t>
      </w:r>
      <w:hyperlink r:id="rId8" w:anchor="n9" w:tgtFrame="_blank" w:history="1">
        <w:r>
          <w:rPr>
            <w:rStyle w:val="arvts100"/>
            <w:lang w:val="uk" w:eastAsia="uk"/>
          </w:rPr>
          <w:t>№ 632 від 11.12.2024</w:t>
        </w:r>
      </w:hyperlink>
      <w:r>
        <w:rPr>
          <w:rStyle w:val="spanrvts46"/>
          <w:lang w:val="uk" w:eastAsia="uk"/>
        </w:rPr>
        <w:t>}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8" w:name="n15"/>
      <w:bookmarkEnd w:id="8"/>
      <w:r>
        <w:rPr>
          <w:rStyle w:val="spanrvts0"/>
          <w:lang w:val="uk" w:eastAsia="uk"/>
        </w:rPr>
        <w:t>3. У графах 1 - 3 вказуються такі дані: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9" w:name="n16"/>
      <w:bookmarkEnd w:id="9"/>
      <w:r>
        <w:rPr>
          <w:rStyle w:val="spanrvts0"/>
          <w:lang w:val="uk" w:eastAsia="uk"/>
        </w:rPr>
        <w:t>у графі 1 - порядковий номер запису у Звіті;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0" w:name="n17"/>
      <w:bookmarkEnd w:id="10"/>
      <w:r>
        <w:rPr>
          <w:rStyle w:val="spanrvts0"/>
          <w:lang w:val="uk" w:eastAsia="uk"/>
        </w:rPr>
        <w:t>у графі 2 - фіскальний номер книги обліку розрахункових операцій, зареєстрованої на господарську одиницю;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1" w:name="n18"/>
      <w:bookmarkEnd w:id="11"/>
      <w:r>
        <w:rPr>
          <w:rStyle w:val="spanrvts0"/>
          <w:lang w:val="uk" w:eastAsia="uk"/>
        </w:rPr>
        <w:t>у графах 3 - 5 - записуються такі</w:t>
      </w:r>
      <w:r>
        <w:rPr>
          <w:rStyle w:val="spanrvts0"/>
          <w:lang w:val="uk" w:eastAsia="uk"/>
        </w:rPr>
        <w:t xml:space="preserve"> суми розрахунків за звітний місяць: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2" w:name="n19"/>
      <w:bookmarkEnd w:id="12"/>
      <w:r>
        <w:rPr>
          <w:rStyle w:val="spanrvts0"/>
          <w:lang w:val="uk" w:eastAsia="uk"/>
        </w:rPr>
        <w:t>у графі 3 - загальна сума проведених за звітний місяць розрахункових операцій, тобто сума коштів, яку отримано від покупців за реалізовані товари (надані послуги);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3" w:name="n20"/>
      <w:bookmarkEnd w:id="13"/>
      <w:r>
        <w:rPr>
          <w:rStyle w:val="spanrvts0"/>
          <w:lang w:val="uk" w:eastAsia="uk"/>
        </w:rPr>
        <w:t>у графі 4 - частина суми розрахунків, зазначеної в граф</w:t>
      </w:r>
      <w:r>
        <w:rPr>
          <w:rStyle w:val="spanrvts0"/>
          <w:lang w:val="uk" w:eastAsia="uk"/>
        </w:rPr>
        <w:t>і 3, що оподатковується податком на додану вартість (далі - ПДВ);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4" w:name="n21"/>
      <w:bookmarkEnd w:id="14"/>
      <w:r>
        <w:rPr>
          <w:rStyle w:val="spanrvts0"/>
          <w:lang w:val="uk" w:eastAsia="uk"/>
        </w:rPr>
        <w:t>у графі 5 - частина суми розрахунків, зазначеної в графі 3, що оподатковується акцизним податком;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5" w:name="n22"/>
      <w:bookmarkEnd w:id="15"/>
      <w:r>
        <w:rPr>
          <w:rStyle w:val="spanrvts0"/>
          <w:lang w:val="uk" w:eastAsia="uk"/>
        </w:rPr>
        <w:lastRenderedPageBreak/>
        <w:t>у графі 6 - сума ПДВ, обчислена виходячи із суми розрахунків, зазначеної у графі 4;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6" w:name="n23"/>
      <w:bookmarkEnd w:id="16"/>
      <w:r>
        <w:rPr>
          <w:rStyle w:val="spanrvts0"/>
          <w:lang w:val="uk" w:eastAsia="uk"/>
        </w:rPr>
        <w:t xml:space="preserve">у графі </w:t>
      </w:r>
      <w:r>
        <w:rPr>
          <w:rStyle w:val="spanrvts0"/>
          <w:lang w:val="uk" w:eastAsia="uk"/>
        </w:rPr>
        <w:t>7 - сума акцизного податку, обчислена виходячи із суми розрахунків, зазначеної у графі 5;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7" w:name="n24"/>
      <w:bookmarkEnd w:id="17"/>
      <w:r>
        <w:rPr>
          <w:rStyle w:val="spanrvts0"/>
          <w:lang w:val="uk" w:eastAsia="uk"/>
        </w:rPr>
        <w:t>у графі 8 записується загальна сума коштів, виданих при поверненні товару (рекомпенсації послуги тощо). Якщо протягом звітного місяця через розрахункову книжку були з</w:t>
      </w:r>
      <w:r>
        <w:rPr>
          <w:rStyle w:val="spanrvts0"/>
          <w:lang w:val="uk" w:eastAsia="uk"/>
        </w:rPr>
        <w:t>ареєстровані помилково введені суми, то ці суми не включаються до граф 3-8. За бажанням СГ до Звіту можна додати пояснювальну записку щодо помилково введених сум.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8" w:name="n25"/>
      <w:bookmarkEnd w:id="18"/>
      <w:r>
        <w:rPr>
          <w:rStyle w:val="spanrvts0"/>
          <w:lang w:val="uk" w:eastAsia="uk"/>
        </w:rPr>
        <w:t>6. У рядку «Разом» у графах 3-8 записуються підсумки показників за відповідними графами.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19" w:name="n26"/>
      <w:bookmarkEnd w:id="19"/>
      <w:r>
        <w:rPr>
          <w:rStyle w:val="spanrvts0"/>
          <w:lang w:val="uk" w:eastAsia="uk"/>
        </w:rPr>
        <w:t>7. З</w:t>
      </w:r>
      <w:r>
        <w:rPr>
          <w:rStyle w:val="spanrvts0"/>
          <w:lang w:val="uk" w:eastAsia="uk"/>
        </w:rPr>
        <w:t>віт підписують директор (керівник) та головний бухгалтер - для юридичних осіб, особисто громадянин-підприємець - для фізичних осіб. Факт прийняття Звіту контролюючим органом засвідчується підписом уповноваженої посадової особи цього органу із зазначенням д</w:t>
      </w:r>
      <w:r>
        <w:rPr>
          <w:rStyle w:val="spanrvts0"/>
          <w:lang w:val="uk" w:eastAsia="uk"/>
        </w:rPr>
        <w:t>ати його подання.</w:t>
      </w:r>
    </w:p>
    <w:p w:rsidR="00607141" w:rsidRDefault="00804F78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0" w:name="n32"/>
      <w:bookmarkEnd w:id="20"/>
      <w:r>
        <w:rPr>
          <w:rStyle w:val="spanrvts46"/>
          <w:lang w:val="uk" w:eastAsia="uk"/>
        </w:rPr>
        <w:t>{Пункт 7 із змінами, внесеними згідно з</w:t>
      </w:r>
      <w:r>
        <w:rPr>
          <w:rStyle w:val="spanrvts11"/>
          <w:lang w:val="uk" w:eastAsia="uk"/>
        </w:rPr>
        <w:t xml:space="preserve"> Наказом Міністерства фінансів </w:t>
      </w:r>
      <w:hyperlink r:id="rId9" w:anchor="n13" w:tgtFrame="_blank" w:history="1">
        <w:r>
          <w:rPr>
            <w:rStyle w:val="arvts100"/>
            <w:lang w:val="uk" w:eastAsia="uk"/>
          </w:rPr>
          <w:t>№ 601 від 22.11.2024</w:t>
        </w:r>
      </w:hyperlink>
      <w:r>
        <w:rPr>
          <w:rStyle w:val="spanrvts46"/>
          <w:lang w:val="uk" w:eastAsia="uk"/>
        </w:rPr>
        <w:t>}</w:t>
      </w:r>
    </w:p>
    <w:p w:rsidR="00607141" w:rsidRDefault="00804F78">
      <w:pPr>
        <w:pStyle w:val="rvps2"/>
        <w:spacing w:after="150"/>
        <w:rPr>
          <w:rStyle w:val="spanrvts0"/>
          <w:lang w:val="uk" w:eastAsia="uk"/>
        </w:rPr>
      </w:pPr>
      <w:bookmarkStart w:id="21" w:name="n27"/>
      <w:bookmarkEnd w:id="21"/>
      <w:r>
        <w:rPr>
          <w:rStyle w:val="spanrvts0"/>
          <w:lang w:val="uk" w:eastAsia="uk"/>
        </w:rPr>
        <w:t>8. Звіт скріплюється печаткою СГ, якщо наявність такої у СГ пере</w:t>
      </w:r>
      <w:r>
        <w:rPr>
          <w:rStyle w:val="spanrvts0"/>
          <w:lang w:val="uk" w:eastAsia="uk"/>
        </w:rPr>
        <w:t>дбачена чинним законодавством.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607141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141" w:rsidRDefault="00804F78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22" w:name="n28"/>
            <w:bookmarkEnd w:id="22"/>
            <w:r>
              <w:rPr>
                <w:rStyle w:val="spanrvts44"/>
                <w:lang w:val="uk" w:eastAsia="uk"/>
              </w:rPr>
              <w:t>Директор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Департаменту податкової,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митної політики та методології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бухгалтерського обліку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141" w:rsidRDefault="00804F78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Ю.П. Романюк</w:t>
            </w:r>
          </w:p>
        </w:tc>
      </w:tr>
    </w:tbl>
    <w:p w:rsidR="00607141" w:rsidRDefault="00607141" w:rsidP="00804F78">
      <w:pPr>
        <w:pStyle w:val="stamp"/>
        <w:rPr>
          <w:lang w:val="uk" w:eastAsia="uk"/>
        </w:rPr>
      </w:pPr>
    </w:p>
    <w:sectPr w:rsidR="00607141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80FA6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186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623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0EB0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6092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C8B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90F8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905D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A44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41"/>
    <w:rsid w:val="00607141"/>
    <w:rsid w:val="0080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14">
    <w:name w:val="rvps14"/>
    <w:basedOn w:val="a"/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11">
    <w:name w:val="rvps11"/>
    <w:basedOn w:val="a"/>
    <w:pPr>
      <w:jc w:val="right"/>
    </w:pPr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0">
    <w:name w:val="span_rvts90"/>
    <w:basedOn w:val="a0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  <w:style w:type="paragraph" w:customStyle="1" w:styleId="rvps2">
    <w:name w:val="rvps2"/>
    <w:basedOn w:val="a"/>
    <w:pPr>
      <w:ind w:firstLine="450"/>
      <w:jc w:val="both"/>
    </w:pPr>
  </w:style>
  <w:style w:type="paragraph" w:customStyle="1" w:styleId="rvps12">
    <w:name w:val="rvps12"/>
    <w:basedOn w:val="a"/>
    <w:pPr>
      <w:jc w:val="center"/>
    </w:p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15">
    <w:name w:val="a_rvts115"/>
    <w:basedOn w:val="a0"/>
    <w:rPr>
      <w:rFonts w:ascii="Times New Roman" w:eastAsia="Times New Roman" w:hAnsi="Times New Roman" w:cs="Times New Roman"/>
      <w:b/>
      <w:bCs/>
      <w:i w:val="0"/>
      <w:iCs w:val="0"/>
      <w:color w:val="006600"/>
      <w:sz w:val="32"/>
      <w:szCs w:val="32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804F7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4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14">
    <w:name w:val="rvps14"/>
    <w:basedOn w:val="a"/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11">
    <w:name w:val="rvps11"/>
    <w:basedOn w:val="a"/>
    <w:pPr>
      <w:jc w:val="right"/>
    </w:pPr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0">
    <w:name w:val="span_rvts90"/>
    <w:basedOn w:val="a0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  <w:style w:type="paragraph" w:customStyle="1" w:styleId="rvps2">
    <w:name w:val="rvps2"/>
    <w:basedOn w:val="a"/>
    <w:pPr>
      <w:ind w:firstLine="450"/>
      <w:jc w:val="both"/>
    </w:pPr>
  </w:style>
  <w:style w:type="paragraph" w:customStyle="1" w:styleId="rvps12">
    <w:name w:val="rvps12"/>
    <w:basedOn w:val="a"/>
    <w:pPr>
      <w:jc w:val="center"/>
    </w:p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15">
    <w:name w:val="a_rvts115"/>
    <w:basedOn w:val="a0"/>
    <w:rPr>
      <w:rFonts w:ascii="Times New Roman" w:eastAsia="Times New Roman" w:hAnsi="Times New Roman" w:cs="Times New Roman"/>
      <w:b/>
      <w:bCs/>
      <w:i w:val="0"/>
      <w:iCs w:val="0"/>
      <w:color w:val="006600"/>
      <w:sz w:val="32"/>
      <w:szCs w:val="32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804F7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4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903-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187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220-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87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Інструкція щодо заповнення Звіту про використання книг обліку розрахункових операцій (розрахункових книжок) за формою № ЗВР-1 | від 21.01.2016 № 13</vt:lpstr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 щодо заповнення Звіту про використання книг обліку розрахункових операцій (розрахункових книжок) за формою № ЗВР-1 | від 21.01.2016 № 13</dc:title>
  <dc:creator>КОВАЛЬ ЮЛІЯ ОЛЕКСАНДРІВНА</dc:creator>
  <cp:lastModifiedBy>ЩИТНІК ЮЛІЯ ОЛЕКСАНДРІВНА</cp:lastModifiedBy>
  <cp:revision>2</cp:revision>
  <dcterms:created xsi:type="dcterms:W3CDTF">2025-02-10T10:40:00Z</dcterms:created>
  <dcterms:modified xsi:type="dcterms:W3CDTF">2025-02-10T10:40:00Z</dcterms:modified>
</cp:coreProperties>
</file>