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71" w:rsidRPr="00864B9E" w:rsidRDefault="00980871" w:rsidP="00980871">
      <w:pPr>
        <w:jc w:val="center"/>
        <w:rPr>
          <w:b/>
          <w:sz w:val="28"/>
          <w:szCs w:val="28"/>
        </w:rPr>
      </w:pPr>
      <w:r w:rsidRPr="00864B9E">
        <w:rPr>
          <w:b/>
          <w:sz w:val="28"/>
          <w:szCs w:val="28"/>
        </w:rPr>
        <w:t>А</w:t>
      </w:r>
      <w:r>
        <w:rPr>
          <w:b/>
          <w:sz w:val="28"/>
          <w:szCs w:val="28"/>
        </w:rPr>
        <w:t xml:space="preserve">НАЛІЗ РЕГУЛЯТОРНОГО ВПЛИВУ </w:t>
      </w:r>
    </w:p>
    <w:p w:rsidR="00980871" w:rsidRPr="00864B9E" w:rsidRDefault="00980871" w:rsidP="00980871">
      <w:pPr>
        <w:contextualSpacing/>
        <w:jc w:val="center"/>
        <w:rPr>
          <w:b/>
          <w:bCs/>
          <w:sz w:val="28"/>
          <w:szCs w:val="28"/>
        </w:rPr>
      </w:pPr>
      <w:proofErr w:type="spellStart"/>
      <w:r w:rsidRPr="00864B9E">
        <w:rPr>
          <w:b/>
          <w:sz w:val="28"/>
          <w:szCs w:val="28"/>
        </w:rPr>
        <w:t>проєкту</w:t>
      </w:r>
      <w:proofErr w:type="spellEnd"/>
      <w:r w:rsidRPr="00864B9E">
        <w:rPr>
          <w:b/>
          <w:sz w:val="28"/>
          <w:szCs w:val="28"/>
        </w:rPr>
        <w:t xml:space="preserve"> наказу Міністерства фінансів України «Про затвердження </w:t>
      </w:r>
      <w:r w:rsidR="00611B95">
        <w:rPr>
          <w:b/>
          <w:sz w:val="28"/>
          <w:szCs w:val="28"/>
        </w:rPr>
        <w:t>Ф</w:t>
      </w:r>
      <w:r w:rsidRPr="00864B9E">
        <w:rPr>
          <w:b/>
          <w:sz w:val="28"/>
          <w:szCs w:val="28"/>
        </w:rPr>
        <w:t>ормату даних, структури, форм та Порядку заповнення електронних документів для наповнення Єдиного державного реєстру витратомірів</w:t>
      </w:r>
      <w:r w:rsidRPr="00390E62">
        <w:rPr>
          <w:sz w:val="28"/>
          <w:szCs w:val="28"/>
        </w:rPr>
        <w:t>-</w:t>
      </w:r>
      <w:r w:rsidRPr="00864B9E">
        <w:rPr>
          <w:b/>
          <w:sz w:val="28"/>
          <w:szCs w:val="28"/>
        </w:rPr>
        <w:t>лічильників і рівнемірів</w:t>
      </w:r>
      <w:r w:rsidRPr="00390E62">
        <w:rPr>
          <w:sz w:val="28"/>
          <w:szCs w:val="28"/>
        </w:rPr>
        <w:t>-</w:t>
      </w:r>
      <w:r w:rsidRPr="00864B9E">
        <w:rPr>
          <w:b/>
          <w:sz w:val="28"/>
          <w:szCs w:val="28"/>
        </w:rPr>
        <w:t>лічильників рівня пального у резервуарі»</w:t>
      </w:r>
    </w:p>
    <w:p w:rsidR="00980871" w:rsidRPr="00864B9E" w:rsidRDefault="00980871" w:rsidP="00980871">
      <w:pPr>
        <w:pStyle w:val="3"/>
        <w:spacing w:before="240" w:beforeAutospacing="0" w:after="120" w:afterAutospacing="0"/>
        <w:ind w:firstLine="567"/>
        <w:jc w:val="center"/>
        <w:rPr>
          <w:sz w:val="28"/>
          <w:szCs w:val="28"/>
          <w:lang w:val="uk-UA"/>
        </w:rPr>
      </w:pPr>
      <w:r w:rsidRPr="00864B9E">
        <w:rPr>
          <w:sz w:val="28"/>
          <w:szCs w:val="28"/>
          <w:lang w:val="uk-UA"/>
        </w:rPr>
        <w:t>І. Визначення проблеми</w:t>
      </w:r>
    </w:p>
    <w:p w:rsidR="00980871" w:rsidRPr="009E75F4" w:rsidRDefault="00980871" w:rsidP="009E75F4">
      <w:pPr>
        <w:pStyle w:val="ae"/>
        <w:ind w:firstLine="567"/>
        <w:jc w:val="both"/>
        <w:rPr>
          <w:sz w:val="28"/>
          <w:szCs w:val="28"/>
        </w:rPr>
      </w:pPr>
      <w:proofErr w:type="spellStart"/>
      <w:r w:rsidRPr="009E75F4">
        <w:rPr>
          <w:sz w:val="28"/>
          <w:szCs w:val="28"/>
        </w:rPr>
        <w:t>Проєкт</w:t>
      </w:r>
      <w:proofErr w:type="spellEnd"/>
      <w:r w:rsidRPr="009E75F4">
        <w:rPr>
          <w:sz w:val="28"/>
          <w:szCs w:val="28"/>
        </w:rPr>
        <w:t xml:space="preserve"> наказу Міністерства фінансів України «Про затвердження </w:t>
      </w:r>
      <w:r w:rsidR="00611B95" w:rsidRPr="009E75F4">
        <w:rPr>
          <w:sz w:val="28"/>
          <w:szCs w:val="28"/>
        </w:rPr>
        <w:t>Ф</w:t>
      </w:r>
      <w:r w:rsidRPr="009E75F4">
        <w:rPr>
          <w:sz w:val="28"/>
          <w:szCs w:val="28"/>
        </w:rPr>
        <w:t xml:space="preserve">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9E75F4">
        <w:rPr>
          <w:bCs/>
          <w:sz w:val="28"/>
          <w:szCs w:val="28"/>
        </w:rPr>
        <w:t xml:space="preserve">(далі – </w:t>
      </w:r>
      <w:proofErr w:type="spellStart"/>
      <w:r w:rsidRPr="009E75F4">
        <w:rPr>
          <w:bCs/>
          <w:sz w:val="28"/>
          <w:szCs w:val="28"/>
        </w:rPr>
        <w:t>Проєкт</w:t>
      </w:r>
      <w:proofErr w:type="spellEnd"/>
      <w:r w:rsidRPr="009E75F4">
        <w:rPr>
          <w:bCs/>
          <w:sz w:val="28"/>
          <w:szCs w:val="28"/>
        </w:rPr>
        <w:t>) розроблено д</w:t>
      </w:r>
      <w:r w:rsidRPr="009E75F4">
        <w:rPr>
          <w:color w:val="000000"/>
          <w:sz w:val="28"/>
          <w:szCs w:val="28"/>
        </w:rPr>
        <w:t xml:space="preserve">ля врахування </w:t>
      </w:r>
      <w:r w:rsidRPr="009E75F4">
        <w:rPr>
          <w:bCs/>
          <w:sz w:val="28"/>
          <w:szCs w:val="28"/>
        </w:rPr>
        <w:t xml:space="preserve">у форматі даних, структурі </w:t>
      </w:r>
      <w:r w:rsidRPr="009E75F4">
        <w:rPr>
          <w:sz w:val="28"/>
          <w:szCs w:val="28"/>
        </w:rPr>
        <w:t xml:space="preserve">Єдиного державного реєстру витратомірів-лічильників і рівнемірів-лічильників рівня пального у резервуарі, формах </w:t>
      </w:r>
      <w:r w:rsidRPr="009E75F4">
        <w:rPr>
          <w:bCs/>
          <w:sz w:val="28"/>
          <w:szCs w:val="28"/>
        </w:rPr>
        <w:t>електронних документів змін</w:t>
      </w:r>
      <w:r w:rsidRPr="009E75F4">
        <w:rPr>
          <w:sz w:val="28"/>
          <w:szCs w:val="28"/>
        </w:rPr>
        <w:t xml:space="preserve"> до </w:t>
      </w:r>
      <w:r w:rsidRPr="009E75F4">
        <w:rPr>
          <w:bCs/>
          <w:sz w:val="28"/>
          <w:szCs w:val="28"/>
        </w:rPr>
        <w:t xml:space="preserve">статті 230 </w:t>
      </w:r>
      <w:r w:rsidRPr="009E75F4">
        <w:rPr>
          <w:sz w:val="28"/>
          <w:szCs w:val="28"/>
        </w:rPr>
        <w:t xml:space="preserve">розділу VI </w:t>
      </w:r>
      <w:r w:rsidRPr="009E75F4">
        <w:rPr>
          <w:bCs/>
          <w:sz w:val="28"/>
          <w:szCs w:val="28"/>
        </w:rPr>
        <w:t>Податкового кодексу України</w:t>
      </w:r>
      <w:r w:rsidR="003C6DA9" w:rsidRPr="009E75F4">
        <w:rPr>
          <w:bCs/>
          <w:sz w:val="28"/>
          <w:szCs w:val="28"/>
        </w:rPr>
        <w:t xml:space="preserve"> (далі – Кодекс)</w:t>
      </w:r>
      <w:r w:rsidRPr="009E75F4">
        <w:rPr>
          <w:bCs/>
          <w:sz w:val="28"/>
          <w:szCs w:val="28"/>
        </w:rPr>
        <w:t xml:space="preserve">, внесених </w:t>
      </w:r>
      <w:r w:rsidRPr="009E75F4">
        <w:rPr>
          <w:sz w:val="28"/>
          <w:szCs w:val="28"/>
        </w:rPr>
        <w:t>Законом України від 18</w:t>
      </w:r>
      <w:r w:rsidRPr="009E75F4">
        <w:rPr>
          <w:sz w:val="28"/>
          <w:szCs w:val="28"/>
          <w:lang w:val="en-US"/>
        </w:rPr>
        <w:t> </w:t>
      </w:r>
      <w:r w:rsidRPr="009E75F4">
        <w:rPr>
          <w:sz w:val="28"/>
          <w:szCs w:val="28"/>
        </w:rPr>
        <w:t>грудня 2019</w:t>
      </w:r>
      <w:r w:rsidR="009E75F4">
        <w:rPr>
          <w:sz w:val="28"/>
          <w:szCs w:val="28"/>
        </w:rPr>
        <w:t> </w:t>
      </w:r>
      <w:r w:rsidRPr="009E75F4">
        <w:rPr>
          <w:sz w:val="28"/>
          <w:szCs w:val="28"/>
        </w:rPr>
        <w:t>року №</w:t>
      </w:r>
      <w:r w:rsidRPr="009E75F4">
        <w:rPr>
          <w:sz w:val="28"/>
          <w:szCs w:val="28"/>
          <w:lang w:val="en-US"/>
        </w:rPr>
        <w:t> </w:t>
      </w:r>
      <w:r w:rsidRPr="009E75F4">
        <w:rPr>
          <w:sz w:val="28"/>
          <w:szCs w:val="28"/>
        </w:rPr>
        <w:t>391-ІХ «Про внесення змін до Податкового кодексу України та деяких інших законодавчих актів України щодо покращення адміністрування акцизного податку» (далі – Закон № 391)</w:t>
      </w:r>
      <w:r w:rsidRPr="009E75F4">
        <w:rPr>
          <w:bCs/>
          <w:sz w:val="28"/>
          <w:szCs w:val="28"/>
        </w:rPr>
        <w:t>, та для удосконалення форм електронних документів з урахуванням особливостей господарської діяльності платників</w:t>
      </w:r>
      <w:r w:rsidR="00055285" w:rsidRPr="009E75F4">
        <w:rPr>
          <w:bCs/>
          <w:sz w:val="28"/>
          <w:szCs w:val="28"/>
        </w:rPr>
        <w:t xml:space="preserve"> акцизного податку з реалізації пального</w:t>
      </w:r>
      <w:r w:rsidRPr="009E75F4">
        <w:rPr>
          <w:bCs/>
          <w:sz w:val="28"/>
          <w:szCs w:val="28"/>
        </w:rPr>
        <w:t>.</w:t>
      </w:r>
    </w:p>
    <w:p w:rsidR="00980871" w:rsidRPr="009E75F4" w:rsidRDefault="00980871" w:rsidP="009E75F4">
      <w:pPr>
        <w:pStyle w:val="ae"/>
        <w:ind w:firstLine="567"/>
        <w:jc w:val="both"/>
        <w:rPr>
          <w:sz w:val="28"/>
          <w:szCs w:val="28"/>
        </w:rPr>
      </w:pPr>
      <w:r w:rsidRPr="009E75F4">
        <w:rPr>
          <w:sz w:val="28"/>
          <w:szCs w:val="28"/>
        </w:rPr>
        <w:t xml:space="preserve">На сьогодні </w:t>
      </w:r>
      <w:r w:rsidRPr="009E75F4">
        <w:rPr>
          <w:bCs/>
          <w:sz w:val="28"/>
          <w:szCs w:val="28"/>
        </w:rPr>
        <w:t xml:space="preserve">формат даних, структуру </w:t>
      </w:r>
      <w:r w:rsidRPr="009E75F4">
        <w:rPr>
          <w:sz w:val="28"/>
          <w:szCs w:val="28"/>
        </w:rPr>
        <w:t xml:space="preserve">Єдиного державного реєстру витратомірів-лічильників і рівнемірів-лічильників рівня пального у резервуарі, форми </w:t>
      </w:r>
      <w:r w:rsidRPr="009E75F4">
        <w:rPr>
          <w:bCs/>
          <w:sz w:val="28"/>
          <w:szCs w:val="28"/>
        </w:rPr>
        <w:t xml:space="preserve">електронних документів затверджено </w:t>
      </w:r>
      <w:r w:rsidRPr="009E75F4">
        <w:rPr>
          <w:sz w:val="28"/>
          <w:szCs w:val="28"/>
        </w:rPr>
        <w:t xml:space="preserve">наказом Міністерства фінансів України від </w:t>
      </w:r>
      <w:r w:rsidRPr="009E75F4">
        <w:rPr>
          <w:bCs/>
          <w:sz w:val="28"/>
          <w:szCs w:val="28"/>
        </w:rPr>
        <w:t xml:space="preserve">27 листопада </w:t>
      </w:r>
      <w:r w:rsidRPr="009E75F4">
        <w:rPr>
          <w:sz w:val="28"/>
          <w:szCs w:val="28"/>
        </w:rPr>
        <w:t>2018 року № </w:t>
      </w:r>
      <w:r w:rsidRPr="009E75F4">
        <w:rPr>
          <w:bCs/>
          <w:sz w:val="28"/>
          <w:szCs w:val="28"/>
        </w:rPr>
        <w:t>944</w:t>
      </w:r>
      <w:r w:rsidRPr="009E75F4">
        <w:rPr>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(зі змінами) (далі – Наказ № 944).</w:t>
      </w:r>
    </w:p>
    <w:p w:rsidR="00980871" w:rsidRPr="009E75F4" w:rsidRDefault="00980871" w:rsidP="009E75F4">
      <w:pPr>
        <w:pStyle w:val="ae"/>
        <w:ind w:firstLine="567"/>
        <w:jc w:val="both"/>
        <w:rPr>
          <w:sz w:val="28"/>
          <w:szCs w:val="28"/>
        </w:rPr>
      </w:pPr>
      <w:r w:rsidRPr="009E75F4">
        <w:rPr>
          <w:sz w:val="28"/>
          <w:szCs w:val="28"/>
        </w:rPr>
        <w:t xml:space="preserve">Відповідно до </w:t>
      </w:r>
      <w:r w:rsidR="009E75F4">
        <w:rPr>
          <w:sz w:val="28"/>
          <w:szCs w:val="28"/>
        </w:rPr>
        <w:t>підпункту</w:t>
      </w:r>
      <w:r w:rsidRPr="009E75F4">
        <w:rPr>
          <w:sz w:val="28"/>
          <w:szCs w:val="28"/>
        </w:rPr>
        <w:t> 11 п</w:t>
      </w:r>
      <w:r w:rsidR="009E75F4">
        <w:rPr>
          <w:sz w:val="28"/>
          <w:szCs w:val="28"/>
        </w:rPr>
        <w:t>ункту</w:t>
      </w:r>
      <w:r w:rsidRPr="009E75F4">
        <w:rPr>
          <w:sz w:val="28"/>
          <w:szCs w:val="28"/>
        </w:rPr>
        <w:t> 2 розділу ІІ Формату даних та структури Єдиного державного реєстру витратомірів-лічильників і рівнемірів-лічильників рівня пального у резервуарі, затверджених Наказом № 944, Єдиний державний реєстр витратомірів-лічильників і рівнемірів-лічильників рівня пального у резервуарі (далі – Реєстр) містить інформацію щодо коду товарної підкатегорії пального згідно з УКТ ЗЕД</w:t>
      </w:r>
      <w:r w:rsidR="006063EC" w:rsidRPr="009E75F4">
        <w:rPr>
          <w:sz w:val="28"/>
          <w:szCs w:val="28"/>
        </w:rPr>
        <w:t xml:space="preserve"> (10 знаків)</w:t>
      </w:r>
      <w:r w:rsidRPr="009E75F4">
        <w:rPr>
          <w:sz w:val="28"/>
          <w:szCs w:val="28"/>
        </w:rPr>
        <w:t xml:space="preserve">. У формі </w:t>
      </w:r>
      <w:r w:rsidRPr="009E75F4">
        <w:rPr>
          <w:bCs/>
          <w:sz w:val="28"/>
          <w:szCs w:val="28"/>
        </w:rPr>
        <w:t>Довідки про зведені за добу підсумкові облікові дані щодо обсягів обігу (отримання/відпуску) та залишків пального на акцизному складі пального, затвердженої Наказом № 944, також передбачено зазначення к</w:t>
      </w:r>
      <w:r w:rsidRPr="009E75F4">
        <w:rPr>
          <w:sz w:val="28"/>
          <w:szCs w:val="28"/>
        </w:rPr>
        <w:t>оду пального за кодом товарної підкатегорії згідно з УКТ ЗЕД (10</w:t>
      </w:r>
      <w:r w:rsidR="00F17C56" w:rsidRPr="009E75F4">
        <w:rPr>
          <w:sz w:val="28"/>
          <w:szCs w:val="28"/>
        </w:rPr>
        <w:t> </w:t>
      </w:r>
      <w:r w:rsidRPr="009E75F4">
        <w:rPr>
          <w:sz w:val="28"/>
          <w:szCs w:val="28"/>
        </w:rPr>
        <w:t>знаків).</w:t>
      </w:r>
    </w:p>
    <w:p w:rsidR="00980871" w:rsidRPr="00864B9E" w:rsidRDefault="00980871" w:rsidP="00980871">
      <w:pPr>
        <w:ind w:firstLine="567"/>
        <w:contextualSpacing/>
        <w:jc w:val="both"/>
        <w:rPr>
          <w:sz w:val="28"/>
          <w:szCs w:val="28"/>
        </w:rPr>
      </w:pPr>
      <w:r w:rsidRPr="00864B9E">
        <w:rPr>
          <w:sz w:val="28"/>
          <w:szCs w:val="28"/>
        </w:rPr>
        <w:t>Водночас Законом № 391 встановлено, що облік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Кодекс</w:t>
      </w:r>
      <w:r w:rsidR="00312822">
        <w:rPr>
          <w:sz w:val="28"/>
          <w:szCs w:val="28"/>
        </w:rPr>
        <w:t xml:space="preserve">ом </w:t>
      </w:r>
      <w:r w:rsidRPr="00864B9E">
        <w:rPr>
          <w:sz w:val="28"/>
          <w:szCs w:val="28"/>
        </w:rPr>
        <w:t>встановлено однакові ставки акцизного податку, здійснюється за умовним кодом</w:t>
      </w:r>
      <w:r w:rsidR="00ED2DB8">
        <w:rPr>
          <w:sz w:val="28"/>
          <w:szCs w:val="28"/>
        </w:rPr>
        <w:t xml:space="preserve"> 2711</w:t>
      </w:r>
      <w:r w:rsidRPr="00864B9E">
        <w:rPr>
          <w:sz w:val="28"/>
          <w:szCs w:val="28"/>
        </w:rPr>
        <w:t>, а не за кодом товарної підкатегорії згідно з УКТ ЗЕД (як для інших видів пального).</w:t>
      </w:r>
    </w:p>
    <w:p w:rsidR="00980871" w:rsidRPr="00864B9E" w:rsidRDefault="00980871" w:rsidP="00980871">
      <w:pPr>
        <w:ind w:firstLine="567"/>
        <w:contextualSpacing/>
        <w:jc w:val="both"/>
        <w:rPr>
          <w:sz w:val="28"/>
          <w:szCs w:val="28"/>
        </w:rPr>
      </w:pPr>
      <w:r w:rsidRPr="00864B9E">
        <w:rPr>
          <w:bCs/>
          <w:sz w:val="28"/>
          <w:szCs w:val="28"/>
        </w:rPr>
        <w:lastRenderedPageBreak/>
        <w:t>Крім того, заповнення електронних документів</w:t>
      </w:r>
      <w:r w:rsidRPr="00864B9E">
        <w:rPr>
          <w:sz w:val="28"/>
          <w:szCs w:val="28"/>
        </w:rPr>
        <w:t xml:space="preserve">,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r w:rsidRPr="00864B9E">
        <w:rPr>
          <w:bCs/>
          <w:sz w:val="28"/>
          <w:szCs w:val="28"/>
        </w:rPr>
        <w:t xml:space="preserve"> (</w:t>
      </w:r>
      <w:r w:rsidRPr="00864B9E">
        <w:rPr>
          <w:sz w:val="28"/>
          <w:szCs w:val="28"/>
        </w:rPr>
        <w:t xml:space="preserve">форми яких затверджено Наказом № 944), викликає у </w:t>
      </w:r>
      <w:r w:rsidRPr="00864B9E">
        <w:rPr>
          <w:bCs/>
          <w:sz w:val="28"/>
          <w:szCs w:val="28"/>
        </w:rPr>
        <w:t>розпорядників акцизних складів – платників акцизного податку з реалізації пального</w:t>
      </w:r>
      <w:r w:rsidRPr="00864B9E">
        <w:rPr>
          <w:sz w:val="28"/>
          <w:szCs w:val="28"/>
        </w:rPr>
        <w:t xml:space="preserve"> запитання щодо особливостей їх заповнення залежно від виду здійснюваної такими платниками господарської діяльності. Такі запитання пов’язані з єдиною для всіх розпорядників акцизних складів формою довідки про зведені за добу підсумкові облікові дані щодо обсягів обігу (отримання/відпуску) та залишків пального на акцизному складі пального (далі – Довідка) та відсутністю порядку її заповнення. </w:t>
      </w:r>
    </w:p>
    <w:p w:rsidR="00980871" w:rsidRPr="00864B9E" w:rsidRDefault="00980871" w:rsidP="00CD76AB">
      <w:pPr>
        <w:ind w:firstLine="567"/>
        <w:contextualSpacing/>
        <w:jc w:val="both"/>
        <w:rPr>
          <w:sz w:val="28"/>
          <w:szCs w:val="28"/>
        </w:rPr>
      </w:pPr>
      <w:r w:rsidRPr="00864B9E">
        <w:rPr>
          <w:sz w:val="28"/>
          <w:szCs w:val="28"/>
        </w:rPr>
        <w:t xml:space="preserve">Зокрема, до таблиці 1 Довідки заноситься інформація </w:t>
      </w:r>
      <w:r w:rsidRPr="00864B9E">
        <w:rPr>
          <w:bCs/>
          <w:sz w:val="28"/>
          <w:szCs w:val="28"/>
        </w:rPr>
        <w:t xml:space="preserve">щодо обсягів залишків пального у розрізі резервуарів, розташованих на акцизному складі пального, за показниками рівнемірів. При цьому відповідно до підпункту 230.1.2 пункту 230.1 статті 230 </w:t>
      </w:r>
      <w:r w:rsidRPr="00864B9E">
        <w:rPr>
          <w:sz w:val="28"/>
          <w:szCs w:val="28"/>
        </w:rPr>
        <w:t>розділу VI</w:t>
      </w:r>
      <w:r w:rsidRPr="00864B9E">
        <w:rPr>
          <w:bCs/>
          <w:sz w:val="28"/>
          <w:szCs w:val="28"/>
        </w:rPr>
        <w:t xml:space="preserve"> Кодексу </w:t>
      </w:r>
      <w:r w:rsidRPr="00864B9E">
        <w:rPr>
          <w:sz w:val="28"/>
          <w:szCs w:val="28"/>
        </w:rPr>
        <w:t xml:space="preserve">акцизні склади, на яких здійснюється діяльність </w:t>
      </w:r>
      <w:r w:rsidR="00CD76AB" w:rsidRPr="00CD76AB">
        <w:rPr>
          <w:sz w:val="28"/>
          <w:szCs w:val="28"/>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r w:rsidRPr="00864B9E">
        <w:rPr>
          <w:sz w:val="28"/>
          <w:szCs w:val="28"/>
        </w:rPr>
        <w:t xml:space="preserve">, повинні бути обладнані лише витратомірами на кожному місці </w:t>
      </w:r>
      <w:r w:rsidR="00AC6127">
        <w:rPr>
          <w:sz w:val="28"/>
          <w:szCs w:val="28"/>
        </w:rPr>
        <w:t>від</w:t>
      </w:r>
      <w:r w:rsidRPr="00864B9E">
        <w:rPr>
          <w:sz w:val="28"/>
          <w:szCs w:val="28"/>
        </w:rPr>
        <w:t xml:space="preserve">пуску пального </w:t>
      </w:r>
      <w:r w:rsidRPr="007658AA">
        <w:rPr>
          <w:sz w:val="28"/>
          <w:szCs w:val="28"/>
        </w:rPr>
        <w:t>наливом з такого акцизного складу. Отже, розпорядниками таких акцизних</w:t>
      </w:r>
      <w:r w:rsidRPr="00864B9E">
        <w:rPr>
          <w:sz w:val="28"/>
          <w:szCs w:val="28"/>
        </w:rPr>
        <w:t xml:space="preserve"> складів таблиця 1 Довідки</w:t>
      </w:r>
      <w:r w:rsidR="007E10BC">
        <w:rPr>
          <w:sz w:val="28"/>
          <w:szCs w:val="28"/>
        </w:rPr>
        <w:t xml:space="preserve">, </w:t>
      </w:r>
      <w:r w:rsidRPr="00864B9E">
        <w:rPr>
          <w:sz w:val="28"/>
          <w:szCs w:val="28"/>
        </w:rPr>
        <w:t xml:space="preserve">у </w:t>
      </w:r>
      <w:r w:rsidRPr="00EE0F44">
        <w:rPr>
          <w:sz w:val="28"/>
          <w:szCs w:val="28"/>
        </w:rPr>
        <w:t>якій надаються дані за показниками рівнемірів</w:t>
      </w:r>
      <w:r w:rsidR="00EE0F44" w:rsidRPr="000E2DB2">
        <w:rPr>
          <w:sz w:val="28"/>
          <w:szCs w:val="28"/>
        </w:rPr>
        <w:t>,</w:t>
      </w:r>
      <w:r w:rsidRPr="00EE0F44">
        <w:rPr>
          <w:sz w:val="28"/>
          <w:szCs w:val="28"/>
        </w:rPr>
        <w:t xml:space="preserve"> не заповнюється. Тобто для</w:t>
      </w:r>
      <w:r w:rsidRPr="00864B9E">
        <w:rPr>
          <w:sz w:val="28"/>
          <w:szCs w:val="28"/>
        </w:rPr>
        <w:t xml:space="preserve"> розпорядників таких акцизних складів доцільно було б передбачити окрему форму довідки (без таблиці, в якій зазначаються показники рівнемірів). </w:t>
      </w:r>
    </w:p>
    <w:p w:rsidR="00980871" w:rsidRPr="00864B9E" w:rsidRDefault="00980871" w:rsidP="00980871">
      <w:pPr>
        <w:ind w:firstLine="567"/>
        <w:contextualSpacing/>
        <w:jc w:val="both"/>
        <w:rPr>
          <w:sz w:val="28"/>
          <w:szCs w:val="28"/>
        </w:rPr>
      </w:pPr>
      <w:r w:rsidRPr="00864B9E">
        <w:rPr>
          <w:sz w:val="28"/>
          <w:szCs w:val="28"/>
        </w:rPr>
        <w:t xml:space="preserve">Для врахування норм Закону № 391 та встановлення чітких правил заповнення </w:t>
      </w:r>
      <w:r w:rsidRPr="00864B9E">
        <w:rPr>
          <w:bCs/>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 необхідно:</w:t>
      </w:r>
    </w:p>
    <w:p w:rsidR="00980871" w:rsidRPr="00864B9E" w:rsidRDefault="00980871" w:rsidP="00980871">
      <w:pPr>
        <w:ind w:firstLine="567"/>
        <w:contextualSpacing/>
        <w:jc w:val="both"/>
        <w:rPr>
          <w:sz w:val="28"/>
          <w:szCs w:val="28"/>
        </w:rPr>
      </w:pPr>
      <w:proofErr w:type="spellStart"/>
      <w:r w:rsidRPr="00864B9E">
        <w:rPr>
          <w:sz w:val="28"/>
          <w:szCs w:val="28"/>
        </w:rPr>
        <w:t>внести</w:t>
      </w:r>
      <w:proofErr w:type="spellEnd"/>
      <w:r w:rsidRPr="00864B9E">
        <w:rPr>
          <w:sz w:val="28"/>
          <w:szCs w:val="28"/>
        </w:rPr>
        <w:t xml:space="preserve"> зміни до </w:t>
      </w:r>
      <w:r w:rsidRPr="00864B9E">
        <w:rPr>
          <w:bCs/>
          <w:sz w:val="28"/>
          <w:szCs w:val="28"/>
        </w:rPr>
        <w:t xml:space="preserve">формату даних, структури </w:t>
      </w:r>
      <w:r w:rsidRPr="00864B9E">
        <w:rPr>
          <w:sz w:val="28"/>
          <w:szCs w:val="28"/>
        </w:rPr>
        <w:t>Єдиного державного реєстру витратомірів-лічильників і рівнемірів-лічильників рівня пального у резервуарі;</w:t>
      </w:r>
    </w:p>
    <w:p w:rsidR="00980871" w:rsidRPr="00864B9E" w:rsidRDefault="00980871" w:rsidP="00980871">
      <w:pPr>
        <w:ind w:firstLine="567"/>
        <w:contextualSpacing/>
        <w:jc w:val="both"/>
        <w:rPr>
          <w:sz w:val="28"/>
          <w:szCs w:val="28"/>
        </w:rPr>
      </w:pPr>
      <w:r w:rsidRPr="00864B9E">
        <w:rPr>
          <w:sz w:val="28"/>
          <w:szCs w:val="28"/>
        </w:rPr>
        <w:t xml:space="preserve">запровадити нові форми електронних документів,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 у яких враховується специфіка господарської діяльності платників;</w:t>
      </w:r>
    </w:p>
    <w:p w:rsidR="00980871" w:rsidRPr="00864B9E" w:rsidRDefault="00980871" w:rsidP="00980871">
      <w:pPr>
        <w:ind w:firstLine="567"/>
        <w:contextualSpacing/>
        <w:jc w:val="both"/>
        <w:rPr>
          <w:sz w:val="28"/>
          <w:szCs w:val="28"/>
        </w:rPr>
      </w:pPr>
      <w:r w:rsidRPr="00864B9E">
        <w:rPr>
          <w:sz w:val="28"/>
          <w:szCs w:val="28"/>
        </w:rPr>
        <w:t>затвердити порядок заповнення таких електронних документів.</w:t>
      </w:r>
    </w:p>
    <w:p w:rsidR="00980871" w:rsidRPr="00864B9E" w:rsidRDefault="00980871" w:rsidP="00980871">
      <w:pPr>
        <w:ind w:firstLine="567"/>
        <w:contextualSpacing/>
        <w:jc w:val="both"/>
        <w:rPr>
          <w:sz w:val="28"/>
          <w:szCs w:val="28"/>
        </w:rPr>
      </w:pPr>
      <w:r w:rsidRPr="00864B9E">
        <w:rPr>
          <w:sz w:val="28"/>
          <w:szCs w:val="28"/>
        </w:rPr>
        <w:t xml:space="preserve">Зазначене вище реалізується шляхом прийняття </w:t>
      </w:r>
      <w:proofErr w:type="spellStart"/>
      <w:r w:rsidRPr="00864B9E">
        <w:rPr>
          <w:sz w:val="28"/>
          <w:szCs w:val="28"/>
        </w:rPr>
        <w:t>Проєкту</w:t>
      </w:r>
      <w:proofErr w:type="spellEnd"/>
      <w:r w:rsidRPr="00864B9E">
        <w:rPr>
          <w:sz w:val="28"/>
          <w:szCs w:val="28"/>
        </w:rPr>
        <w:t xml:space="preserve"> та впровадження нових форм електронних документів.</w:t>
      </w:r>
    </w:p>
    <w:p w:rsidR="00980871" w:rsidRPr="00864B9E" w:rsidRDefault="00980871" w:rsidP="00980871">
      <w:pPr>
        <w:ind w:firstLine="567"/>
        <w:contextualSpacing/>
        <w:jc w:val="both"/>
        <w:rPr>
          <w:sz w:val="28"/>
          <w:szCs w:val="28"/>
        </w:rPr>
      </w:pPr>
      <w:r w:rsidRPr="00864B9E">
        <w:rPr>
          <w:sz w:val="28"/>
          <w:szCs w:val="28"/>
        </w:rPr>
        <w:t xml:space="preserve">Прийняття </w:t>
      </w:r>
      <w:proofErr w:type="spellStart"/>
      <w:r w:rsidRPr="00864B9E">
        <w:rPr>
          <w:sz w:val="28"/>
          <w:szCs w:val="28"/>
        </w:rPr>
        <w:t>Проєкту</w:t>
      </w:r>
      <w:proofErr w:type="spellEnd"/>
      <w:r w:rsidRPr="00864B9E">
        <w:rPr>
          <w:sz w:val="28"/>
          <w:szCs w:val="28"/>
        </w:rPr>
        <w:t xml:space="preserve"> забезпечить врахування норм Закону № 391 щодо обліку скрапленого газу (пропану або суміші пропану з бутаном), інших газів, бутану, ізобутану за умовним кодом</w:t>
      </w:r>
      <w:r w:rsidR="00D91539">
        <w:rPr>
          <w:sz w:val="28"/>
          <w:szCs w:val="28"/>
        </w:rPr>
        <w:t xml:space="preserve"> 2711</w:t>
      </w:r>
      <w:r w:rsidRPr="00864B9E">
        <w:rPr>
          <w:sz w:val="28"/>
          <w:szCs w:val="28"/>
        </w:rPr>
        <w:t xml:space="preserve">, а не кодом товарної підкатегорії згідно з УКТ ЗЕД, та встановлення чітких правил заповнення </w:t>
      </w:r>
      <w:r w:rsidRPr="00C618A5">
        <w:rPr>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p>
    <w:p w:rsidR="00EE0F44" w:rsidRDefault="00EE0F44" w:rsidP="00C618A5">
      <w:pPr>
        <w:ind w:firstLine="567"/>
        <w:contextualSpacing/>
        <w:jc w:val="both"/>
        <w:rPr>
          <w:sz w:val="28"/>
          <w:szCs w:val="28"/>
          <w:highlight w:val="cyan"/>
        </w:rPr>
      </w:pPr>
    </w:p>
    <w:p w:rsidR="00980871" w:rsidRPr="00864B9E" w:rsidRDefault="00980871" w:rsidP="00C618A5">
      <w:pPr>
        <w:ind w:firstLine="567"/>
        <w:contextualSpacing/>
        <w:jc w:val="both"/>
        <w:rPr>
          <w:sz w:val="28"/>
          <w:szCs w:val="28"/>
        </w:rPr>
      </w:pPr>
      <w:r w:rsidRPr="00EE0F44">
        <w:rPr>
          <w:sz w:val="28"/>
          <w:szCs w:val="28"/>
        </w:rPr>
        <w:lastRenderedPageBreak/>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7"/>
        <w:gridCol w:w="2840"/>
        <w:gridCol w:w="2569"/>
      </w:tblGrid>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Групи (підгрупи)</w:t>
            </w:r>
          </w:p>
        </w:tc>
        <w:tc>
          <w:tcPr>
            <w:tcW w:w="1424"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Так</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Ні</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Громадяни</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Держава</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Суб’єкти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У тому числі суб’єкти малого підприємництва</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val="uk-UA"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vAlign w:val="center"/>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lang w:val="uk-UA"/>
              </w:rPr>
              <w:t>-</w:t>
            </w:r>
          </w:p>
        </w:tc>
      </w:tr>
    </w:tbl>
    <w:p w:rsidR="00DE4AC7" w:rsidRPr="009C71F0" w:rsidRDefault="00DE4AC7" w:rsidP="008F2208">
      <w:pPr>
        <w:pStyle w:val="ae"/>
        <w:ind w:firstLine="567"/>
        <w:jc w:val="both"/>
        <w:rPr>
          <w:sz w:val="12"/>
          <w:szCs w:val="12"/>
        </w:rPr>
      </w:pPr>
    </w:p>
    <w:p w:rsidR="00980871" w:rsidRPr="008F2208" w:rsidRDefault="00980871" w:rsidP="008F2208">
      <w:pPr>
        <w:pStyle w:val="ae"/>
        <w:ind w:firstLine="567"/>
        <w:jc w:val="both"/>
        <w:rPr>
          <w:sz w:val="28"/>
        </w:rPr>
      </w:pPr>
      <w:r w:rsidRPr="008F2208">
        <w:rPr>
          <w:sz w:val="28"/>
        </w:rPr>
        <w:t>Врегулювання зазначеного проблемного питання не може бути здійснено за допомогою:</w:t>
      </w:r>
    </w:p>
    <w:p w:rsidR="00980871" w:rsidRPr="008F2208" w:rsidRDefault="00980871" w:rsidP="008F2208">
      <w:pPr>
        <w:pStyle w:val="ae"/>
        <w:ind w:firstLine="567"/>
        <w:jc w:val="both"/>
        <w:rPr>
          <w:sz w:val="28"/>
        </w:rPr>
      </w:pPr>
      <w:r w:rsidRPr="008F2208">
        <w:rPr>
          <w:sz w:val="28"/>
        </w:rPr>
        <w:t>ринкових механізмів, оскільки такі питання регулюються виключно нормативно-правовими актами;</w:t>
      </w:r>
    </w:p>
    <w:p w:rsidR="00980871" w:rsidRPr="008F2208" w:rsidRDefault="00980871" w:rsidP="008F2208">
      <w:pPr>
        <w:pStyle w:val="ae"/>
        <w:ind w:firstLine="567"/>
        <w:jc w:val="both"/>
        <w:rPr>
          <w:sz w:val="28"/>
        </w:rPr>
      </w:pPr>
      <w:r w:rsidRPr="008F2208">
        <w:rPr>
          <w:sz w:val="28"/>
        </w:rPr>
        <w:t>чинних регуляторних актів, оскільки такими актами не передбачена можливість обліку скрапленого газу (пропану або суміші пропану з бутаном), інших газів, бутану, ізобутану за умовним кодом, а не кодом товарної підкатегорії згідно з УКТ ЗЕД.</w:t>
      </w:r>
    </w:p>
    <w:p w:rsidR="00980871" w:rsidRPr="00864B9E" w:rsidRDefault="00980871" w:rsidP="00980871">
      <w:pPr>
        <w:pStyle w:val="3"/>
        <w:spacing w:before="240" w:beforeAutospacing="0" w:after="120" w:afterAutospacing="0" w:line="228" w:lineRule="auto"/>
        <w:ind w:firstLine="567"/>
        <w:jc w:val="center"/>
        <w:rPr>
          <w:spacing w:val="-3"/>
          <w:sz w:val="28"/>
          <w:szCs w:val="28"/>
          <w:lang w:val="uk-UA"/>
        </w:rPr>
      </w:pPr>
      <w:r w:rsidRPr="00864B9E">
        <w:rPr>
          <w:spacing w:val="-3"/>
          <w:sz w:val="28"/>
          <w:szCs w:val="28"/>
          <w:lang w:val="uk-UA"/>
        </w:rPr>
        <w:t>II. Цілі державного регулювання</w:t>
      </w:r>
    </w:p>
    <w:p w:rsidR="00980871" w:rsidRPr="00864B9E" w:rsidRDefault="00980871" w:rsidP="00980871">
      <w:pPr>
        <w:spacing w:line="228" w:lineRule="auto"/>
        <w:ind w:firstLine="567"/>
        <w:jc w:val="both"/>
        <w:rPr>
          <w:spacing w:val="-5"/>
          <w:sz w:val="28"/>
          <w:szCs w:val="28"/>
        </w:rPr>
      </w:pPr>
      <w:r w:rsidRPr="00864B9E">
        <w:rPr>
          <w:spacing w:val="-5"/>
          <w:sz w:val="28"/>
          <w:szCs w:val="28"/>
        </w:rPr>
        <w:t xml:space="preserve">Державне регулювання спрямоване на виконання норм Кодексу щодо </w:t>
      </w:r>
      <w:r w:rsidRPr="00864B9E">
        <w:rPr>
          <w:sz w:val="28"/>
          <w:szCs w:val="28"/>
        </w:rPr>
        <w:t xml:space="preserve">обліку скрапленого газу (пропану або суміші пропану з бутаном), інших газів, бутану, ізобутану за умовним кодом, а не кодом товарної підкатегорії згідно з УКТ ЗЕД, та встановлення чітких правил заповнення </w:t>
      </w:r>
      <w:r w:rsidRPr="00864B9E">
        <w:rPr>
          <w:bCs/>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r w:rsidRPr="00864B9E">
        <w:rPr>
          <w:spacing w:val="-7"/>
          <w:sz w:val="28"/>
          <w:szCs w:val="28"/>
        </w:rPr>
        <w:t xml:space="preserve"> </w:t>
      </w:r>
    </w:p>
    <w:p w:rsidR="00980871" w:rsidRPr="009C71F0" w:rsidRDefault="00980871" w:rsidP="008F2208">
      <w:pPr>
        <w:pStyle w:val="ae"/>
        <w:ind w:firstLine="567"/>
        <w:rPr>
          <w:sz w:val="16"/>
        </w:rPr>
      </w:pPr>
    </w:p>
    <w:p w:rsidR="00980871" w:rsidRDefault="00980871" w:rsidP="00C618A5">
      <w:pPr>
        <w:pStyle w:val="ae"/>
        <w:ind w:firstLine="567"/>
        <w:jc w:val="center"/>
        <w:rPr>
          <w:b/>
          <w:sz w:val="28"/>
        </w:rPr>
      </w:pPr>
      <w:r w:rsidRPr="008F2208">
        <w:rPr>
          <w:b/>
          <w:sz w:val="28"/>
        </w:rPr>
        <w:t>III. Визначення та оцінка альтернативних способів досягнення цілей</w:t>
      </w:r>
    </w:p>
    <w:p w:rsidR="008F2208" w:rsidRPr="009C71F0" w:rsidRDefault="008F2208" w:rsidP="008F2208">
      <w:pPr>
        <w:pStyle w:val="ae"/>
        <w:ind w:firstLine="567"/>
        <w:rPr>
          <w:bCs/>
          <w:sz w:val="16"/>
        </w:rPr>
      </w:pPr>
    </w:p>
    <w:p w:rsidR="00980871" w:rsidRPr="00864B9E" w:rsidRDefault="00980871" w:rsidP="00980871">
      <w:pPr>
        <w:numPr>
          <w:ilvl w:val="0"/>
          <w:numId w:val="1"/>
        </w:numPr>
        <w:tabs>
          <w:tab w:val="left" w:pos="882"/>
        </w:tabs>
        <w:spacing w:line="228" w:lineRule="auto"/>
        <w:ind w:left="14" w:firstLine="563"/>
        <w:contextualSpacing/>
        <w:jc w:val="both"/>
        <w:rPr>
          <w:rFonts w:eastAsia="Calibri"/>
          <w:spacing w:val="-3"/>
          <w:sz w:val="28"/>
          <w:szCs w:val="28"/>
          <w:shd w:val="clear" w:color="auto" w:fill="FFFFFF"/>
          <w:lang w:eastAsia="en-US"/>
        </w:rPr>
      </w:pPr>
      <w:r w:rsidRPr="00864B9E">
        <w:rPr>
          <w:rFonts w:eastAsia="Calibri"/>
          <w:spacing w:val="-3"/>
          <w:sz w:val="28"/>
          <w:szCs w:val="28"/>
          <w:shd w:val="clear" w:color="auto" w:fill="FFFFFF"/>
          <w:lang w:eastAsia="en-US"/>
        </w:rPr>
        <w:t>Визначення альтернативних способів</w:t>
      </w:r>
    </w:p>
    <w:p w:rsidR="00980871" w:rsidRPr="009C71F0" w:rsidRDefault="00980871" w:rsidP="00980871">
      <w:pPr>
        <w:tabs>
          <w:tab w:val="left" w:pos="882"/>
        </w:tabs>
        <w:spacing w:line="228" w:lineRule="auto"/>
        <w:ind w:left="577"/>
        <w:contextualSpacing/>
        <w:jc w:val="both"/>
        <w:rPr>
          <w:rFonts w:eastAsia="Calibri"/>
          <w:spacing w:val="-3"/>
          <w:sz w:val="16"/>
          <w:szCs w:val="28"/>
          <w:shd w:val="clear" w:color="auto" w:fill="FFFFFF"/>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455"/>
      </w:tblGrid>
      <w:tr w:rsidR="00980871" w:rsidRPr="00864B9E" w:rsidTr="00390E62">
        <w:tc>
          <w:tcPr>
            <w:tcW w:w="2292"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390E62">
            <w:pPr>
              <w:spacing w:line="228" w:lineRule="auto"/>
              <w:jc w:val="center"/>
              <w:rPr>
                <w:spacing w:val="-3"/>
              </w:rPr>
            </w:pPr>
            <w:r w:rsidRPr="00864B9E">
              <w:rPr>
                <w:spacing w:val="-3"/>
              </w:rPr>
              <w:t>Вид альтернативи</w:t>
            </w:r>
          </w:p>
        </w:tc>
        <w:tc>
          <w:tcPr>
            <w:tcW w:w="7455"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390E62">
            <w:pPr>
              <w:spacing w:line="228" w:lineRule="auto"/>
              <w:jc w:val="center"/>
              <w:rPr>
                <w:spacing w:val="-3"/>
              </w:rPr>
            </w:pPr>
            <w:r w:rsidRPr="00864B9E">
              <w:rPr>
                <w:spacing w:val="-3"/>
              </w:rPr>
              <w:t>Опис альтернативи</w:t>
            </w: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i/>
                <w:spacing w:val="-3"/>
              </w:rPr>
            </w:pPr>
            <w:r w:rsidRPr="00864B9E">
              <w:rPr>
                <w:i/>
                <w:spacing w:val="-3"/>
              </w:rPr>
              <w:t>Альтернатива 1</w:t>
            </w:r>
          </w:p>
          <w:p w:rsidR="00980871" w:rsidRPr="00864B9E" w:rsidRDefault="00980871" w:rsidP="00390E62">
            <w:pPr>
              <w:spacing w:line="228" w:lineRule="auto"/>
              <w:rPr>
                <w:spacing w:val="-3"/>
              </w:rPr>
            </w:pPr>
            <w:r w:rsidRPr="00864B9E">
              <w:rPr>
                <w:spacing w:val="-3"/>
              </w:rPr>
              <w:t xml:space="preserve">(прийняття </w:t>
            </w:r>
            <w:proofErr w:type="spellStart"/>
            <w:r w:rsidRPr="00864B9E">
              <w:rPr>
                <w:spacing w:val="-3"/>
              </w:rPr>
              <w:t>проєкту</w:t>
            </w:r>
            <w:proofErr w:type="spellEnd"/>
            <w:r w:rsidRPr="00864B9E">
              <w:rPr>
                <w:spacing w:val="-3"/>
              </w:rPr>
              <w:t xml:space="preserve"> </w:t>
            </w:r>
            <w:proofErr w:type="spellStart"/>
            <w:r w:rsidRPr="00864B9E">
              <w:rPr>
                <w:spacing w:val="-3"/>
              </w:rPr>
              <w:t>акта</w:t>
            </w:r>
            <w:proofErr w:type="spellEnd"/>
            <w:r w:rsidRPr="00864B9E">
              <w:rPr>
                <w:spacing w:val="-3"/>
              </w:rPr>
              <w:t>)</w:t>
            </w:r>
          </w:p>
        </w:tc>
        <w:tc>
          <w:tcPr>
            <w:tcW w:w="7455" w:type="dxa"/>
            <w:tcBorders>
              <w:top w:val="single" w:sz="4" w:space="0" w:color="auto"/>
              <w:left w:val="single" w:sz="4" w:space="0" w:color="auto"/>
              <w:bottom w:val="single" w:sz="4" w:space="0" w:color="auto"/>
              <w:right w:val="single" w:sz="4" w:space="0" w:color="auto"/>
            </w:tcBorders>
          </w:tcPr>
          <w:p w:rsidR="00980871" w:rsidRPr="00864B9E" w:rsidRDefault="00980871" w:rsidP="00A877CA">
            <w:pPr>
              <w:spacing w:line="228" w:lineRule="auto"/>
              <w:jc w:val="both"/>
              <w:rPr>
                <w:spacing w:val="-3"/>
              </w:rPr>
            </w:pPr>
            <w:r w:rsidRPr="00864B9E">
              <w:rPr>
                <w:spacing w:val="-3"/>
              </w:rPr>
              <w:t xml:space="preserve">Розробити та затвердити </w:t>
            </w:r>
            <w:proofErr w:type="spellStart"/>
            <w:r w:rsidR="00A877CA">
              <w:t>Проєкт</w:t>
            </w:r>
            <w:proofErr w:type="spellEnd"/>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i/>
                <w:spacing w:val="-3"/>
              </w:rPr>
            </w:pPr>
            <w:r w:rsidRPr="00864B9E">
              <w:rPr>
                <w:i/>
                <w:spacing w:val="-3"/>
              </w:rPr>
              <w:t>Альтернатива 2</w:t>
            </w:r>
          </w:p>
          <w:p w:rsidR="00980871" w:rsidRPr="00864B9E" w:rsidRDefault="00980871" w:rsidP="00390E62">
            <w:pPr>
              <w:spacing w:line="228" w:lineRule="auto"/>
              <w:rPr>
                <w:spacing w:val="-3"/>
              </w:rPr>
            </w:pPr>
            <w:r w:rsidRPr="00864B9E">
              <w:rPr>
                <w:spacing w:val="-3"/>
              </w:rPr>
              <w:t>(залишення наявної ситуації без змін)</w:t>
            </w:r>
          </w:p>
        </w:tc>
        <w:tc>
          <w:tcPr>
            <w:tcW w:w="745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spacing w:val="-3"/>
              </w:rPr>
            </w:pPr>
            <w:r w:rsidRPr="00864B9E">
              <w:rPr>
                <w:spacing w:val="-3"/>
              </w:rPr>
              <w:t>Не розробляти нормативно-правовий акт</w:t>
            </w:r>
            <w:r w:rsidRPr="00864B9E">
              <w:t xml:space="preserve"> </w:t>
            </w:r>
          </w:p>
        </w:tc>
      </w:tr>
    </w:tbl>
    <w:p w:rsidR="00980871" w:rsidRPr="00432EF0" w:rsidRDefault="00980871" w:rsidP="00980871">
      <w:pPr>
        <w:pStyle w:val="a3"/>
        <w:spacing w:before="0" w:beforeAutospacing="0" w:after="0" w:afterAutospacing="0" w:line="228" w:lineRule="auto"/>
        <w:ind w:firstLine="560"/>
        <w:jc w:val="both"/>
        <w:rPr>
          <w:spacing w:val="-3"/>
          <w:sz w:val="16"/>
          <w:szCs w:val="28"/>
          <w:lang w:val="uk-UA"/>
        </w:rPr>
      </w:pPr>
    </w:p>
    <w:p w:rsidR="00980871" w:rsidRPr="00864B9E" w:rsidRDefault="00980871" w:rsidP="00980871">
      <w:pPr>
        <w:pStyle w:val="a3"/>
        <w:spacing w:before="0" w:beforeAutospacing="0" w:after="0" w:afterAutospacing="0" w:line="228" w:lineRule="auto"/>
        <w:ind w:firstLine="560"/>
        <w:jc w:val="both"/>
        <w:rPr>
          <w:spacing w:val="-3"/>
          <w:sz w:val="28"/>
          <w:szCs w:val="28"/>
          <w:lang w:val="uk-UA"/>
        </w:rPr>
      </w:pPr>
      <w:r w:rsidRPr="00864B9E">
        <w:rPr>
          <w:spacing w:val="-3"/>
          <w:sz w:val="28"/>
          <w:szCs w:val="28"/>
          <w:lang w:val="uk-UA"/>
        </w:rPr>
        <w:t>2. Оцінка вибраних альтернативних способів досягнення цілей</w:t>
      </w:r>
    </w:p>
    <w:p w:rsidR="00980871" w:rsidRPr="00432EF0" w:rsidRDefault="00980871" w:rsidP="00980871">
      <w:pPr>
        <w:pStyle w:val="a3"/>
        <w:spacing w:before="0" w:beforeAutospacing="0" w:after="0" w:afterAutospacing="0" w:line="228" w:lineRule="auto"/>
        <w:ind w:firstLine="560"/>
        <w:jc w:val="both"/>
        <w:rPr>
          <w:spacing w:val="-3"/>
          <w:sz w:val="16"/>
          <w:szCs w:val="28"/>
          <w:lang w:val="uk-UA"/>
        </w:rPr>
      </w:pPr>
    </w:p>
    <w:p w:rsidR="00980871" w:rsidRPr="00864B9E" w:rsidRDefault="00980871" w:rsidP="00980871">
      <w:pPr>
        <w:pStyle w:val="a3"/>
        <w:spacing w:before="0" w:beforeAutospacing="0" w:after="0" w:afterAutospacing="0" w:line="228" w:lineRule="auto"/>
        <w:ind w:firstLine="567"/>
        <w:jc w:val="both"/>
        <w:rPr>
          <w:spacing w:val="-3"/>
          <w:sz w:val="28"/>
          <w:szCs w:val="28"/>
          <w:lang w:val="uk-UA"/>
        </w:rPr>
      </w:pPr>
      <w:r w:rsidRPr="00864B9E">
        <w:rPr>
          <w:spacing w:val="-3"/>
          <w:sz w:val="28"/>
          <w:szCs w:val="28"/>
          <w:lang w:val="uk-UA"/>
        </w:rPr>
        <w:t>Оцінка впливу на сферу інтересів держави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3823"/>
        <w:gridCol w:w="3666"/>
      </w:tblGrid>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Вид альтернативи</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Вигоди</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Витрати</w:t>
            </w: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rPr>
                <w:i/>
                <w:spacing w:val="-3"/>
                <w:lang w:val="uk-UA"/>
              </w:rPr>
            </w:pPr>
            <w:r w:rsidRPr="00864B9E">
              <w:rPr>
                <w:i/>
                <w:spacing w:val="-3"/>
                <w:lang w:val="uk-UA"/>
              </w:rPr>
              <w:t>Альтернатива 1</w:t>
            </w:r>
          </w:p>
          <w:p w:rsidR="00980871" w:rsidRPr="00864B9E" w:rsidRDefault="00980871" w:rsidP="00390E62">
            <w:pPr>
              <w:pStyle w:val="a3"/>
              <w:spacing w:before="0" w:beforeAutospacing="0" w:after="0" w:afterAutospacing="0" w:line="228" w:lineRule="auto"/>
              <w:rPr>
                <w:i/>
                <w:spacing w:val="-3"/>
                <w:lang w:val="uk-UA"/>
              </w:rPr>
            </w:pPr>
            <w:r w:rsidRPr="00864B9E">
              <w:rPr>
                <w:spacing w:val="-3"/>
                <w:lang w:val="uk-UA"/>
              </w:rPr>
              <w:t xml:space="preserve">(прийняття </w:t>
            </w:r>
            <w:proofErr w:type="spellStart"/>
            <w:r w:rsidRPr="00864B9E">
              <w:rPr>
                <w:spacing w:val="-3"/>
                <w:lang w:val="uk-UA"/>
              </w:rPr>
              <w:t>проєкту</w:t>
            </w:r>
            <w:proofErr w:type="spellEnd"/>
            <w:r w:rsidRPr="00864B9E">
              <w:rPr>
                <w:spacing w:val="-3"/>
                <w:lang w:val="uk-UA"/>
              </w:rPr>
              <w:t xml:space="preserve"> </w:t>
            </w:r>
            <w:proofErr w:type="spellStart"/>
            <w:r w:rsidRPr="00864B9E">
              <w:rPr>
                <w:spacing w:val="-3"/>
                <w:lang w:val="uk-UA"/>
              </w:rPr>
              <w:t>акта</w:t>
            </w:r>
            <w:proofErr w:type="spellEnd"/>
            <w:r w:rsidRPr="00864B9E">
              <w:rPr>
                <w:spacing w:val="-3"/>
                <w:lang w:val="uk-UA"/>
              </w:rPr>
              <w:t>)</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pPr>
              <w:pStyle w:val="a7"/>
              <w:spacing w:after="0"/>
              <w:ind w:firstLine="260"/>
              <w:contextualSpacing/>
              <w:jc w:val="both"/>
              <w:rPr>
                <w:spacing w:val="-3"/>
              </w:rPr>
            </w:pPr>
            <w:r w:rsidRPr="00864B9E">
              <w:rPr>
                <w:spacing w:val="-3"/>
              </w:rPr>
              <w:t xml:space="preserve">Прийняття </w:t>
            </w:r>
            <w:proofErr w:type="spellStart"/>
            <w:r w:rsidR="00B669C1">
              <w:rPr>
                <w:spacing w:val="-3"/>
              </w:rPr>
              <w:t>Пр</w:t>
            </w:r>
            <w:r w:rsidR="00C3421D">
              <w:rPr>
                <w:spacing w:val="-3"/>
              </w:rPr>
              <w:t>о</w:t>
            </w:r>
            <w:r w:rsidR="00B669C1">
              <w:rPr>
                <w:spacing w:val="-3"/>
              </w:rPr>
              <w:t>єкту</w:t>
            </w:r>
            <w:proofErr w:type="spellEnd"/>
            <w:r w:rsidRPr="00864B9E">
              <w:rPr>
                <w:spacing w:val="-3"/>
              </w:rPr>
              <w:t xml:space="preserve"> забезпечить:</w:t>
            </w:r>
          </w:p>
          <w:p w:rsidR="00980871" w:rsidRPr="00864B9E" w:rsidRDefault="00980871">
            <w:pPr>
              <w:pStyle w:val="a7"/>
              <w:spacing w:after="0"/>
              <w:ind w:firstLine="260"/>
              <w:contextualSpacing/>
              <w:jc w:val="both"/>
            </w:pPr>
            <w:r w:rsidRPr="00864B9E">
              <w:rPr>
                <w:spacing w:val="-3"/>
              </w:rPr>
              <w:t xml:space="preserve">виконання платниками вимог Кодексу щодо обліку </w:t>
            </w:r>
            <w:r w:rsidRPr="00864B9E">
              <w:t xml:space="preserve">скрапленого газу (пропану або суміші пропану з бутаном), інших газів, бутану, </w:t>
            </w:r>
            <w:r w:rsidRPr="00864B9E">
              <w:lastRenderedPageBreak/>
              <w:t>ізобутану за умовним кодом, а не кодом товарної підкатегорії згідно з УКТ ЗЕД;</w:t>
            </w:r>
          </w:p>
          <w:p w:rsidR="00980871" w:rsidRPr="00864B9E" w:rsidRDefault="00980871">
            <w:pPr>
              <w:pStyle w:val="a7"/>
              <w:spacing w:after="0"/>
              <w:ind w:firstLine="260"/>
              <w:contextualSpacing/>
              <w:jc w:val="both"/>
            </w:pPr>
            <w:r w:rsidRPr="00864B9E">
              <w:t xml:space="preserve">врахування у формах електронних документів, </w:t>
            </w:r>
            <w:r w:rsidRPr="00864B9E">
              <w:rPr>
                <w:bCs/>
              </w:rPr>
              <w:t>якими розпорядниками акцизних складів</w:t>
            </w:r>
            <w:r>
              <w:rPr>
                <w:bCs/>
              </w:rPr>
              <w:t> </w:t>
            </w:r>
            <w:r w:rsidRPr="00864B9E">
              <w:rPr>
                <w:bCs/>
              </w:rPr>
              <w:t>– платниками акцизного податку з реалізації пального направляються до контролюючого органу</w:t>
            </w:r>
            <w:r w:rsidR="00EE0F44">
              <w:rPr>
                <w:bCs/>
              </w:rPr>
              <w:t> </w:t>
            </w:r>
            <w:r w:rsidRPr="00864B9E">
              <w:t>облікові дані з витратомірів і рівнемірів, специфіки господарської діяльності таких розпорядників;</w:t>
            </w:r>
          </w:p>
          <w:p w:rsidR="00980871" w:rsidRPr="00864B9E" w:rsidRDefault="00980871">
            <w:pPr>
              <w:pStyle w:val="a7"/>
              <w:spacing w:after="0"/>
              <w:ind w:firstLine="260"/>
              <w:contextualSpacing/>
              <w:jc w:val="both"/>
              <w:rPr>
                <w:spacing w:val="-3"/>
              </w:rPr>
            </w:pPr>
            <w:r w:rsidRPr="00864B9E">
              <w:t xml:space="preserve">виконання податковими органами встановлених </w:t>
            </w:r>
            <w:proofErr w:type="spellStart"/>
            <w:r w:rsidRPr="00864B9E">
              <w:t>п.п</w:t>
            </w:r>
            <w:proofErr w:type="spellEnd"/>
            <w:r w:rsidRPr="00864B9E">
              <w:t>. 19</w:t>
            </w:r>
            <w:r w:rsidRPr="00864B9E">
              <w:rPr>
                <w:vertAlign w:val="superscript"/>
              </w:rPr>
              <w:t>1</w:t>
            </w:r>
            <w:r w:rsidRPr="00864B9E">
              <w:t>.1.14 п. 19</w:t>
            </w:r>
            <w:r w:rsidRPr="00864B9E">
              <w:rPr>
                <w:vertAlign w:val="superscript"/>
              </w:rPr>
              <w:t>1</w:t>
            </w:r>
            <w:r w:rsidRPr="00864B9E">
              <w:t>.1 ст. 19</w:t>
            </w:r>
            <w:r w:rsidRPr="00864B9E">
              <w:rPr>
                <w:vertAlign w:val="superscript"/>
              </w:rPr>
              <w:t>1</w:t>
            </w:r>
            <w:r w:rsidRPr="00864B9E">
              <w:t xml:space="preserve"> Кодексу функцій в частині контролю </w:t>
            </w:r>
            <w:r w:rsidRPr="00DE043A">
              <w:t>сфер</w:t>
            </w:r>
            <w:r>
              <w:t>и</w:t>
            </w:r>
            <w:r w:rsidRPr="00864B9E">
              <w:t xml:space="preserve"> виробництва, обігу та реалізації підакцизних товарів, зокрема зіставлення відповідно до ст. 233 Кодексу показників обсягів обігу та залишків скрапленого газу (пропану або суміші пропану з бутаном), інших газів, бутану, ізобутану, який в системі електронного адміністрування реалізації пального та спирту етилового обліковується за умовним кодом</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E12A07">
            <w:pPr>
              <w:pStyle w:val="a7"/>
              <w:spacing w:after="0" w:line="228" w:lineRule="auto"/>
              <w:ind w:firstLine="264"/>
              <w:jc w:val="both"/>
              <w:rPr>
                <w:spacing w:val="-3"/>
              </w:rPr>
            </w:pPr>
            <w:r w:rsidRPr="00864B9E">
              <w:rPr>
                <w:spacing w:val="-3"/>
              </w:rPr>
              <w:lastRenderedPageBreak/>
              <w:t xml:space="preserve">Реалізація </w:t>
            </w:r>
            <w:proofErr w:type="spellStart"/>
            <w:r w:rsidR="00674D42">
              <w:rPr>
                <w:spacing w:val="-3"/>
              </w:rPr>
              <w:t>П</w:t>
            </w:r>
            <w:r w:rsidRPr="00864B9E">
              <w:rPr>
                <w:spacing w:val="-3"/>
              </w:rPr>
              <w:t>роєкту</w:t>
            </w:r>
            <w:proofErr w:type="spellEnd"/>
            <w:r w:rsidRPr="00864B9E">
              <w:rPr>
                <w:spacing w:val="-3"/>
              </w:rPr>
              <w:t xml:space="preserve"> не потребує фінансування з державного чи місцевого бюджетів.</w:t>
            </w:r>
          </w:p>
          <w:p w:rsidR="00980871" w:rsidRPr="00864B9E" w:rsidRDefault="00980871" w:rsidP="00E12A07">
            <w:pPr>
              <w:pStyle w:val="a7"/>
              <w:spacing w:after="0" w:line="228" w:lineRule="auto"/>
              <w:ind w:firstLine="264"/>
              <w:jc w:val="both"/>
              <w:rPr>
                <w:spacing w:val="-3"/>
              </w:rPr>
            </w:pPr>
            <w:r w:rsidRPr="00864B9E">
              <w:rPr>
                <w:spacing w:val="-3"/>
              </w:rPr>
              <w:t xml:space="preserve">Передбачається використання наявного програмного </w:t>
            </w:r>
            <w:r w:rsidRPr="00864B9E">
              <w:rPr>
                <w:spacing w:val="-3"/>
              </w:rPr>
              <w:lastRenderedPageBreak/>
              <w:t>забезпечення з його доопрацюванням ДПС.</w:t>
            </w:r>
          </w:p>
          <w:p w:rsidR="00980871" w:rsidRPr="00864B9E" w:rsidRDefault="00980871" w:rsidP="00E12A07">
            <w:pPr>
              <w:pStyle w:val="a7"/>
              <w:spacing w:after="0" w:line="228" w:lineRule="auto"/>
              <w:ind w:firstLine="264"/>
              <w:jc w:val="both"/>
              <w:rPr>
                <w:spacing w:val="-3"/>
              </w:rPr>
            </w:pPr>
            <w:r w:rsidRPr="00864B9E">
              <w:rPr>
                <w:lang w:eastAsia="uk-UA"/>
              </w:rPr>
              <w:t>Витрати ДПС, пов</w:t>
            </w:r>
            <w:r w:rsidRPr="00864B9E">
              <w:t>’</w:t>
            </w:r>
            <w:r w:rsidRPr="00864B9E">
              <w:rPr>
                <w:lang w:eastAsia="uk-UA"/>
              </w:rPr>
              <w:t>язані</w:t>
            </w:r>
            <w:r>
              <w:rPr>
                <w:lang w:eastAsia="uk-UA"/>
              </w:rPr>
              <w:t xml:space="preserve"> з</w:t>
            </w:r>
            <w:r w:rsidRPr="00864B9E">
              <w:rPr>
                <w:lang w:eastAsia="uk-UA"/>
              </w:rPr>
              <w:t xml:space="preserve"> доопрацюванням наявного програмного забезпечення</w:t>
            </w:r>
            <w:r w:rsidRPr="00864B9E">
              <w:t xml:space="preserve">, </w:t>
            </w:r>
            <w:r w:rsidR="006D1D64">
              <w:t xml:space="preserve">здійснюватимуться </w:t>
            </w:r>
            <w:r w:rsidRPr="00864B9E">
              <w:t>у межах фінансування органу</w:t>
            </w:r>
          </w:p>
          <w:p w:rsidR="00980871" w:rsidRPr="00864B9E" w:rsidRDefault="00980871" w:rsidP="00E12A07">
            <w:pPr>
              <w:pStyle w:val="a7"/>
              <w:spacing w:after="0" w:line="228" w:lineRule="auto"/>
              <w:ind w:firstLine="264"/>
              <w:jc w:val="both"/>
              <w:rPr>
                <w:spacing w:val="-3"/>
              </w:rPr>
            </w:pP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rPr>
                <w:spacing w:val="-3"/>
                <w:lang w:val="uk-UA"/>
              </w:rPr>
            </w:pPr>
            <w:r w:rsidRPr="00864B9E">
              <w:rPr>
                <w:i/>
                <w:spacing w:val="-3"/>
                <w:lang w:val="uk-UA"/>
              </w:rPr>
              <w:lastRenderedPageBreak/>
              <w:t>Альтернатива 2</w:t>
            </w:r>
            <w:r w:rsidRPr="00864B9E">
              <w:rPr>
                <w:spacing w:val="-3"/>
                <w:lang w:val="uk-UA"/>
              </w:rPr>
              <w:t xml:space="preserve"> (залишення наявної ситуації без змін)</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7"/>
              <w:spacing w:after="0" w:line="228" w:lineRule="auto"/>
              <w:jc w:val="both"/>
              <w:rPr>
                <w:spacing w:val="-3"/>
              </w:rPr>
            </w:pPr>
            <w:r w:rsidRPr="00864B9E">
              <w:rPr>
                <w:spacing w:val="-3"/>
              </w:rPr>
              <w:t>Відсутні</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7566D3">
            <w:pPr>
              <w:pStyle w:val="a3"/>
              <w:spacing w:before="0" w:beforeAutospacing="0" w:after="0" w:afterAutospacing="0" w:line="228" w:lineRule="auto"/>
              <w:ind w:firstLine="64"/>
              <w:jc w:val="both"/>
              <w:rPr>
                <w:spacing w:val="-3"/>
                <w:lang w:val="uk-UA"/>
              </w:rPr>
            </w:pPr>
            <w:r w:rsidRPr="00864B9E">
              <w:rPr>
                <w:spacing w:val="-3"/>
                <w:lang w:val="uk-UA"/>
              </w:rPr>
              <w:t xml:space="preserve">Відсутність можливості розпорядникам акцизних складів виконувати вимоги Кодексу щодо обліку </w:t>
            </w:r>
            <w:r w:rsidRPr="00864B9E">
              <w:t>с</w:t>
            </w:r>
            <w:r w:rsidRPr="00864B9E">
              <w:rPr>
                <w:lang w:eastAsia="ru-RU"/>
              </w:rPr>
              <w:t>крапленого газу (пропану або суміші пропану з бутаном), інших газів, бутану, ізобутану</w:t>
            </w:r>
            <w:r w:rsidRPr="00864B9E">
              <w:t xml:space="preserve"> за умовним кодом, а не кодом товарної підкатегорії згідно з УКТ ЗЕД</w:t>
            </w:r>
          </w:p>
        </w:tc>
      </w:tr>
    </w:tbl>
    <w:p w:rsidR="009A470B" w:rsidRPr="00864B9E" w:rsidRDefault="009A470B" w:rsidP="006965E4">
      <w:pPr>
        <w:pStyle w:val="ae"/>
      </w:pPr>
    </w:p>
    <w:p w:rsidR="00980871" w:rsidRDefault="00980871" w:rsidP="006965E4">
      <w:pPr>
        <w:pStyle w:val="ae"/>
        <w:ind w:firstLine="567"/>
        <w:jc w:val="both"/>
        <w:rPr>
          <w:sz w:val="28"/>
          <w:szCs w:val="28"/>
        </w:rPr>
      </w:pPr>
      <w:r w:rsidRPr="006965E4">
        <w:rPr>
          <w:sz w:val="28"/>
          <w:szCs w:val="28"/>
          <w:lang w:val="ru-RU"/>
        </w:rPr>
        <w:t>3</w:t>
      </w:r>
      <w:r w:rsidRPr="006965E4">
        <w:rPr>
          <w:sz w:val="28"/>
          <w:szCs w:val="28"/>
        </w:rPr>
        <w:t>. Оцінка впливу на сферу інтересів громадян</w:t>
      </w:r>
    </w:p>
    <w:p w:rsidR="008F2208" w:rsidRPr="006965E4" w:rsidRDefault="008F2208" w:rsidP="006965E4">
      <w:pPr>
        <w:pStyle w:val="ae"/>
        <w:ind w:firstLine="567"/>
        <w:jc w:val="both"/>
        <w:rPr>
          <w:sz w:val="28"/>
          <w:szCs w:val="28"/>
        </w:rPr>
      </w:pPr>
    </w:p>
    <w:p w:rsidR="00980871" w:rsidRPr="006965E4" w:rsidRDefault="00980871" w:rsidP="006965E4">
      <w:pPr>
        <w:pStyle w:val="ae"/>
        <w:ind w:firstLine="567"/>
        <w:jc w:val="both"/>
        <w:rPr>
          <w:sz w:val="28"/>
          <w:szCs w:val="28"/>
        </w:rPr>
      </w:pPr>
      <w:proofErr w:type="spellStart"/>
      <w:r w:rsidRPr="006965E4">
        <w:rPr>
          <w:sz w:val="28"/>
          <w:szCs w:val="28"/>
        </w:rPr>
        <w:t>Проєкт</w:t>
      </w:r>
      <w:proofErr w:type="spellEnd"/>
      <w:r w:rsidRPr="006965E4">
        <w:rPr>
          <w:sz w:val="28"/>
          <w:szCs w:val="28"/>
        </w:rPr>
        <w:t xml:space="preserve"> не належить до сфери регулювання цивільних відносин та не розповсюджується на сферу інтересів громадян.</w:t>
      </w:r>
    </w:p>
    <w:p w:rsidR="00980871" w:rsidRPr="006965E4" w:rsidRDefault="00980871" w:rsidP="006965E4">
      <w:pPr>
        <w:pStyle w:val="ae"/>
        <w:jc w:val="both"/>
        <w:rPr>
          <w:sz w:val="28"/>
          <w:szCs w:val="28"/>
        </w:rPr>
      </w:pPr>
    </w:p>
    <w:p w:rsidR="00980871" w:rsidRDefault="00980871" w:rsidP="006965E4">
      <w:pPr>
        <w:pStyle w:val="ae"/>
        <w:ind w:firstLine="567"/>
        <w:jc w:val="both"/>
        <w:rPr>
          <w:sz w:val="28"/>
          <w:szCs w:val="28"/>
        </w:rPr>
      </w:pPr>
      <w:r w:rsidRPr="006965E4">
        <w:rPr>
          <w:sz w:val="28"/>
          <w:szCs w:val="28"/>
        </w:rPr>
        <w:t>4. Оцінка впливу на сферу інтересів суб’єктів господарювання</w:t>
      </w:r>
    </w:p>
    <w:p w:rsidR="008F2208" w:rsidRPr="006965E4" w:rsidRDefault="008F2208" w:rsidP="006965E4">
      <w:pPr>
        <w:pStyle w:val="ae"/>
        <w:ind w:firstLine="567"/>
        <w:jc w:val="both"/>
        <w:rPr>
          <w:sz w:val="28"/>
          <w:szCs w:val="28"/>
        </w:rPr>
      </w:pPr>
    </w:p>
    <w:p w:rsidR="00980871" w:rsidRPr="006965E4" w:rsidRDefault="00980871" w:rsidP="006965E4">
      <w:pPr>
        <w:pStyle w:val="ae"/>
        <w:ind w:firstLine="567"/>
        <w:jc w:val="both"/>
        <w:rPr>
          <w:sz w:val="28"/>
          <w:szCs w:val="28"/>
        </w:rPr>
      </w:pPr>
      <w:r w:rsidRPr="006965E4">
        <w:rPr>
          <w:sz w:val="28"/>
          <w:szCs w:val="28"/>
        </w:rPr>
        <w:t xml:space="preserve">Дія </w:t>
      </w:r>
      <w:proofErr w:type="spellStart"/>
      <w:r w:rsidRPr="006965E4">
        <w:rPr>
          <w:sz w:val="28"/>
          <w:szCs w:val="28"/>
        </w:rPr>
        <w:t>Проєкту</w:t>
      </w:r>
      <w:proofErr w:type="spellEnd"/>
      <w:r w:rsidRPr="006965E4">
        <w:rPr>
          <w:sz w:val="28"/>
          <w:szCs w:val="28"/>
        </w:rPr>
        <w:t xml:space="preserve"> поширюється на платників акцизного податку з реалізації пального – розпорядників акцизних складів.</w:t>
      </w:r>
    </w:p>
    <w:p w:rsidR="00980871" w:rsidRDefault="00980871" w:rsidP="006965E4">
      <w:pPr>
        <w:pStyle w:val="ae"/>
      </w:pPr>
    </w:p>
    <w:p w:rsidR="00E323D1" w:rsidRPr="00864B9E" w:rsidRDefault="00E323D1" w:rsidP="006965E4">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60"/>
        <w:gridCol w:w="1360"/>
        <w:gridCol w:w="1136"/>
        <w:gridCol w:w="1194"/>
        <w:gridCol w:w="1394"/>
      </w:tblGrid>
      <w:tr w:rsidR="00980871" w:rsidRPr="00864B9E" w:rsidTr="00390E62">
        <w:tc>
          <w:tcPr>
            <w:tcW w:w="3227" w:type="dxa"/>
            <w:shd w:val="clear" w:color="auto" w:fill="auto"/>
          </w:tcPr>
          <w:p w:rsidR="00980871" w:rsidRPr="00864B9E" w:rsidRDefault="00980871" w:rsidP="00390E62">
            <w:pPr>
              <w:jc w:val="center"/>
              <w:rPr>
                <w:sz w:val="28"/>
                <w:szCs w:val="28"/>
              </w:rPr>
            </w:pPr>
            <w:r w:rsidRPr="00864B9E">
              <w:rPr>
                <w:sz w:val="28"/>
                <w:szCs w:val="28"/>
              </w:rPr>
              <w:lastRenderedPageBreak/>
              <w:t>Показники</w:t>
            </w:r>
          </w:p>
        </w:tc>
        <w:tc>
          <w:tcPr>
            <w:tcW w:w="1160" w:type="dxa"/>
            <w:shd w:val="clear" w:color="auto" w:fill="auto"/>
          </w:tcPr>
          <w:p w:rsidR="00980871" w:rsidRPr="00864B9E" w:rsidRDefault="00980871" w:rsidP="00390E62">
            <w:pPr>
              <w:jc w:val="center"/>
              <w:rPr>
                <w:sz w:val="28"/>
                <w:szCs w:val="28"/>
              </w:rPr>
            </w:pPr>
            <w:r w:rsidRPr="00864B9E">
              <w:rPr>
                <w:sz w:val="28"/>
                <w:szCs w:val="28"/>
              </w:rPr>
              <w:t>Великі</w:t>
            </w:r>
          </w:p>
        </w:tc>
        <w:tc>
          <w:tcPr>
            <w:tcW w:w="1360" w:type="dxa"/>
            <w:shd w:val="clear" w:color="auto" w:fill="auto"/>
          </w:tcPr>
          <w:p w:rsidR="00980871" w:rsidRPr="00864B9E" w:rsidRDefault="00980871" w:rsidP="00390E62">
            <w:pPr>
              <w:jc w:val="center"/>
              <w:rPr>
                <w:sz w:val="28"/>
                <w:szCs w:val="28"/>
              </w:rPr>
            </w:pPr>
            <w:r w:rsidRPr="00864B9E">
              <w:rPr>
                <w:sz w:val="28"/>
                <w:szCs w:val="28"/>
              </w:rPr>
              <w:t>Середні</w:t>
            </w:r>
          </w:p>
        </w:tc>
        <w:tc>
          <w:tcPr>
            <w:tcW w:w="1136" w:type="dxa"/>
            <w:shd w:val="clear" w:color="auto" w:fill="auto"/>
          </w:tcPr>
          <w:p w:rsidR="00980871" w:rsidRPr="00864B9E" w:rsidRDefault="00980871" w:rsidP="00390E62">
            <w:pPr>
              <w:jc w:val="center"/>
              <w:rPr>
                <w:sz w:val="28"/>
                <w:szCs w:val="28"/>
              </w:rPr>
            </w:pPr>
            <w:r w:rsidRPr="00864B9E">
              <w:rPr>
                <w:sz w:val="28"/>
                <w:szCs w:val="28"/>
              </w:rPr>
              <w:t>Малі</w:t>
            </w:r>
          </w:p>
        </w:tc>
        <w:tc>
          <w:tcPr>
            <w:tcW w:w="1194" w:type="dxa"/>
            <w:shd w:val="clear" w:color="auto" w:fill="auto"/>
          </w:tcPr>
          <w:p w:rsidR="00980871" w:rsidRPr="00864B9E" w:rsidRDefault="00980871" w:rsidP="00390E62">
            <w:pPr>
              <w:jc w:val="center"/>
              <w:rPr>
                <w:sz w:val="28"/>
                <w:szCs w:val="28"/>
              </w:rPr>
            </w:pPr>
            <w:r w:rsidRPr="00864B9E">
              <w:rPr>
                <w:sz w:val="28"/>
                <w:szCs w:val="28"/>
              </w:rPr>
              <w:t>Мікро</w:t>
            </w:r>
          </w:p>
        </w:tc>
        <w:tc>
          <w:tcPr>
            <w:tcW w:w="1394" w:type="dxa"/>
            <w:shd w:val="clear" w:color="auto" w:fill="auto"/>
          </w:tcPr>
          <w:p w:rsidR="00980871" w:rsidRPr="00864B9E" w:rsidRDefault="00980871" w:rsidP="00390E62">
            <w:pPr>
              <w:jc w:val="center"/>
              <w:rPr>
                <w:sz w:val="28"/>
                <w:szCs w:val="28"/>
              </w:rPr>
            </w:pPr>
            <w:r w:rsidRPr="00864B9E">
              <w:rPr>
                <w:sz w:val="28"/>
                <w:szCs w:val="28"/>
              </w:rPr>
              <w:t>Разом</w:t>
            </w:r>
          </w:p>
        </w:tc>
      </w:tr>
      <w:tr w:rsidR="00980871" w:rsidRPr="00864B9E" w:rsidTr="00390E62">
        <w:tc>
          <w:tcPr>
            <w:tcW w:w="3227" w:type="dxa"/>
            <w:shd w:val="clear" w:color="auto" w:fill="auto"/>
          </w:tcPr>
          <w:p w:rsidR="00980871" w:rsidRPr="00864B9E" w:rsidRDefault="00980871" w:rsidP="00390E62">
            <w:pPr>
              <w:jc w:val="both"/>
              <w:rPr>
                <w:sz w:val="28"/>
                <w:szCs w:val="28"/>
              </w:rPr>
            </w:pPr>
            <w:r w:rsidRPr="00864B9E">
              <w:rPr>
                <w:sz w:val="28"/>
                <w:szCs w:val="28"/>
              </w:rPr>
              <w:t>Кількість суб’єктів господарювання, що підпадають під дію регулювання, одиниць</w:t>
            </w:r>
          </w:p>
        </w:tc>
        <w:tc>
          <w:tcPr>
            <w:tcW w:w="1160" w:type="dxa"/>
            <w:shd w:val="clear" w:color="auto" w:fill="auto"/>
          </w:tcPr>
          <w:p w:rsidR="00980871" w:rsidRPr="00CA4DA3" w:rsidRDefault="00980871" w:rsidP="00390E62">
            <w:pPr>
              <w:jc w:val="center"/>
              <w:rPr>
                <w:sz w:val="28"/>
                <w:szCs w:val="28"/>
              </w:rPr>
            </w:pPr>
          </w:p>
          <w:p w:rsidR="00980871" w:rsidRPr="00CA4DA3" w:rsidRDefault="00195E15" w:rsidP="007E7404">
            <w:pPr>
              <w:jc w:val="center"/>
              <w:rPr>
                <w:sz w:val="28"/>
                <w:szCs w:val="28"/>
              </w:rPr>
            </w:pPr>
            <w:r w:rsidRPr="00CA4DA3">
              <w:rPr>
                <w:sz w:val="28"/>
                <w:szCs w:val="28"/>
              </w:rPr>
              <w:t>118</w:t>
            </w:r>
          </w:p>
        </w:tc>
        <w:tc>
          <w:tcPr>
            <w:tcW w:w="1360" w:type="dxa"/>
            <w:shd w:val="clear" w:color="auto" w:fill="auto"/>
          </w:tcPr>
          <w:p w:rsidR="00980871" w:rsidRPr="00CA4DA3" w:rsidRDefault="00980871" w:rsidP="00390E62">
            <w:pPr>
              <w:jc w:val="center"/>
              <w:rPr>
                <w:sz w:val="28"/>
                <w:szCs w:val="28"/>
              </w:rPr>
            </w:pPr>
          </w:p>
          <w:p w:rsidR="00980871" w:rsidRPr="00CA4DA3" w:rsidRDefault="00195E15" w:rsidP="007E7404">
            <w:pPr>
              <w:jc w:val="center"/>
              <w:rPr>
                <w:sz w:val="28"/>
                <w:szCs w:val="28"/>
              </w:rPr>
            </w:pPr>
            <w:r w:rsidRPr="00CA4DA3">
              <w:rPr>
                <w:sz w:val="28"/>
                <w:szCs w:val="28"/>
              </w:rPr>
              <w:t>93</w:t>
            </w:r>
          </w:p>
        </w:tc>
        <w:tc>
          <w:tcPr>
            <w:tcW w:w="1136" w:type="dxa"/>
            <w:shd w:val="clear" w:color="auto" w:fill="auto"/>
          </w:tcPr>
          <w:p w:rsidR="00980871" w:rsidRPr="00CA4DA3" w:rsidRDefault="00980871" w:rsidP="00390E62">
            <w:pPr>
              <w:jc w:val="center"/>
              <w:rPr>
                <w:sz w:val="28"/>
                <w:szCs w:val="28"/>
              </w:rPr>
            </w:pPr>
          </w:p>
          <w:p w:rsidR="00980871" w:rsidRPr="00CA4DA3" w:rsidRDefault="00195E15" w:rsidP="007E7404">
            <w:pPr>
              <w:jc w:val="center"/>
              <w:rPr>
                <w:sz w:val="28"/>
                <w:szCs w:val="28"/>
              </w:rPr>
            </w:pPr>
            <w:r w:rsidRPr="00CA4DA3">
              <w:rPr>
                <w:sz w:val="28"/>
                <w:szCs w:val="28"/>
              </w:rPr>
              <w:t>145</w:t>
            </w:r>
          </w:p>
        </w:tc>
        <w:tc>
          <w:tcPr>
            <w:tcW w:w="1194" w:type="dxa"/>
            <w:shd w:val="clear" w:color="auto" w:fill="auto"/>
          </w:tcPr>
          <w:p w:rsidR="00980871" w:rsidRPr="00CA4DA3" w:rsidRDefault="00980871" w:rsidP="00390E62">
            <w:pPr>
              <w:jc w:val="center"/>
              <w:rPr>
                <w:sz w:val="28"/>
                <w:szCs w:val="28"/>
              </w:rPr>
            </w:pPr>
          </w:p>
          <w:p w:rsidR="00980871" w:rsidRPr="00CA4DA3" w:rsidRDefault="00195E15" w:rsidP="007E7404">
            <w:pPr>
              <w:jc w:val="center"/>
              <w:rPr>
                <w:sz w:val="28"/>
                <w:szCs w:val="28"/>
              </w:rPr>
            </w:pPr>
            <w:r w:rsidRPr="00CA4DA3">
              <w:rPr>
                <w:sz w:val="28"/>
                <w:szCs w:val="28"/>
              </w:rPr>
              <w:t>3304</w:t>
            </w:r>
          </w:p>
        </w:tc>
        <w:tc>
          <w:tcPr>
            <w:tcW w:w="1394" w:type="dxa"/>
            <w:shd w:val="clear" w:color="auto" w:fill="auto"/>
          </w:tcPr>
          <w:p w:rsidR="00980871" w:rsidRPr="00CA4DA3" w:rsidRDefault="00980871" w:rsidP="00390E62">
            <w:pPr>
              <w:jc w:val="center"/>
              <w:rPr>
                <w:sz w:val="28"/>
                <w:szCs w:val="28"/>
              </w:rPr>
            </w:pPr>
          </w:p>
          <w:p w:rsidR="00980871" w:rsidRPr="00CA4DA3" w:rsidRDefault="0078107F" w:rsidP="007E7404">
            <w:pPr>
              <w:jc w:val="center"/>
              <w:rPr>
                <w:sz w:val="28"/>
                <w:szCs w:val="28"/>
              </w:rPr>
            </w:pPr>
            <w:r w:rsidRPr="00CA4DA3">
              <w:rPr>
                <w:sz w:val="28"/>
                <w:szCs w:val="28"/>
              </w:rPr>
              <w:t>3660</w:t>
            </w:r>
          </w:p>
        </w:tc>
      </w:tr>
      <w:tr w:rsidR="00980871" w:rsidRPr="00864B9E" w:rsidTr="00390E62">
        <w:tc>
          <w:tcPr>
            <w:tcW w:w="3227" w:type="dxa"/>
            <w:shd w:val="clear" w:color="auto" w:fill="auto"/>
          </w:tcPr>
          <w:p w:rsidR="00980871" w:rsidRPr="00864B9E" w:rsidRDefault="00980871" w:rsidP="00390E62">
            <w:pPr>
              <w:jc w:val="both"/>
              <w:rPr>
                <w:sz w:val="28"/>
                <w:szCs w:val="28"/>
              </w:rPr>
            </w:pPr>
            <w:r w:rsidRPr="00864B9E">
              <w:rPr>
                <w:sz w:val="28"/>
                <w:szCs w:val="28"/>
              </w:rPr>
              <w:t>Питома вага групи у загальній кількості, відсотків</w:t>
            </w:r>
          </w:p>
        </w:tc>
        <w:tc>
          <w:tcPr>
            <w:tcW w:w="1160" w:type="dxa"/>
            <w:shd w:val="clear" w:color="auto" w:fill="auto"/>
          </w:tcPr>
          <w:p w:rsidR="0078107F" w:rsidRPr="00CA4DA3" w:rsidRDefault="0078107F" w:rsidP="00390E62">
            <w:pPr>
              <w:jc w:val="center"/>
              <w:rPr>
                <w:sz w:val="28"/>
                <w:szCs w:val="28"/>
              </w:rPr>
            </w:pPr>
          </w:p>
          <w:p w:rsidR="00980871" w:rsidRPr="00CA4DA3" w:rsidRDefault="0078107F" w:rsidP="007E7404">
            <w:pPr>
              <w:jc w:val="center"/>
              <w:rPr>
                <w:sz w:val="28"/>
                <w:szCs w:val="28"/>
              </w:rPr>
            </w:pPr>
            <w:r w:rsidRPr="00CA4DA3">
              <w:rPr>
                <w:sz w:val="28"/>
                <w:szCs w:val="28"/>
              </w:rPr>
              <w:t>3,2</w:t>
            </w:r>
          </w:p>
        </w:tc>
        <w:tc>
          <w:tcPr>
            <w:tcW w:w="1360" w:type="dxa"/>
            <w:shd w:val="clear" w:color="auto" w:fill="auto"/>
          </w:tcPr>
          <w:p w:rsidR="0078107F" w:rsidRPr="00CA4DA3" w:rsidRDefault="0078107F" w:rsidP="00390E62">
            <w:pPr>
              <w:jc w:val="center"/>
              <w:rPr>
                <w:sz w:val="28"/>
                <w:szCs w:val="28"/>
              </w:rPr>
            </w:pPr>
          </w:p>
          <w:p w:rsidR="00980871" w:rsidRPr="00CA4DA3" w:rsidRDefault="0078107F" w:rsidP="007E7404">
            <w:pPr>
              <w:jc w:val="center"/>
              <w:rPr>
                <w:sz w:val="28"/>
                <w:szCs w:val="28"/>
              </w:rPr>
            </w:pPr>
            <w:r w:rsidRPr="00CA4DA3">
              <w:rPr>
                <w:sz w:val="28"/>
                <w:szCs w:val="28"/>
              </w:rPr>
              <w:t>2,5</w:t>
            </w:r>
          </w:p>
        </w:tc>
        <w:tc>
          <w:tcPr>
            <w:tcW w:w="1136" w:type="dxa"/>
            <w:shd w:val="clear" w:color="auto" w:fill="auto"/>
          </w:tcPr>
          <w:p w:rsidR="0078107F" w:rsidRPr="00CA4DA3" w:rsidRDefault="0078107F" w:rsidP="00390E62">
            <w:pPr>
              <w:jc w:val="center"/>
              <w:rPr>
                <w:sz w:val="28"/>
                <w:szCs w:val="28"/>
              </w:rPr>
            </w:pPr>
          </w:p>
          <w:p w:rsidR="00980871" w:rsidRPr="00CA4DA3" w:rsidRDefault="0078107F" w:rsidP="007E7404">
            <w:pPr>
              <w:jc w:val="center"/>
              <w:rPr>
                <w:sz w:val="28"/>
                <w:szCs w:val="28"/>
              </w:rPr>
            </w:pPr>
            <w:r w:rsidRPr="00CA4DA3">
              <w:rPr>
                <w:sz w:val="28"/>
                <w:szCs w:val="28"/>
              </w:rPr>
              <w:t>4,0</w:t>
            </w:r>
          </w:p>
        </w:tc>
        <w:tc>
          <w:tcPr>
            <w:tcW w:w="1194" w:type="dxa"/>
            <w:shd w:val="clear" w:color="auto" w:fill="auto"/>
          </w:tcPr>
          <w:p w:rsidR="0078107F" w:rsidRPr="00CA4DA3" w:rsidRDefault="0078107F" w:rsidP="00390E62">
            <w:pPr>
              <w:jc w:val="center"/>
              <w:rPr>
                <w:sz w:val="28"/>
                <w:szCs w:val="28"/>
              </w:rPr>
            </w:pPr>
          </w:p>
          <w:p w:rsidR="00980871" w:rsidRPr="00CA4DA3" w:rsidRDefault="0078107F" w:rsidP="007E7404">
            <w:pPr>
              <w:jc w:val="center"/>
              <w:rPr>
                <w:sz w:val="28"/>
                <w:szCs w:val="28"/>
              </w:rPr>
            </w:pPr>
            <w:r w:rsidRPr="00CA4DA3">
              <w:rPr>
                <w:sz w:val="28"/>
                <w:szCs w:val="28"/>
              </w:rPr>
              <w:t>90,3</w:t>
            </w:r>
          </w:p>
        </w:tc>
        <w:tc>
          <w:tcPr>
            <w:tcW w:w="1394" w:type="dxa"/>
            <w:shd w:val="clear" w:color="auto" w:fill="auto"/>
          </w:tcPr>
          <w:p w:rsidR="008E50AB" w:rsidRPr="00CA4DA3" w:rsidRDefault="008E50AB" w:rsidP="00390E62">
            <w:pPr>
              <w:jc w:val="center"/>
              <w:rPr>
                <w:sz w:val="28"/>
                <w:szCs w:val="28"/>
              </w:rPr>
            </w:pPr>
          </w:p>
          <w:p w:rsidR="00980871" w:rsidRPr="00CA4DA3" w:rsidRDefault="00980871" w:rsidP="00390E62">
            <w:pPr>
              <w:jc w:val="center"/>
              <w:rPr>
                <w:sz w:val="28"/>
                <w:szCs w:val="28"/>
              </w:rPr>
            </w:pPr>
            <w:r w:rsidRPr="00CA4DA3">
              <w:rPr>
                <w:sz w:val="28"/>
                <w:szCs w:val="28"/>
              </w:rPr>
              <w:t>100</w:t>
            </w:r>
          </w:p>
        </w:tc>
      </w:tr>
    </w:tbl>
    <w:p w:rsidR="00980871" w:rsidRPr="00864B9E" w:rsidRDefault="00980871" w:rsidP="00980871">
      <w:pPr>
        <w:pStyle w:val="a3"/>
        <w:tabs>
          <w:tab w:val="left" w:pos="720"/>
        </w:tabs>
        <w:spacing w:before="0" w:beforeAutospacing="0" w:after="0" w:afterAutospacing="0"/>
        <w:jc w:val="both"/>
        <w:rPr>
          <w:i/>
          <w:lang w:val="uk-UA"/>
        </w:rPr>
      </w:pPr>
      <w:r w:rsidRPr="00864B9E">
        <w:rPr>
          <w:i/>
          <w:sz w:val="28"/>
          <w:szCs w:val="28"/>
          <w:lang w:val="uk-UA"/>
        </w:rPr>
        <w:t xml:space="preserve">* </w:t>
      </w:r>
      <w:r w:rsidRPr="00E911A3">
        <w:rPr>
          <w:i/>
          <w:lang w:val="uk-UA"/>
        </w:rPr>
        <w:t>Для зазначеної кількості суб’єктів господарювання кількість точок контролю, які безпосередньо пов’язані з поданням електронних документів</w:t>
      </w:r>
      <w:r w:rsidR="00D612FE">
        <w:rPr>
          <w:i/>
          <w:lang w:val="uk-UA"/>
        </w:rPr>
        <w:t xml:space="preserve"> (акцизні склади)</w:t>
      </w:r>
      <w:r w:rsidR="00667A9D" w:rsidRPr="00E911A3">
        <w:rPr>
          <w:i/>
          <w:lang w:val="uk-UA"/>
        </w:rPr>
        <w:t>,</w:t>
      </w:r>
      <w:r w:rsidRPr="00E911A3">
        <w:rPr>
          <w:i/>
          <w:lang w:val="uk-UA"/>
        </w:rPr>
        <w:t xml:space="preserve"> становить </w:t>
      </w:r>
      <w:r w:rsidR="00412530" w:rsidRPr="00E911A3">
        <w:rPr>
          <w:i/>
          <w:lang w:val="uk-UA"/>
        </w:rPr>
        <w:t xml:space="preserve">19 980 </w:t>
      </w:r>
      <w:r w:rsidRPr="00E911A3">
        <w:rPr>
          <w:i/>
          <w:lang w:val="uk-UA"/>
        </w:rPr>
        <w:t>об’єктів</w:t>
      </w:r>
      <w:r w:rsidRPr="00864B9E">
        <w:rPr>
          <w:i/>
          <w:lang w:val="uk-UA"/>
        </w:rPr>
        <w:t xml:space="preserve">, </w:t>
      </w:r>
      <w:r w:rsidR="006D1D64">
        <w:rPr>
          <w:i/>
          <w:lang w:val="uk-UA"/>
        </w:rPr>
        <w:t>у</w:t>
      </w:r>
      <w:r w:rsidRPr="00864B9E">
        <w:rPr>
          <w:i/>
          <w:lang w:val="uk-UA"/>
        </w:rPr>
        <w:t xml:space="preserve"> тому числі у великих та середніх </w:t>
      </w:r>
      <w:r w:rsidRPr="00864B9E">
        <w:rPr>
          <w:i/>
        </w:rPr>
        <w:t>суб’єктів господарювання</w:t>
      </w:r>
      <w:r w:rsidRPr="00864B9E">
        <w:rPr>
          <w:i/>
          <w:lang w:val="uk-UA"/>
        </w:rPr>
        <w:t xml:space="preserve"> </w:t>
      </w:r>
      <w:r w:rsidRPr="00E911A3">
        <w:rPr>
          <w:i/>
          <w:lang w:val="uk-UA"/>
        </w:rPr>
        <w:t xml:space="preserve">– </w:t>
      </w:r>
      <w:r w:rsidR="00412530" w:rsidRPr="00E911A3">
        <w:rPr>
          <w:i/>
          <w:lang w:val="uk-UA"/>
        </w:rPr>
        <w:t>5</w:t>
      </w:r>
      <w:r w:rsidR="006D1D64">
        <w:rPr>
          <w:i/>
          <w:lang w:val="uk-UA"/>
        </w:rPr>
        <w:t> </w:t>
      </w:r>
      <w:r w:rsidR="00412530" w:rsidRPr="00E911A3">
        <w:rPr>
          <w:i/>
          <w:lang w:val="uk-UA"/>
        </w:rPr>
        <w:t>080</w:t>
      </w:r>
      <w:r w:rsidR="006D1D64">
        <w:rPr>
          <w:i/>
          <w:lang w:val="uk-UA"/>
        </w:rPr>
        <w:t> </w:t>
      </w:r>
      <w:r w:rsidRPr="00864B9E">
        <w:rPr>
          <w:i/>
          <w:lang w:val="uk-UA"/>
        </w:rPr>
        <w:t>об’єктів.</w:t>
      </w:r>
    </w:p>
    <w:p w:rsidR="00980871" w:rsidRPr="004954F1" w:rsidRDefault="00980871" w:rsidP="00980871">
      <w:pPr>
        <w:pStyle w:val="a3"/>
        <w:spacing w:before="0" w:beforeAutospacing="0" w:after="0" w:afterAutospacing="0"/>
        <w:jc w:val="both"/>
        <w:rPr>
          <w:sz w:val="14"/>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27"/>
        <w:gridCol w:w="4197"/>
      </w:tblGrid>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Вид альтернативи</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Вигоди</w:t>
            </w:r>
          </w:p>
        </w:tc>
        <w:tc>
          <w:tcPr>
            <w:tcW w:w="419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Витрати * **</w:t>
            </w:r>
          </w:p>
        </w:tc>
      </w:tr>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rPr>
                <w:lang w:val="uk-UA"/>
              </w:rPr>
            </w:pPr>
            <w:r w:rsidRPr="00864B9E">
              <w:rPr>
                <w:i/>
                <w:lang w:val="uk-UA"/>
              </w:rPr>
              <w:t>Альтернатива 1</w:t>
            </w:r>
            <w:r w:rsidRPr="00864B9E">
              <w:rPr>
                <w:lang w:val="uk-UA"/>
              </w:rPr>
              <w:t xml:space="preserve"> (прийняття </w:t>
            </w:r>
            <w:proofErr w:type="spellStart"/>
            <w:r w:rsidRPr="00864B9E">
              <w:rPr>
                <w:lang w:val="uk-UA"/>
              </w:rPr>
              <w:t>проєкту</w:t>
            </w:r>
            <w:proofErr w:type="spellEnd"/>
            <w:r w:rsidRPr="00864B9E">
              <w:rPr>
                <w:lang w:val="uk-UA"/>
              </w:rPr>
              <w:t>)</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412530">
            <w:pPr>
              <w:pStyle w:val="a3"/>
              <w:spacing w:before="0" w:beforeAutospacing="0" w:after="0" w:afterAutospacing="0"/>
              <w:ind w:firstLine="317"/>
              <w:jc w:val="both"/>
              <w:rPr>
                <w:lang w:val="uk-UA"/>
              </w:rPr>
            </w:pPr>
            <w:r w:rsidRPr="00864B9E">
              <w:rPr>
                <w:spacing w:val="-3"/>
                <w:lang w:val="uk-UA"/>
              </w:rPr>
              <w:t xml:space="preserve">Спрощення для </w:t>
            </w:r>
            <w:r w:rsidRPr="00864B9E">
              <w:t>платник</w:t>
            </w:r>
            <w:r w:rsidRPr="00864B9E">
              <w:rPr>
                <w:lang w:val="uk-UA"/>
              </w:rPr>
              <w:t>ів</w:t>
            </w:r>
            <w:r w:rsidRPr="00864B9E">
              <w:t xml:space="preserve"> акцизного податку з реалізації пального – розпорядник</w:t>
            </w:r>
            <w:r w:rsidRPr="00864B9E">
              <w:rPr>
                <w:lang w:val="uk-UA"/>
              </w:rPr>
              <w:t>ів</w:t>
            </w:r>
            <w:r w:rsidRPr="00864B9E">
              <w:t xml:space="preserve"> акцизного складу</w:t>
            </w:r>
            <w:r w:rsidRPr="00864B9E">
              <w:rPr>
                <w:spacing w:val="-3"/>
                <w:lang w:val="uk-UA"/>
              </w:rPr>
              <w:t xml:space="preserve"> обліку </w:t>
            </w:r>
            <w:r w:rsidRPr="00864B9E">
              <w:t>с</w:t>
            </w:r>
            <w:r w:rsidRPr="00864B9E">
              <w:rPr>
                <w:lang w:eastAsia="ru-RU"/>
              </w:rPr>
              <w:t>крапленого газу (пропану або суміші пропану з бутаном), інших газів, бутану, ізобутану</w:t>
            </w:r>
            <w:r w:rsidRPr="00864B9E">
              <w:t xml:space="preserve"> </w:t>
            </w:r>
            <w:r w:rsidRPr="00864B9E">
              <w:rPr>
                <w:lang w:val="uk-UA"/>
              </w:rPr>
              <w:t xml:space="preserve">– </w:t>
            </w:r>
            <w:r w:rsidRPr="00864B9E">
              <w:t xml:space="preserve">за умовним кодом, а не </w:t>
            </w:r>
            <w:r w:rsidRPr="00864B9E">
              <w:rPr>
                <w:lang w:val="uk-UA"/>
              </w:rPr>
              <w:t>за 13</w:t>
            </w:r>
            <w:r w:rsidR="006D1D64">
              <w:rPr>
                <w:lang w:val="uk-UA"/>
              </w:rPr>
              <w:t> </w:t>
            </w:r>
            <w:r w:rsidRPr="00864B9E">
              <w:rPr>
                <w:lang w:val="uk-UA"/>
              </w:rPr>
              <w:t xml:space="preserve">можливими </w:t>
            </w:r>
            <w:r w:rsidRPr="00864B9E">
              <w:t>код</w:t>
            </w:r>
            <w:r w:rsidRPr="00864B9E">
              <w:rPr>
                <w:lang w:val="uk-UA"/>
              </w:rPr>
              <w:t>ами</w:t>
            </w:r>
            <w:r w:rsidRPr="00864B9E">
              <w:t xml:space="preserve"> товарної </w:t>
            </w:r>
            <w:proofErr w:type="spellStart"/>
            <w:r w:rsidRPr="00864B9E">
              <w:t>підкатегорії</w:t>
            </w:r>
            <w:proofErr w:type="spellEnd"/>
            <w:r w:rsidRPr="00864B9E">
              <w:t xml:space="preserve"> </w:t>
            </w:r>
            <w:r w:rsidRPr="00864B9E">
              <w:rPr>
                <w:lang w:val="uk-UA"/>
              </w:rPr>
              <w:t xml:space="preserve">такого скрапленого газу </w:t>
            </w:r>
            <w:r w:rsidRPr="00864B9E">
              <w:t>згідно з УКТ ЗЕД</w:t>
            </w:r>
            <w:r w:rsidRPr="00864B9E">
              <w:rPr>
                <w:lang w:val="uk-UA"/>
              </w:rPr>
              <w:t>.</w:t>
            </w:r>
          </w:p>
          <w:p w:rsidR="00980871" w:rsidRPr="00864B9E" w:rsidRDefault="00980871" w:rsidP="00412530">
            <w:pPr>
              <w:pStyle w:val="a3"/>
              <w:spacing w:before="0" w:beforeAutospacing="0" w:after="0" w:afterAutospacing="0"/>
              <w:ind w:firstLine="317"/>
              <w:jc w:val="both"/>
              <w:rPr>
                <w:lang w:val="uk-UA"/>
              </w:rPr>
            </w:pPr>
          </w:p>
          <w:p w:rsidR="00980871" w:rsidRPr="00864B9E" w:rsidRDefault="00980871" w:rsidP="00412530">
            <w:pPr>
              <w:pStyle w:val="a3"/>
              <w:spacing w:before="0" w:beforeAutospacing="0" w:after="0" w:afterAutospacing="0"/>
              <w:ind w:firstLine="317"/>
              <w:jc w:val="both"/>
              <w:rPr>
                <w:lang w:val="uk-UA"/>
              </w:rPr>
            </w:pPr>
            <w:r w:rsidRPr="00864B9E">
              <w:rPr>
                <w:lang w:val="uk-UA"/>
              </w:rPr>
              <w:t xml:space="preserve">Спрощення порядку заповнення електронних документів, якими направляються облікові дані </w:t>
            </w:r>
            <w:r w:rsidRPr="00864B9E">
              <w:t>з витратомірів і рівнемірів</w:t>
            </w:r>
            <w:r w:rsidRPr="00864B9E">
              <w:rPr>
                <w:lang w:val="uk-UA"/>
              </w:rPr>
              <w:t xml:space="preserve"> внаслідок врахування у формах таких документів специфіки господарської діяльності платника та запровадження чітких правил їх заповнення</w:t>
            </w:r>
          </w:p>
        </w:tc>
        <w:tc>
          <w:tcPr>
            <w:tcW w:w="4197" w:type="dxa"/>
            <w:tcBorders>
              <w:top w:val="single" w:sz="4" w:space="0" w:color="auto"/>
              <w:left w:val="single" w:sz="4" w:space="0" w:color="auto"/>
              <w:bottom w:val="single" w:sz="4" w:space="0" w:color="auto"/>
              <w:right w:val="single" w:sz="4" w:space="0" w:color="auto"/>
            </w:tcBorders>
          </w:tcPr>
          <w:p w:rsidR="00980871" w:rsidRPr="009B23BE" w:rsidRDefault="00980871" w:rsidP="003233E0">
            <w:pPr>
              <w:pStyle w:val="BodyTextIndent1"/>
              <w:tabs>
                <w:tab w:val="left" w:pos="720"/>
              </w:tabs>
              <w:ind w:firstLine="318"/>
              <w:rPr>
                <w:sz w:val="24"/>
                <w:szCs w:val="22"/>
              </w:rPr>
            </w:pPr>
            <w:r w:rsidRPr="009B23BE">
              <w:rPr>
                <w:sz w:val="24"/>
                <w:szCs w:val="22"/>
              </w:rPr>
              <w:t>Витрати на заповнення довідки форми АС:</w:t>
            </w:r>
          </w:p>
          <w:p w:rsidR="00980871" w:rsidRPr="004D598D" w:rsidRDefault="00980871" w:rsidP="00390E62">
            <w:pPr>
              <w:pStyle w:val="BodyTextIndent1"/>
              <w:tabs>
                <w:tab w:val="left" w:pos="720"/>
              </w:tabs>
              <w:ind w:firstLine="0"/>
              <w:jc w:val="center"/>
              <w:rPr>
                <w:sz w:val="24"/>
                <w:szCs w:val="22"/>
              </w:rPr>
            </w:pPr>
            <w:r w:rsidRPr="004D598D">
              <w:rPr>
                <w:sz w:val="24"/>
                <w:szCs w:val="22"/>
              </w:rPr>
              <w:t>6,48 годин</w:t>
            </w:r>
            <w:r w:rsidR="00350970">
              <w:rPr>
                <w:sz w:val="24"/>
                <w:szCs w:val="22"/>
              </w:rPr>
              <w:t>и</w:t>
            </w:r>
            <w:r w:rsidRPr="004D598D">
              <w:rPr>
                <w:sz w:val="24"/>
                <w:szCs w:val="22"/>
              </w:rPr>
              <w:t>;</w:t>
            </w:r>
          </w:p>
          <w:p w:rsidR="00980871" w:rsidRPr="009B23BE" w:rsidRDefault="00980871" w:rsidP="00390E62">
            <w:pPr>
              <w:pStyle w:val="BodyTextIndent1"/>
              <w:tabs>
                <w:tab w:val="left" w:pos="720"/>
              </w:tabs>
              <w:ind w:firstLine="0"/>
              <w:jc w:val="center"/>
              <w:rPr>
                <w:sz w:val="24"/>
                <w:szCs w:val="22"/>
              </w:rPr>
            </w:pPr>
            <w:r w:rsidRPr="004D598D">
              <w:rPr>
                <w:sz w:val="24"/>
                <w:szCs w:val="22"/>
              </w:rPr>
              <w:t>667 гривень.</w:t>
            </w:r>
          </w:p>
          <w:p w:rsidR="00980871" w:rsidRPr="009B23BE" w:rsidRDefault="00980871" w:rsidP="003233E0">
            <w:pPr>
              <w:pStyle w:val="BodyTextIndent1"/>
              <w:tabs>
                <w:tab w:val="left" w:pos="720"/>
              </w:tabs>
              <w:spacing w:before="120"/>
              <w:ind w:firstLine="318"/>
              <w:rPr>
                <w:sz w:val="24"/>
                <w:szCs w:val="22"/>
              </w:rPr>
            </w:pPr>
            <w:r w:rsidRPr="009B23BE">
              <w:rPr>
                <w:sz w:val="24"/>
                <w:szCs w:val="22"/>
              </w:rPr>
              <w:t xml:space="preserve">Витрати на заповнення довідки, якою </w:t>
            </w:r>
            <w:r w:rsidRPr="009B23BE">
              <w:rPr>
                <w:bCs/>
                <w:sz w:val="24"/>
                <w:szCs w:val="22"/>
              </w:rPr>
              <w:t xml:space="preserve">розпорядниками акцизних складів – платниками акцизного податку з реалізації пального направляються до контролюючого органу </w:t>
            </w:r>
            <w:r w:rsidRPr="009B23BE">
              <w:rPr>
                <w:sz w:val="24"/>
                <w:szCs w:val="22"/>
              </w:rPr>
              <w:t>облікові дані з витратомірів і рівнемірів:</w:t>
            </w:r>
          </w:p>
          <w:p w:rsidR="00980871" w:rsidRPr="004D598D" w:rsidRDefault="00980871" w:rsidP="003C1B02">
            <w:pPr>
              <w:pStyle w:val="BodyTextIndent1"/>
              <w:tabs>
                <w:tab w:val="left" w:pos="720"/>
              </w:tabs>
              <w:ind w:left="1416" w:firstLine="0"/>
              <w:jc w:val="left"/>
              <w:rPr>
                <w:sz w:val="24"/>
                <w:szCs w:val="22"/>
              </w:rPr>
            </w:pPr>
            <w:r w:rsidRPr="004D598D">
              <w:rPr>
                <w:sz w:val="24"/>
                <w:szCs w:val="22"/>
              </w:rPr>
              <w:t>0,75 години/доб</w:t>
            </w:r>
            <w:r w:rsidR="006D1D64">
              <w:rPr>
                <w:sz w:val="24"/>
                <w:szCs w:val="22"/>
              </w:rPr>
              <w:t>у</w:t>
            </w:r>
            <w:r w:rsidRPr="004D598D">
              <w:rPr>
                <w:sz w:val="24"/>
                <w:szCs w:val="22"/>
              </w:rPr>
              <w:t>;</w:t>
            </w:r>
          </w:p>
          <w:p w:rsidR="00980871" w:rsidRPr="004D598D" w:rsidRDefault="00980871" w:rsidP="003C1B02">
            <w:pPr>
              <w:pStyle w:val="BodyTextIndent1"/>
              <w:tabs>
                <w:tab w:val="left" w:pos="720"/>
              </w:tabs>
              <w:ind w:left="1416" w:firstLine="0"/>
              <w:jc w:val="left"/>
              <w:rPr>
                <w:sz w:val="24"/>
                <w:szCs w:val="22"/>
              </w:rPr>
            </w:pPr>
            <w:r w:rsidRPr="004D598D">
              <w:rPr>
                <w:sz w:val="24"/>
                <w:szCs w:val="22"/>
              </w:rPr>
              <w:t>77,2</w:t>
            </w:r>
            <w:r w:rsidR="0059271B" w:rsidRPr="004D598D">
              <w:rPr>
                <w:sz w:val="24"/>
                <w:szCs w:val="22"/>
              </w:rPr>
              <w:t>0</w:t>
            </w:r>
            <w:r w:rsidRPr="004D598D">
              <w:rPr>
                <w:sz w:val="24"/>
                <w:szCs w:val="22"/>
              </w:rPr>
              <w:t xml:space="preserve"> грив</w:t>
            </w:r>
            <w:r w:rsidR="00350970">
              <w:rPr>
                <w:sz w:val="24"/>
                <w:szCs w:val="22"/>
              </w:rPr>
              <w:t>ні</w:t>
            </w:r>
            <w:r w:rsidRPr="004D598D">
              <w:rPr>
                <w:sz w:val="24"/>
                <w:szCs w:val="22"/>
              </w:rPr>
              <w:t>/доб</w:t>
            </w:r>
            <w:r w:rsidR="006D1D64">
              <w:rPr>
                <w:sz w:val="24"/>
                <w:szCs w:val="22"/>
              </w:rPr>
              <w:t>у</w:t>
            </w:r>
            <w:r w:rsidRPr="004D598D">
              <w:rPr>
                <w:sz w:val="24"/>
                <w:szCs w:val="22"/>
              </w:rPr>
              <w:t>;</w:t>
            </w:r>
          </w:p>
          <w:p w:rsidR="00980871" w:rsidRPr="004D598D" w:rsidRDefault="00980871" w:rsidP="003C1B02">
            <w:pPr>
              <w:pStyle w:val="BodyTextIndent1"/>
              <w:tabs>
                <w:tab w:val="left" w:pos="720"/>
              </w:tabs>
              <w:ind w:left="1416" w:firstLine="0"/>
              <w:jc w:val="left"/>
              <w:rPr>
                <w:sz w:val="24"/>
                <w:szCs w:val="22"/>
              </w:rPr>
            </w:pPr>
            <w:r w:rsidRPr="004D598D">
              <w:rPr>
                <w:sz w:val="24"/>
                <w:szCs w:val="22"/>
              </w:rPr>
              <w:t>273,75 годин</w:t>
            </w:r>
            <w:r w:rsidR="00350970">
              <w:rPr>
                <w:sz w:val="24"/>
                <w:szCs w:val="22"/>
              </w:rPr>
              <w:t>и</w:t>
            </w:r>
            <w:r w:rsidRPr="004D598D">
              <w:rPr>
                <w:sz w:val="24"/>
                <w:szCs w:val="22"/>
              </w:rPr>
              <w:t>/рік;</w:t>
            </w:r>
          </w:p>
          <w:p w:rsidR="00980871" w:rsidRPr="009B23BE" w:rsidRDefault="00980871" w:rsidP="003C1B02">
            <w:pPr>
              <w:pStyle w:val="BodyTextIndent1"/>
              <w:tabs>
                <w:tab w:val="left" w:pos="720"/>
              </w:tabs>
              <w:ind w:left="1416" w:firstLine="0"/>
              <w:jc w:val="left"/>
              <w:rPr>
                <w:sz w:val="24"/>
                <w:szCs w:val="22"/>
              </w:rPr>
            </w:pPr>
            <w:r w:rsidRPr="004D598D">
              <w:rPr>
                <w:sz w:val="24"/>
                <w:szCs w:val="22"/>
              </w:rPr>
              <w:t>28 1</w:t>
            </w:r>
            <w:r w:rsidR="0059271B" w:rsidRPr="004D598D">
              <w:rPr>
                <w:sz w:val="24"/>
                <w:szCs w:val="22"/>
              </w:rPr>
              <w:t>78</w:t>
            </w:r>
            <w:r w:rsidRPr="004D598D">
              <w:rPr>
                <w:sz w:val="24"/>
                <w:szCs w:val="22"/>
              </w:rPr>
              <w:t xml:space="preserve"> гривень/рік.</w:t>
            </w:r>
          </w:p>
          <w:p w:rsidR="00980871" w:rsidRPr="009B23BE" w:rsidRDefault="00980871" w:rsidP="003233E0">
            <w:pPr>
              <w:pStyle w:val="BodyTextIndent1"/>
              <w:tabs>
                <w:tab w:val="left" w:pos="720"/>
              </w:tabs>
              <w:spacing w:before="120"/>
              <w:ind w:firstLine="318"/>
              <w:rPr>
                <w:sz w:val="24"/>
                <w:szCs w:val="22"/>
              </w:rPr>
            </w:pPr>
            <w:r w:rsidRPr="009B23BE">
              <w:rPr>
                <w:sz w:val="24"/>
                <w:szCs w:val="22"/>
              </w:rPr>
              <w:t xml:space="preserve">Витрати одного суб’єкта господарювання великого та середнього підприємництва на заповнення форм довідок, передбачених </w:t>
            </w:r>
            <w:proofErr w:type="spellStart"/>
            <w:r w:rsidR="00761FE2">
              <w:rPr>
                <w:sz w:val="24"/>
                <w:szCs w:val="22"/>
              </w:rPr>
              <w:t>П</w:t>
            </w:r>
            <w:r w:rsidRPr="009B23BE">
              <w:rPr>
                <w:sz w:val="24"/>
                <w:szCs w:val="22"/>
              </w:rPr>
              <w:t>роєктом</w:t>
            </w:r>
            <w:proofErr w:type="spellEnd"/>
            <w:r w:rsidRPr="009B23BE">
              <w:rPr>
                <w:sz w:val="24"/>
                <w:szCs w:val="22"/>
              </w:rPr>
              <w:t xml:space="preserve"> регуляторного </w:t>
            </w:r>
            <w:proofErr w:type="spellStart"/>
            <w:r w:rsidRPr="009B23BE">
              <w:rPr>
                <w:sz w:val="24"/>
                <w:szCs w:val="22"/>
              </w:rPr>
              <w:t>акта</w:t>
            </w:r>
            <w:proofErr w:type="spellEnd"/>
            <w:r w:rsidRPr="009B23BE">
              <w:rPr>
                <w:sz w:val="24"/>
                <w:szCs w:val="22"/>
              </w:rPr>
              <w:t>:</w:t>
            </w:r>
          </w:p>
          <w:p w:rsidR="00980871" w:rsidRPr="00B62F01" w:rsidRDefault="00980871" w:rsidP="003C1B02">
            <w:pPr>
              <w:pStyle w:val="BodyTextIndent1"/>
              <w:tabs>
                <w:tab w:val="left" w:pos="720"/>
              </w:tabs>
              <w:ind w:left="1416" w:firstLine="0"/>
              <w:jc w:val="left"/>
              <w:rPr>
                <w:sz w:val="24"/>
                <w:szCs w:val="22"/>
              </w:rPr>
            </w:pPr>
            <w:r w:rsidRPr="00B62F01">
              <w:rPr>
                <w:sz w:val="24"/>
                <w:szCs w:val="22"/>
              </w:rPr>
              <w:t>280,23 годин</w:t>
            </w:r>
            <w:r w:rsidR="00350970">
              <w:rPr>
                <w:sz w:val="24"/>
                <w:szCs w:val="22"/>
              </w:rPr>
              <w:t>и</w:t>
            </w:r>
            <w:r w:rsidRPr="00B62F01">
              <w:rPr>
                <w:sz w:val="24"/>
                <w:szCs w:val="22"/>
              </w:rPr>
              <w:t>/рік;</w:t>
            </w:r>
          </w:p>
          <w:p w:rsidR="00980871" w:rsidRPr="009B23BE" w:rsidRDefault="00980871" w:rsidP="003C1B02">
            <w:pPr>
              <w:pStyle w:val="BodyTextIndent1"/>
              <w:tabs>
                <w:tab w:val="left" w:pos="720"/>
              </w:tabs>
              <w:ind w:left="1416" w:firstLine="0"/>
              <w:jc w:val="left"/>
              <w:rPr>
                <w:sz w:val="24"/>
                <w:szCs w:val="22"/>
              </w:rPr>
            </w:pPr>
            <w:r w:rsidRPr="00B62F01">
              <w:rPr>
                <w:sz w:val="24"/>
                <w:szCs w:val="22"/>
              </w:rPr>
              <w:t>28 8</w:t>
            </w:r>
            <w:r w:rsidR="00C25381" w:rsidRPr="00B62F01">
              <w:rPr>
                <w:sz w:val="24"/>
                <w:szCs w:val="22"/>
              </w:rPr>
              <w:t>45</w:t>
            </w:r>
            <w:r w:rsidRPr="00B62F01">
              <w:rPr>
                <w:sz w:val="24"/>
                <w:szCs w:val="22"/>
              </w:rPr>
              <w:t xml:space="preserve"> гривень/рік ***</w:t>
            </w:r>
          </w:p>
          <w:p w:rsidR="00980871" w:rsidRPr="009B23BE" w:rsidRDefault="00980871" w:rsidP="00390E62">
            <w:pPr>
              <w:pStyle w:val="BodyTextIndent1"/>
              <w:tabs>
                <w:tab w:val="left" w:pos="720"/>
              </w:tabs>
              <w:rPr>
                <w:sz w:val="24"/>
                <w:szCs w:val="22"/>
              </w:rPr>
            </w:pPr>
          </w:p>
        </w:tc>
      </w:tr>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rPr>
                <w:i/>
                <w:lang w:val="uk-UA"/>
              </w:rPr>
            </w:pPr>
            <w:r w:rsidRPr="00864B9E">
              <w:rPr>
                <w:i/>
                <w:lang w:val="uk-UA"/>
              </w:rPr>
              <w:t>Альтернатива 2</w:t>
            </w:r>
            <w:r w:rsidRPr="00864B9E">
              <w:rPr>
                <w:lang w:val="uk-UA"/>
              </w:rPr>
              <w:t xml:space="preserve"> (залишення наявної ситуації без змін)</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both"/>
              <w:rPr>
                <w:spacing w:val="-3"/>
                <w:lang w:val="uk-UA"/>
              </w:rPr>
            </w:pPr>
            <w:r w:rsidRPr="00864B9E">
              <w:rPr>
                <w:spacing w:val="-3"/>
                <w:lang w:val="uk-UA"/>
              </w:rPr>
              <w:t>Відсутні</w:t>
            </w:r>
          </w:p>
        </w:tc>
        <w:tc>
          <w:tcPr>
            <w:tcW w:w="4197" w:type="dxa"/>
            <w:tcBorders>
              <w:top w:val="single" w:sz="4" w:space="0" w:color="auto"/>
              <w:left w:val="single" w:sz="4" w:space="0" w:color="auto"/>
              <w:bottom w:val="single" w:sz="4" w:space="0" w:color="auto"/>
              <w:right w:val="single" w:sz="4" w:space="0" w:color="auto"/>
            </w:tcBorders>
          </w:tcPr>
          <w:p w:rsidR="00980871" w:rsidRPr="009B23BE" w:rsidRDefault="00980871" w:rsidP="00392E08">
            <w:pPr>
              <w:tabs>
                <w:tab w:val="left" w:pos="720"/>
              </w:tabs>
              <w:ind w:firstLine="318"/>
              <w:jc w:val="both"/>
              <w:rPr>
                <w:szCs w:val="22"/>
              </w:rPr>
            </w:pPr>
            <w:r w:rsidRPr="009B23BE">
              <w:rPr>
                <w:szCs w:val="22"/>
              </w:rPr>
              <w:t xml:space="preserve">Витрати на заповнення Довідки 1 (форма затверджена Наказом № 944): </w:t>
            </w:r>
          </w:p>
          <w:p w:rsidR="00980871" w:rsidRPr="009B23BE" w:rsidRDefault="00980871" w:rsidP="00A479DC">
            <w:pPr>
              <w:pStyle w:val="BodyTextIndent1"/>
              <w:tabs>
                <w:tab w:val="left" w:pos="720"/>
              </w:tabs>
              <w:ind w:firstLine="1452"/>
              <w:rPr>
                <w:sz w:val="24"/>
                <w:szCs w:val="22"/>
              </w:rPr>
            </w:pPr>
            <w:r w:rsidRPr="00B62F01">
              <w:rPr>
                <w:sz w:val="24"/>
                <w:szCs w:val="22"/>
              </w:rPr>
              <w:t>6,48 годин</w:t>
            </w:r>
            <w:r w:rsidR="00350970">
              <w:rPr>
                <w:sz w:val="24"/>
                <w:szCs w:val="22"/>
              </w:rPr>
              <w:t>и</w:t>
            </w:r>
            <w:r w:rsidRPr="00B62F01">
              <w:rPr>
                <w:sz w:val="24"/>
                <w:szCs w:val="22"/>
              </w:rPr>
              <w:t xml:space="preserve"> (показники</w:t>
            </w:r>
            <w:r w:rsidRPr="009B23BE">
              <w:rPr>
                <w:sz w:val="24"/>
                <w:szCs w:val="22"/>
              </w:rPr>
              <w:t xml:space="preserve">, які вносяться до </w:t>
            </w:r>
            <w:r w:rsidR="00FE538D">
              <w:rPr>
                <w:sz w:val="24"/>
                <w:szCs w:val="22"/>
              </w:rPr>
              <w:t>д</w:t>
            </w:r>
            <w:r w:rsidRPr="009B23BE">
              <w:rPr>
                <w:sz w:val="24"/>
                <w:szCs w:val="22"/>
              </w:rPr>
              <w:t xml:space="preserve">овідки </w:t>
            </w:r>
            <w:r w:rsidR="00761FE2">
              <w:rPr>
                <w:sz w:val="24"/>
                <w:szCs w:val="22"/>
              </w:rPr>
              <w:t xml:space="preserve">форми </w:t>
            </w:r>
            <w:r w:rsidRPr="009B23BE">
              <w:rPr>
                <w:sz w:val="24"/>
                <w:szCs w:val="22"/>
              </w:rPr>
              <w:t xml:space="preserve">АС, згідно з </w:t>
            </w:r>
            <w:proofErr w:type="spellStart"/>
            <w:r w:rsidRPr="009B23BE">
              <w:rPr>
                <w:sz w:val="24"/>
                <w:szCs w:val="22"/>
              </w:rPr>
              <w:t>Проєктом</w:t>
            </w:r>
            <w:proofErr w:type="spellEnd"/>
            <w:r w:rsidRPr="009B23BE">
              <w:rPr>
                <w:sz w:val="24"/>
                <w:szCs w:val="22"/>
              </w:rPr>
              <w:t xml:space="preserve"> аналогічні показникам, які вносяться до Довідки 1, форма якої затверджена </w:t>
            </w:r>
            <w:r w:rsidR="00A479DC">
              <w:rPr>
                <w:sz w:val="24"/>
                <w:szCs w:val="22"/>
              </w:rPr>
              <w:t>Н</w:t>
            </w:r>
            <w:r w:rsidRPr="009B23BE">
              <w:rPr>
                <w:sz w:val="24"/>
                <w:szCs w:val="22"/>
              </w:rPr>
              <w:t>аказом № 944);</w:t>
            </w:r>
          </w:p>
          <w:p w:rsidR="00980871" w:rsidRPr="009B23BE" w:rsidRDefault="00980871" w:rsidP="00A479DC">
            <w:pPr>
              <w:pStyle w:val="BodyTextIndent1"/>
              <w:tabs>
                <w:tab w:val="left" w:pos="720"/>
              </w:tabs>
              <w:ind w:firstLine="1452"/>
              <w:rPr>
                <w:sz w:val="24"/>
                <w:szCs w:val="22"/>
              </w:rPr>
            </w:pPr>
            <w:r w:rsidRPr="00B77941">
              <w:rPr>
                <w:sz w:val="24"/>
                <w:szCs w:val="22"/>
              </w:rPr>
              <w:t>667 гривень.</w:t>
            </w:r>
          </w:p>
          <w:p w:rsidR="00980871" w:rsidRPr="009B23BE" w:rsidRDefault="00980871" w:rsidP="00390E62">
            <w:pPr>
              <w:tabs>
                <w:tab w:val="left" w:pos="720"/>
              </w:tabs>
              <w:jc w:val="both"/>
              <w:rPr>
                <w:szCs w:val="22"/>
              </w:rPr>
            </w:pPr>
          </w:p>
          <w:p w:rsidR="00980871" w:rsidRPr="009B23BE" w:rsidRDefault="00980871" w:rsidP="00392E08">
            <w:pPr>
              <w:tabs>
                <w:tab w:val="left" w:pos="720"/>
              </w:tabs>
              <w:ind w:firstLine="318"/>
              <w:jc w:val="both"/>
              <w:rPr>
                <w:szCs w:val="22"/>
              </w:rPr>
            </w:pPr>
            <w:r w:rsidRPr="009B23BE">
              <w:rPr>
                <w:szCs w:val="22"/>
              </w:rPr>
              <w:t xml:space="preserve">Витрати на заповнення </w:t>
            </w:r>
            <w:r w:rsidR="00B77941">
              <w:rPr>
                <w:szCs w:val="22"/>
              </w:rPr>
              <w:t>Д</w:t>
            </w:r>
            <w:r w:rsidRPr="009B23BE">
              <w:rPr>
                <w:szCs w:val="22"/>
              </w:rPr>
              <w:t xml:space="preserve">овідки </w:t>
            </w:r>
            <w:r w:rsidR="00B77941">
              <w:rPr>
                <w:szCs w:val="22"/>
              </w:rPr>
              <w:t>2</w:t>
            </w:r>
            <w:r w:rsidRPr="009B23BE">
              <w:rPr>
                <w:szCs w:val="22"/>
              </w:rPr>
              <w:t xml:space="preserve"> </w:t>
            </w:r>
            <w:r w:rsidRPr="009B23BE">
              <w:rPr>
                <w:szCs w:val="22"/>
              </w:rPr>
              <w:lastRenderedPageBreak/>
              <w:t xml:space="preserve">(показники, які вносяться до Довідки, згідно з </w:t>
            </w:r>
            <w:proofErr w:type="spellStart"/>
            <w:r w:rsidRPr="009B23BE">
              <w:rPr>
                <w:szCs w:val="22"/>
              </w:rPr>
              <w:t>Проєктом</w:t>
            </w:r>
            <w:proofErr w:type="spellEnd"/>
            <w:r w:rsidRPr="009B23BE">
              <w:rPr>
                <w:szCs w:val="22"/>
              </w:rPr>
              <w:t xml:space="preserve"> аналогічні показникам, які вносяться до Довідки</w:t>
            </w:r>
            <w:r w:rsidR="00350970">
              <w:rPr>
                <w:szCs w:val="22"/>
              </w:rPr>
              <w:t> </w:t>
            </w:r>
            <w:r w:rsidRPr="009B23BE">
              <w:rPr>
                <w:szCs w:val="22"/>
              </w:rPr>
              <w:t xml:space="preserve">2, форма якої затверджена </w:t>
            </w:r>
            <w:r w:rsidR="00392E08">
              <w:rPr>
                <w:szCs w:val="22"/>
              </w:rPr>
              <w:t>Н</w:t>
            </w:r>
            <w:r w:rsidRPr="009B23BE">
              <w:rPr>
                <w:szCs w:val="22"/>
              </w:rPr>
              <w:t>аказом № 944):</w:t>
            </w:r>
          </w:p>
          <w:p w:rsidR="00980871" w:rsidRPr="00076B6B" w:rsidRDefault="00980871" w:rsidP="00392E08">
            <w:pPr>
              <w:pStyle w:val="BodyTextIndent1"/>
              <w:tabs>
                <w:tab w:val="left" w:pos="34"/>
              </w:tabs>
              <w:ind w:firstLine="1452"/>
              <w:rPr>
                <w:sz w:val="24"/>
                <w:szCs w:val="22"/>
              </w:rPr>
            </w:pPr>
            <w:r w:rsidRPr="00076B6B">
              <w:rPr>
                <w:sz w:val="24"/>
                <w:szCs w:val="22"/>
              </w:rPr>
              <w:t>0,75 години/доб</w:t>
            </w:r>
            <w:r w:rsidR="00350970">
              <w:rPr>
                <w:sz w:val="24"/>
                <w:szCs w:val="22"/>
              </w:rPr>
              <w:t>у</w:t>
            </w:r>
            <w:r w:rsidRPr="00076B6B">
              <w:rPr>
                <w:sz w:val="24"/>
                <w:szCs w:val="22"/>
              </w:rPr>
              <w:t>;</w:t>
            </w:r>
          </w:p>
          <w:p w:rsidR="00980871" w:rsidRPr="00076B6B" w:rsidRDefault="00980871" w:rsidP="00392E08">
            <w:pPr>
              <w:pStyle w:val="BodyTextIndent1"/>
              <w:tabs>
                <w:tab w:val="left" w:pos="34"/>
              </w:tabs>
              <w:ind w:firstLine="1452"/>
              <w:rPr>
                <w:sz w:val="24"/>
                <w:szCs w:val="22"/>
              </w:rPr>
            </w:pPr>
            <w:r w:rsidRPr="00076B6B">
              <w:rPr>
                <w:sz w:val="24"/>
                <w:szCs w:val="22"/>
              </w:rPr>
              <w:t>77,2</w:t>
            </w:r>
            <w:r w:rsidR="00C25381" w:rsidRPr="00076B6B">
              <w:rPr>
                <w:sz w:val="24"/>
                <w:szCs w:val="22"/>
              </w:rPr>
              <w:t>0</w:t>
            </w:r>
            <w:r w:rsidRPr="00076B6B">
              <w:rPr>
                <w:sz w:val="24"/>
                <w:szCs w:val="22"/>
              </w:rPr>
              <w:t xml:space="preserve"> гривні/доб</w:t>
            </w:r>
            <w:r w:rsidR="00350970">
              <w:rPr>
                <w:sz w:val="24"/>
                <w:szCs w:val="22"/>
              </w:rPr>
              <w:t>у</w:t>
            </w:r>
            <w:r w:rsidRPr="00076B6B">
              <w:rPr>
                <w:sz w:val="24"/>
                <w:szCs w:val="22"/>
              </w:rPr>
              <w:t>;</w:t>
            </w:r>
          </w:p>
          <w:p w:rsidR="00980871" w:rsidRPr="00076B6B" w:rsidRDefault="00980871" w:rsidP="00392E08">
            <w:pPr>
              <w:pStyle w:val="BodyTextIndent1"/>
              <w:tabs>
                <w:tab w:val="left" w:pos="34"/>
              </w:tabs>
              <w:ind w:firstLine="1452"/>
              <w:rPr>
                <w:sz w:val="24"/>
                <w:szCs w:val="22"/>
              </w:rPr>
            </w:pPr>
            <w:r w:rsidRPr="00076B6B">
              <w:rPr>
                <w:sz w:val="24"/>
                <w:szCs w:val="22"/>
              </w:rPr>
              <w:t>273,75 годин</w:t>
            </w:r>
            <w:r w:rsidR="00350970">
              <w:rPr>
                <w:sz w:val="24"/>
                <w:szCs w:val="22"/>
              </w:rPr>
              <w:t>и</w:t>
            </w:r>
            <w:r w:rsidRPr="00076B6B">
              <w:rPr>
                <w:sz w:val="24"/>
                <w:szCs w:val="22"/>
              </w:rPr>
              <w:t>/рік;</w:t>
            </w:r>
          </w:p>
          <w:p w:rsidR="00980871" w:rsidRPr="009B23BE" w:rsidRDefault="00980871" w:rsidP="00392E08">
            <w:pPr>
              <w:pStyle w:val="BodyTextIndent1"/>
              <w:tabs>
                <w:tab w:val="left" w:pos="34"/>
              </w:tabs>
              <w:ind w:firstLine="1452"/>
              <w:rPr>
                <w:sz w:val="24"/>
                <w:szCs w:val="22"/>
              </w:rPr>
            </w:pPr>
            <w:r w:rsidRPr="00076B6B">
              <w:rPr>
                <w:sz w:val="24"/>
                <w:szCs w:val="22"/>
              </w:rPr>
              <w:t>28 1</w:t>
            </w:r>
            <w:r w:rsidR="00C25381" w:rsidRPr="00076B6B">
              <w:rPr>
                <w:sz w:val="24"/>
                <w:szCs w:val="22"/>
              </w:rPr>
              <w:t>78</w:t>
            </w:r>
            <w:r w:rsidRPr="00076B6B">
              <w:rPr>
                <w:sz w:val="24"/>
                <w:szCs w:val="22"/>
              </w:rPr>
              <w:t xml:space="preserve"> гривень/рік.</w:t>
            </w:r>
          </w:p>
          <w:p w:rsidR="00980871" w:rsidRPr="009B23BE" w:rsidRDefault="00980871" w:rsidP="00390E62">
            <w:pPr>
              <w:tabs>
                <w:tab w:val="left" w:pos="720"/>
              </w:tabs>
              <w:jc w:val="both"/>
              <w:rPr>
                <w:szCs w:val="22"/>
              </w:rPr>
            </w:pPr>
          </w:p>
          <w:p w:rsidR="00980871" w:rsidRPr="009B23BE" w:rsidRDefault="00980871" w:rsidP="00E03832">
            <w:pPr>
              <w:tabs>
                <w:tab w:val="left" w:pos="720"/>
              </w:tabs>
              <w:spacing w:before="120"/>
              <w:ind w:firstLine="318"/>
              <w:jc w:val="both"/>
              <w:rPr>
                <w:szCs w:val="22"/>
              </w:rPr>
            </w:pPr>
            <w:r w:rsidRPr="009B23BE">
              <w:rPr>
                <w:szCs w:val="22"/>
              </w:rPr>
              <w:t>Витрати одного суб’єкта господарювання великого та середнього підприємництва на заповнення форм довідок, затверджених Наказом № 944:</w:t>
            </w:r>
          </w:p>
          <w:p w:rsidR="00980871" w:rsidRPr="002D1611" w:rsidRDefault="00980871" w:rsidP="00E03832">
            <w:pPr>
              <w:pStyle w:val="BodyTextIndent1"/>
              <w:tabs>
                <w:tab w:val="left" w:pos="720"/>
              </w:tabs>
              <w:ind w:firstLine="1452"/>
              <w:rPr>
                <w:sz w:val="24"/>
                <w:szCs w:val="22"/>
              </w:rPr>
            </w:pPr>
            <w:r w:rsidRPr="002D1611">
              <w:rPr>
                <w:sz w:val="24"/>
                <w:szCs w:val="22"/>
              </w:rPr>
              <w:t>280,23 години/рік;</w:t>
            </w:r>
          </w:p>
          <w:p w:rsidR="00980871" w:rsidRPr="009B23BE" w:rsidRDefault="00980871" w:rsidP="005D2458">
            <w:pPr>
              <w:tabs>
                <w:tab w:val="left" w:pos="720"/>
              </w:tabs>
              <w:ind w:firstLine="1452"/>
              <w:jc w:val="both"/>
              <w:rPr>
                <w:szCs w:val="22"/>
              </w:rPr>
            </w:pPr>
            <w:r w:rsidRPr="002D1611">
              <w:rPr>
                <w:szCs w:val="22"/>
              </w:rPr>
              <w:t>28 8</w:t>
            </w:r>
            <w:r w:rsidR="005D2458" w:rsidRPr="002D1611">
              <w:rPr>
                <w:szCs w:val="22"/>
              </w:rPr>
              <w:t>45</w:t>
            </w:r>
            <w:r w:rsidRPr="002D1611">
              <w:rPr>
                <w:szCs w:val="22"/>
              </w:rPr>
              <w:t xml:space="preserve"> гривень/рік</w:t>
            </w:r>
            <w:r w:rsidRPr="009B23BE">
              <w:rPr>
                <w:szCs w:val="22"/>
              </w:rPr>
              <w:t xml:space="preserve"> </w:t>
            </w:r>
          </w:p>
        </w:tc>
      </w:tr>
    </w:tbl>
    <w:p w:rsidR="00980871" w:rsidRPr="00864B9E"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lastRenderedPageBreak/>
        <w:t>* Розрахунок здійснено на прикладі АЗК «ОККО», надано АТ «Концерн «Галнафтогаз».</w:t>
      </w:r>
    </w:p>
    <w:p w:rsidR="00980871" w:rsidRPr="00864B9E" w:rsidRDefault="00980871" w:rsidP="00980871">
      <w:pPr>
        <w:pStyle w:val="a3"/>
        <w:tabs>
          <w:tab w:val="left" w:pos="720"/>
          <w:tab w:val="left" w:pos="1277"/>
        </w:tabs>
        <w:spacing w:before="0" w:beforeAutospacing="0" w:after="0" w:afterAutospacing="0"/>
        <w:jc w:val="both"/>
        <w:rPr>
          <w:i/>
          <w:strike/>
          <w:szCs w:val="28"/>
          <w:lang w:val="uk-UA"/>
        </w:rPr>
      </w:pPr>
      <w:r w:rsidRPr="00864B9E">
        <w:rPr>
          <w:i/>
          <w:szCs w:val="28"/>
          <w:lang w:val="uk-UA"/>
        </w:rPr>
        <w:t>** Витрати можуть варіювати як у бік збільшення (у разі необхідності заповнення коригуючих довідок), так і в бік зменшення (якщо акцизний склад не працює).</w:t>
      </w:r>
    </w:p>
    <w:p w:rsidR="00980871" w:rsidRPr="006B3033" w:rsidRDefault="00980871" w:rsidP="00980871">
      <w:pPr>
        <w:pStyle w:val="a3"/>
        <w:tabs>
          <w:tab w:val="left" w:pos="720"/>
          <w:tab w:val="left" w:pos="1277"/>
        </w:tabs>
        <w:spacing w:before="0" w:beforeAutospacing="0" w:after="0" w:afterAutospacing="0"/>
        <w:jc w:val="both"/>
        <w:rPr>
          <w:i/>
          <w:sz w:val="22"/>
          <w:lang w:val="uk-UA"/>
        </w:rPr>
      </w:pPr>
      <w:r w:rsidRPr="006B3033">
        <w:rPr>
          <w:i/>
          <w:szCs w:val="28"/>
          <w:lang w:val="uk-UA"/>
        </w:rPr>
        <w:t xml:space="preserve">*** Розрахунок витрат одного суб’єкта господарювання наведено </w:t>
      </w:r>
      <w:r w:rsidRPr="00991D59">
        <w:rPr>
          <w:i/>
          <w:szCs w:val="28"/>
          <w:lang w:val="uk-UA"/>
        </w:rPr>
        <w:t xml:space="preserve">в додатку 2 до Методики проведення аналізу впливу регуляторного </w:t>
      </w:r>
      <w:proofErr w:type="spellStart"/>
      <w:r w:rsidRPr="00991D59">
        <w:rPr>
          <w:i/>
          <w:szCs w:val="28"/>
          <w:lang w:val="uk-UA"/>
        </w:rPr>
        <w:t>акта</w:t>
      </w:r>
      <w:proofErr w:type="spellEnd"/>
      <w:r w:rsidRPr="00991D59">
        <w:rPr>
          <w:i/>
          <w:szCs w:val="28"/>
          <w:lang w:val="uk-UA"/>
        </w:rPr>
        <w:t xml:space="preserve"> (рядок 3 таблиці «Витрати, пов’язані із веденням обліку, підготовкою та поданням звітності державним органам»).</w:t>
      </w:r>
    </w:p>
    <w:p w:rsidR="00980871" w:rsidRPr="00D267E5" w:rsidRDefault="00980871" w:rsidP="009664F1">
      <w:pPr>
        <w:pStyle w:val="a3"/>
        <w:tabs>
          <w:tab w:val="left" w:pos="720"/>
          <w:tab w:val="left" w:pos="1277"/>
        </w:tabs>
        <w:spacing w:before="0" w:beforeAutospacing="0" w:after="0" w:afterAutospacing="0"/>
        <w:ind w:firstLine="567"/>
        <w:jc w:val="both"/>
        <w:rPr>
          <w:i/>
          <w:lang w:val="uk-UA"/>
        </w:rPr>
      </w:pPr>
      <w:r w:rsidRPr="00DB02A6">
        <w:rPr>
          <w:i/>
          <w:szCs w:val="28"/>
          <w:lang w:val="uk-UA"/>
        </w:rPr>
        <w:t>Для суб’єктів господарювання великого підприємництва можливі</w:t>
      </w:r>
      <w:r w:rsidRPr="00DB02A6">
        <w:rPr>
          <w:i/>
          <w:lang w:val="uk-UA"/>
        </w:rPr>
        <w:t xml:space="preserve"> в</w:t>
      </w:r>
      <w:proofErr w:type="spellStart"/>
      <w:r w:rsidRPr="00DB02A6">
        <w:rPr>
          <w:i/>
        </w:rPr>
        <w:t>итрати</w:t>
      </w:r>
      <w:proofErr w:type="spellEnd"/>
      <w:r w:rsidRPr="00DB02A6">
        <w:rPr>
          <w:i/>
        </w:rPr>
        <w:t xml:space="preserve">, пов’язані із веденням обліку, підготовкою та поданням звітності державним органам в цілому по підприємству (внесення змін </w:t>
      </w:r>
      <w:r w:rsidR="00AF6DC0">
        <w:rPr>
          <w:i/>
          <w:lang w:val="uk-UA"/>
        </w:rPr>
        <w:t>до</w:t>
      </w:r>
      <w:r w:rsidRPr="00DB02A6">
        <w:rPr>
          <w:i/>
        </w:rPr>
        <w:t xml:space="preserve"> програмн</w:t>
      </w:r>
      <w:r w:rsidR="00AF6DC0">
        <w:rPr>
          <w:i/>
          <w:lang w:val="uk-UA"/>
        </w:rPr>
        <w:t>ого</w:t>
      </w:r>
      <w:r w:rsidRPr="00DB02A6">
        <w:rPr>
          <w:i/>
        </w:rPr>
        <w:t xml:space="preserve"> забезпечення)</w:t>
      </w:r>
      <w:r w:rsidRPr="00DB02A6">
        <w:rPr>
          <w:i/>
          <w:lang w:val="uk-UA"/>
        </w:rPr>
        <w:t xml:space="preserve"> – </w:t>
      </w:r>
      <w:r w:rsidRPr="00DB02A6">
        <w:rPr>
          <w:i/>
        </w:rPr>
        <w:t>160 000 гривень/одноразово</w:t>
      </w:r>
      <w:r>
        <w:rPr>
          <w:i/>
          <w:lang w:val="uk-UA"/>
        </w:rPr>
        <w:t>.</w:t>
      </w:r>
    </w:p>
    <w:p w:rsidR="00980871" w:rsidRPr="00647D6A" w:rsidRDefault="00980871" w:rsidP="00FD68BC">
      <w:pPr>
        <w:pStyle w:val="a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057"/>
      </w:tblGrid>
      <w:tr w:rsidR="00980871" w:rsidRPr="00864B9E" w:rsidTr="00B67241">
        <w:tc>
          <w:tcPr>
            <w:tcW w:w="677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widowControl w:val="0"/>
              <w:spacing w:before="0" w:beforeAutospacing="0" w:after="0" w:afterAutospacing="0"/>
              <w:jc w:val="center"/>
              <w:rPr>
                <w:sz w:val="26"/>
                <w:szCs w:val="26"/>
                <w:lang w:val="uk-UA" w:eastAsia="uk-UA"/>
              </w:rPr>
            </w:pPr>
            <w:r w:rsidRPr="00864B9E">
              <w:rPr>
                <w:sz w:val="26"/>
                <w:szCs w:val="26"/>
                <w:lang w:val="uk-UA"/>
              </w:rPr>
              <w:t>Сумарні витрати за альтернативами</w:t>
            </w:r>
          </w:p>
          <w:p w:rsidR="00980871" w:rsidRPr="00864B9E" w:rsidRDefault="00980871" w:rsidP="00390E62">
            <w:pPr>
              <w:pStyle w:val="a3"/>
              <w:widowControl w:val="0"/>
              <w:spacing w:before="0" w:beforeAutospacing="0" w:after="0" w:afterAutospacing="0"/>
              <w:jc w:val="center"/>
              <w:rPr>
                <w:sz w:val="26"/>
                <w:szCs w:val="26"/>
                <w:lang w:val="uk-UA"/>
              </w:rPr>
            </w:pPr>
          </w:p>
        </w:tc>
        <w:tc>
          <w:tcPr>
            <w:tcW w:w="3057" w:type="dxa"/>
            <w:tcBorders>
              <w:top w:val="single" w:sz="4" w:space="0" w:color="auto"/>
              <w:left w:val="single" w:sz="4" w:space="0" w:color="auto"/>
              <w:bottom w:val="single" w:sz="4" w:space="0" w:color="auto"/>
              <w:right w:val="single" w:sz="4" w:space="0" w:color="auto"/>
            </w:tcBorders>
            <w:hideMark/>
          </w:tcPr>
          <w:p w:rsidR="00980871" w:rsidRPr="00864B9E" w:rsidRDefault="00980871" w:rsidP="00390E62">
            <w:pPr>
              <w:pStyle w:val="a3"/>
              <w:widowControl w:val="0"/>
              <w:spacing w:before="0" w:beforeAutospacing="0" w:after="0" w:afterAutospacing="0"/>
              <w:jc w:val="center"/>
              <w:rPr>
                <w:sz w:val="26"/>
                <w:szCs w:val="26"/>
                <w:lang w:val="uk-UA"/>
              </w:rPr>
            </w:pPr>
            <w:r w:rsidRPr="00864B9E">
              <w:rPr>
                <w:sz w:val="26"/>
                <w:szCs w:val="26"/>
                <w:lang w:val="uk-UA"/>
              </w:rPr>
              <w:t>Сума витрат, гривень</w:t>
            </w:r>
          </w:p>
        </w:tc>
      </w:tr>
      <w:tr w:rsidR="00980871" w:rsidRPr="00864B9E" w:rsidTr="00B67241">
        <w:trPr>
          <w:trHeight w:val="1905"/>
        </w:trPr>
        <w:tc>
          <w:tcPr>
            <w:tcW w:w="677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widowControl w:val="0"/>
              <w:spacing w:before="0" w:beforeAutospacing="0" w:after="0" w:afterAutospacing="0"/>
              <w:jc w:val="both"/>
              <w:rPr>
                <w:lang w:val="uk-UA" w:eastAsia="uk-UA"/>
              </w:rPr>
            </w:pPr>
            <w:r w:rsidRPr="00864B9E">
              <w:rPr>
                <w:lang w:val="uk-UA"/>
              </w:rPr>
              <w:t>Альтернатива 1</w:t>
            </w:r>
          </w:p>
          <w:p w:rsidR="00FD68BC" w:rsidRPr="00864B9E" w:rsidRDefault="00980871" w:rsidP="001E1824">
            <w:pPr>
              <w:pStyle w:val="a3"/>
              <w:widowControl w:val="0"/>
              <w:spacing w:before="0" w:beforeAutospacing="0" w:after="0" w:afterAutospacing="0"/>
              <w:ind w:firstLine="284"/>
              <w:jc w:val="both"/>
              <w:rPr>
                <w:lang w:val="uk-UA"/>
              </w:rPr>
            </w:pPr>
            <w:r w:rsidRPr="00864B9E">
              <w:rPr>
                <w:lang w:val="uk-UA"/>
              </w:rPr>
              <w:t xml:space="preserve">Сумарні витрати для суб’єктів господарювання великого і середнього підприємництва згідно з додатком до </w:t>
            </w:r>
            <w:r w:rsidRPr="00864B9E">
              <w:t xml:space="preserve">Аналізу впливу регуляторного </w:t>
            </w:r>
            <w:proofErr w:type="spellStart"/>
            <w:r w:rsidRPr="00864B9E">
              <w:t>акта</w:t>
            </w:r>
            <w:proofErr w:type="spellEnd"/>
            <w:r w:rsidRPr="00864B9E">
              <w:t xml:space="preserve"> до </w:t>
            </w:r>
            <w:proofErr w:type="spellStart"/>
            <w:r w:rsidR="00FE76DA">
              <w:rPr>
                <w:lang w:val="uk-UA"/>
              </w:rPr>
              <w:t>Проєкту</w:t>
            </w:r>
            <w:proofErr w:type="spellEnd"/>
            <w:r w:rsidRPr="00864B9E">
              <w:rPr>
                <w:lang w:val="uk-UA"/>
              </w:rPr>
              <w:t xml:space="preserve"> (рядок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864B9E">
              <w:rPr>
                <w:lang w:val="uk-UA"/>
              </w:rPr>
              <w:t>акта</w:t>
            </w:r>
            <w:proofErr w:type="spellEnd"/>
            <w:r w:rsidRPr="00864B9E">
              <w:rPr>
                <w:lang w:val="uk-UA"/>
              </w:rPr>
              <w:t>» таблиці)</w:t>
            </w:r>
          </w:p>
        </w:tc>
        <w:tc>
          <w:tcPr>
            <w:tcW w:w="3057" w:type="dxa"/>
            <w:tcBorders>
              <w:top w:val="single" w:sz="4" w:space="0" w:color="auto"/>
              <w:left w:val="single" w:sz="4" w:space="0" w:color="auto"/>
              <w:bottom w:val="single" w:sz="4" w:space="0" w:color="auto"/>
              <w:right w:val="single" w:sz="4" w:space="0" w:color="auto"/>
            </w:tcBorders>
          </w:tcPr>
          <w:p w:rsidR="001E1824" w:rsidRDefault="001E1824" w:rsidP="00390E62">
            <w:pPr>
              <w:tabs>
                <w:tab w:val="left" w:pos="720"/>
              </w:tabs>
              <w:jc w:val="both"/>
            </w:pPr>
          </w:p>
          <w:p w:rsidR="00980871" w:rsidRPr="00864B9E" w:rsidRDefault="00980871" w:rsidP="006A5A64">
            <w:pPr>
              <w:tabs>
                <w:tab w:val="left" w:pos="720"/>
              </w:tabs>
              <w:ind w:firstLine="317"/>
              <w:jc w:val="both"/>
            </w:pPr>
            <w:r w:rsidRPr="00864B9E">
              <w:t>Сумарні витрати суб’єктів господарювання на заповнення довідок для всіх точок контролю:</w:t>
            </w:r>
          </w:p>
          <w:p w:rsidR="00980871" w:rsidRPr="00B92349" w:rsidRDefault="00980871" w:rsidP="006A5A64">
            <w:pPr>
              <w:tabs>
                <w:tab w:val="left" w:pos="720"/>
              </w:tabs>
              <w:ind w:firstLine="317"/>
              <w:jc w:val="both"/>
            </w:pPr>
            <w:r w:rsidRPr="00B92349">
              <w:t>1 </w:t>
            </w:r>
            <w:r w:rsidR="008A2843" w:rsidRPr="00B92349">
              <w:t>423</w:t>
            </w:r>
            <w:r w:rsidRPr="00B92349">
              <w:t> </w:t>
            </w:r>
            <w:r w:rsidR="008A2843" w:rsidRPr="00B92349">
              <w:t>568</w:t>
            </w:r>
            <w:r w:rsidRPr="00B92349">
              <w:t>,</w:t>
            </w:r>
            <w:r w:rsidR="008A2843" w:rsidRPr="00B92349">
              <w:t>4</w:t>
            </w:r>
            <w:r w:rsidRPr="00B92349">
              <w:t xml:space="preserve"> години/рік;</w:t>
            </w:r>
          </w:p>
          <w:p w:rsidR="00980871" w:rsidRPr="00864B9E" w:rsidRDefault="008A328E" w:rsidP="00A664C7">
            <w:pPr>
              <w:pStyle w:val="a3"/>
              <w:widowControl w:val="0"/>
              <w:spacing w:before="0" w:beforeAutospacing="0" w:after="0" w:afterAutospacing="0"/>
              <w:ind w:firstLine="317"/>
              <w:jc w:val="both"/>
              <w:rPr>
                <w:lang w:val="uk-UA"/>
              </w:rPr>
            </w:pPr>
            <w:r w:rsidRPr="00B92349">
              <w:rPr>
                <w:lang w:val="uk-UA"/>
              </w:rPr>
              <w:t>146</w:t>
            </w:r>
            <w:r w:rsidR="00980871" w:rsidRPr="00B92349">
              <w:t> </w:t>
            </w:r>
            <w:r w:rsidR="00A664C7">
              <w:rPr>
                <w:lang w:val="uk-UA"/>
              </w:rPr>
              <w:t>532</w:t>
            </w:r>
            <w:r w:rsidR="00980871" w:rsidRPr="00B92349">
              <w:t> </w:t>
            </w:r>
            <w:r w:rsidR="00A664C7">
              <w:rPr>
                <w:lang w:val="uk-UA"/>
              </w:rPr>
              <w:t>600</w:t>
            </w:r>
            <w:r w:rsidR="00980871" w:rsidRPr="00B92349">
              <w:t xml:space="preserve"> </w:t>
            </w:r>
            <w:r w:rsidR="00980871" w:rsidRPr="00B92349">
              <w:rPr>
                <w:lang w:val="uk-UA"/>
              </w:rPr>
              <w:t>гривень/рік</w:t>
            </w:r>
            <w:r w:rsidR="00980871" w:rsidRPr="00864B9E">
              <w:rPr>
                <w:lang w:val="uk-UA"/>
              </w:rPr>
              <w:t xml:space="preserve"> </w:t>
            </w:r>
          </w:p>
        </w:tc>
      </w:tr>
      <w:tr w:rsidR="00980871" w:rsidRPr="00864B9E" w:rsidTr="00B67241">
        <w:tc>
          <w:tcPr>
            <w:tcW w:w="6771" w:type="dxa"/>
            <w:tcBorders>
              <w:top w:val="single" w:sz="4" w:space="0" w:color="auto"/>
              <w:left w:val="single" w:sz="4" w:space="0" w:color="auto"/>
              <w:bottom w:val="single" w:sz="4" w:space="0" w:color="auto"/>
              <w:right w:val="single" w:sz="4" w:space="0" w:color="auto"/>
            </w:tcBorders>
            <w:hideMark/>
          </w:tcPr>
          <w:p w:rsidR="00980871" w:rsidRPr="00864B9E" w:rsidRDefault="00980871" w:rsidP="00390E62">
            <w:pPr>
              <w:pStyle w:val="a3"/>
              <w:widowControl w:val="0"/>
              <w:spacing w:before="0" w:beforeAutospacing="0" w:after="0" w:afterAutospacing="0"/>
              <w:jc w:val="both"/>
              <w:rPr>
                <w:lang w:val="uk-UA" w:eastAsia="uk-UA"/>
              </w:rPr>
            </w:pPr>
            <w:r w:rsidRPr="00864B9E">
              <w:rPr>
                <w:lang w:val="uk-UA"/>
              </w:rPr>
              <w:t xml:space="preserve">Альтернатива 2 </w:t>
            </w:r>
          </w:p>
          <w:p w:rsidR="00980871" w:rsidRPr="00864B9E" w:rsidRDefault="00980871" w:rsidP="006A5A64">
            <w:pPr>
              <w:pStyle w:val="a3"/>
              <w:widowControl w:val="0"/>
              <w:spacing w:before="0" w:beforeAutospacing="0" w:after="0" w:afterAutospacing="0"/>
              <w:ind w:firstLine="284"/>
              <w:jc w:val="both"/>
              <w:rPr>
                <w:lang w:val="uk-UA"/>
              </w:rPr>
            </w:pPr>
            <w:r w:rsidRPr="00864B9E">
              <w:rPr>
                <w:lang w:val="uk-UA"/>
              </w:rPr>
              <w:t xml:space="preserve">Сумарні витрати для суб’єктів господарювання великого і середнього підприємництва згідно з додатком до </w:t>
            </w:r>
            <w:r w:rsidRPr="00864B9E">
              <w:t xml:space="preserve">Аналізу впливу регуляторного </w:t>
            </w:r>
            <w:proofErr w:type="spellStart"/>
            <w:r w:rsidRPr="00864B9E">
              <w:t>акта</w:t>
            </w:r>
            <w:proofErr w:type="spellEnd"/>
            <w:r w:rsidRPr="00864B9E">
              <w:t xml:space="preserve"> до </w:t>
            </w:r>
            <w:proofErr w:type="spellStart"/>
            <w:r w:rsidR="00FD68BC">
              <w:rPr>
                <w:lang w:val="uk-UA"/>
              </w:rPr>
              <w:t>Проєкту</w:t>
            </w:r>
            <w:proofErr w:type="spellEnd"/>
            <w:r w:rsidRPr="00864B9E">
              <w:rPr>
                <w:lang w:val="uk-UA"/>
              </w:rPr>
              <w:t xml:space="preserve"> (рядок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864B9E">
              <w:rPr>
                <w:lang w:val="uk-UA"/>
              </w:rPr>
              <w:t>акта</w:t>
            </w:r>
            <w:proofErr w:type="spellEnd"/>
            <w:r w:rsidRPr="00864B9E">
              <w:rPr>
                <w:lang w:val="uk-UA"/>
              </w:rPr>
              <w:t>» таблиці)</w:t>
            </w:r>
          </w:p>
        </w:tc>
        <w:tc>
          <w:tcPr>
            <w:tcW w:w="3057" w:type="dxa"/>
            <w:tcBorders>
              <w:top w:val="single" w:sz="4" w:space="0" w:color="auto"/>
              <w:left w:val="single" w:sz="4" w:space="0" w:color="auto"/>
              <w:bottom w:val="single" w:sz="4" w:space="0" w:color="auto"/>
              <w:right w:val="single" w:sz="4" w:space="0" w:color="auto"/>
            </w:tcBorders>
          </w:tcPr>
          <w:p w:rsidR="006A5A64" w:rsidRDefault="006A5A64" w:rsidP="00390E62">
            <w:pPr>
              <w:tabs>
                <w:tab w:val="left" w:pos="720"/>
              </w:tabs>
              <w:jc w:val="both"/>
            </w:pPr>
          </w:p>
          <w:p w:rsidR="00980871" w:rsidRPr="00864B9E" w:rsidRDefault="00980871" w:rsidP="006A5A64">
            <w:pPr>
              <w:tabs>
                <w:tab w:val="left" w:pos="720"/>
              </w:tabs>
              <w:ind w:firstLine="317"/>
              <w:jc w:val="both"/>
            </w:pPr>
            <w:r w:rsidRPr="00864B9E">
              <w:t>Сумарні витрати суб’єктів господарювання на заповнення довідок для всіх точок контролю:</w:t>
            </w:r>
          </w:p>
          <w:p w:rsidR="00980871" w:rsidRPr="00B92349" w:rsidRDefault="008A328E" w:rsidP="00F65005">
            <w:pPr>
              <w:tabs>
                <w:tab w:val="left" w:pos="720"/>
              </w:tabs>
              <w:ind w:firstLine="317"/>
              <w:jc w:val="both"/>
            </w:pPr>
            <w:r w:rsidRPr="00B92349">
              <w:t xml:space="preserve">1 423 568,4 </w:t>
            </w:r>
            <w:r w:rsidR="00980871" w:rsidRPr="00B92349">
              <w:t>години/рік;</w:t>
            </w:r>
          </w:p>
          <w:p w:rsidR="00980871" w:rsidRPr="00864B9E" w:rsidRDefault="008A328E" w:rsidP="00F65005">
            <w:pPr>
              <w:pStyle w:val="BodyTextIndent1"/>
              <w:tabs>
                <w:tab w:val="left" w:pos="720"/>
              </w:tabs>
              <w:ind w:firstLine="317"/>
              <w:rPr>
                <w:sz w:val="24"/>
                <w:szCs w:val="24"/>
              </w:rPr>
            </w:pPr>
            <w:r w:rsidRPr="00A664C7">
              <w:rPr>
                <w:sz w:val="24"/>
                <w:szCs w:val="24"/>
              </w:rPr>
              <w:t>146 </w:t>
            </w:r>
            <w:r w:rsidR="00A664C7" w:rsidRPr="00A664C7">
              <w:rPr>
                <w:sz w:val="24"/>
                <w:szCs w:val="24"/>
              </w:rPr>
              <w:t>532 600</w:t>
            </w:r>
            <w:r w:rsidR="00A664C7" w:rsidRPr="00A664C7">
              <w:rPr>
                <w:sz w:val="24"/>
              </w:rPr>
              <w:t xml:space="preserve"> </w:t>
            </w:r>
            <w:r w:rsidR="00980871" w:rsidRPr="00B92349">
              <w:rPr>
                <w:sz w:val="24"/>
                <w:szCs w:val="24"/>
              </w:rPr>
              <w:t>гривень/рік</w:t>
            </w:r>
          </w:p>
        </w:tc>
      </w:tr>
    </w:tbl>
    <w:p w:rsidR="00980871" w:rsidRPr="00864B9E" w:rsidRDefault="00980871" w:rsidP="00980871">
      <w:pPr>
        <w:pStyle w:val="3"/>
        <w:ind w:left="-70"/>
        <w:jc w:val="center"/>
        <w:rPr>
          <w:spacing w:val="-3"/>
          <w:sz w:val="28"/>
          <w:szCs w:val="28"/>
          <w:lang w:val="uk-UA"/>
        </w:rPr>
      </w:pPr>
      <w:r w:rsidRPr="00864B9E">
        <w:rPr>
          <w:spacing w:val="-3"/>
          <w:sz w:val="28"/>
          <w:szCs w:val="28"/>
          <w:lang w:val="uk-UA"/>
        </w:rPr>
        <w:t>IV. Вибір найбільш оптимального альтернативного способу досягнення цілей</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4"/>
        <w:gridCol w:w="2925"/>
        <w:gridCol w:w="3850"/>
      </w:tblGrid>
      <w:tr w:rsidR="00980871" w:rsidRPr="00864B9E" w:rsidTr="00390E62">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Рейтинг результативності (досягнення цілей під час вирішення проблеми)</w:t>
            </w:r>
          </w:p>
        </w:tc>
        <w:tc>
          <w:tcPr>
            <w:tcW w:w="292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Бал результативності (за чотирибальною системою оцінки)</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 xml:space="preserve">Коментарі щодо присвоєння відповідного </w:t>
            </w:r>
            <w:proofErr w:type="spellStart"/>
            <w:r w:rsidRPr="00864B9E">
              <w:t>бала</w:t>
            </w:r>
            <w:proofErr w:type="spellEnd"/>
          </w:p>
        </w:tc>
      </w:tr>
      <w:tr w:rsidR="00980871" w:rsidRPr="00864B9E" w:rsidTr="00843D77">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rPr>
                <w:i/>
              </w:rPr>
            </w:pPr>
            <w:r w:rsidRPr="00864B9E">
              <w:rPr>
                <w:i/>
              </w:rPr>
              <w:lastRenderedPageBreak/>
              <w:t>Альтернатива 1</w:t>
            </w:r>
          </w:p>
          <w:p w:rsidR="00980871" w:rsidRPr="00864B9E" w:rsidRDefault="00980871" w:rsidP="00390E62">
            <w:r w:rsidRPr="00864B9E">
              <w:t xml:space="preserve">(прийняття </w:t>
            </w:r>
            <w:proofErr w:type="spellStart"/>
            <w:r w:rsidRPr="00864B9E">
              <w:t>проєкту</w:t>
            </w:r>
            <w:proofErr w:type="spellEnd"/>
            <w:r w:rsidRPr="00864B9E">
              <w:t>)</w:t>
            </w:r>
          </w:p>
        </w:tc>
        <w:tc>
          <w:tcPr>
            <w:tcW w:w="2925"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843D77">
            <w:pPr>
              <w:jc w:val="center"/>
            </w:pPr>
            <w:r w:rsidRPr="00864B9E">
              <w:t>3</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843D77">
            <w:pPr>
              <w:ind w:firstLine="418"/>
              <w:jc w:val="both"/>
            </w:pPr>
            <w:r w:rsidRPr="00864B9E">
              <w:rPr>
                <w:lang w:eastAsia="uk-UA"/>
              </w:rPr>
              <w:t>Альтернатива 1 дає змогу повністю досягнути поставлених цілей державного регулювання</w:t>
            </w:r>
          </w:p>
        </w:tc>
      </w:tr>
      <w:tr w:rsidR="00980871" w:rsidRPr="00864B9E" w:rsidTr="00843D77">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rPr>
                <w:i/>
              </w:rPr>
            </w:pPr>
            <w:r w:rsidRPr="00864B9E">
              <w:rPr>
                <w:i/>
              </w:rPr>
              <w:t>Альтернатива 2</w:t>
            </w:r>
          </w:p>
          <w:p w:rsidR="00980871" w:rsidRPr="00864B9E" w:rsidRDefault="00980871" w:rsidP="00390E62">
            <w:r w:rsidRPr="00864B9E">
              <w:t>(залишення ситуації без змін)</w:t>
            </w:r>
          </w:p>
        </w:tc>
        <w:tc>
          <w:tcPr>
            <w:tcW w:w="2925"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843D77">
            <w:pPr>
              <w:jc w:val="center"/>
            </w:pPr>
            <w:r w:rsidRPr="00864B9E">
              <w:rPr>
                <w:lang w:val="en-US"/>
              </w:rPr>
              <w:t>1</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843D77">
            <w:pPr>
              <w:pStyle w:val="a3"/>
              <w:tabs>
                <w:tab w:val="left" w:pos="720"/>
              </w:tabs>
              <w:spacing w:before="0" w:beforeAutospacing="0" w:after="0" w:afterAutospacing="0"/>
              <w:ind w:firstLine="418"/>
              <w:jc w:val="both"/>
            </w:pPr>
            <w:r w:rsidRPr="00864B9E">
              <w:rPr>
                <w:lang w:val="uk-UA"/>
              </w:rPr>
              <w:t>Альтернатива 2 не дає змоги досягнути поставлених цілей державного регулювання</w:t>
            </w:r>
          </w:p>
        </w:tc>
      </w:tr>
    </w:tbl>
    <w:p w:rsidR="00980871" w:rsidRPr="00864B9E" w:rsidRDefault="00980871" w:rsidP="00980871">
      <w:pPr>
        <w:jc w:val="both"/>
        <w:rPr>
          <w:b/>
          <w:bCs/>
          <w:sz w:val="28"/>
          <w:szCs w:val="2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5"/>
        <w:gridCol w:w="2426"/>
        <w:gridCol w:w="2517"/>
        <w:gridCol w:w="2739"/>
      </w:tblGrid>
      <w:tr w:rsidR="00980871" w:rsidRPr="00864B9E" w:rsidTr="000530EA">
        <w:trPr>
          <w:tblHeader/>
        </w:trPr>
        <w:tc>
          <w:tcPr>
            <w:tcW w:w="201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Рейтинг результативності</w:t>
            </w:r>
          </w:p>
        </w:tc>
        <w:tc>
          <w:tcPr>
            <w:tcW w:w="242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Вигоди</w:t>
            </w:r>
          </w:p>
          <w:p w:rsidR="00980871" w:rsidRPr="00864B9E" w:rsidRDefault="00980871" w:rsidP="00390E62">
            <w:pPr>
              <w:pStyle w:val="a3"/>
              <w:spacing w:before="0" w:beforeAutospacing="0" w:after="0" w:afterAutospacing="0"/>
              <w:jc w:val="center"/>
              <w:rPr>
                <w:lang w:val="uk-UA"/>
              </w:rPr>
            </w:pPr>
            <w:r w:rsidRPr="00864B9E">
              <w:rPr>
                <w:lang w:val="uk-UA"/>
              </w:rPr>
              <w:t>(підсумок)</w:t>
            </w:r>
          </w:p>
        </w:tc>
        <w:tc>
          <w:tcPr>
            <w:tcW w:w="251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Витрати</w:t>
            </w:r>
          </w:p>
          <w:p w:rsidR="00980871" w:rsidRPr="00864B9E" w:rsidRDefault="00980871" w:rsidP="00390E62">
            <w:pPr>
              <w:pStyle w:val="a3"/>
              <w:spacing w:before="0" w:beforeAutospacing="0" w:after="0" w:afterAutospacing="0"/>
              <w:jc w:val="center"/>
              <w:rPr>
                <w:lang w:val="uk-UA"/>
              </w:rPr>
            </w:pPr>
            <w:r w:rsidRPr="00864B9E">
              <w:rPr>
                <w:lang w:val="uk-UA"/>
              </w:rPr>
              <w:t>(підсумок)</w:t>
            </w:r>
          </w:p>
        </w:tc>
        <w:tc>
          <w:tcPr>
            <w:tcW w:w="2739"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Обґрунтування відповідного місця альтернативи у рейтингу</w:t>
            </w:r>
          </w:p>
        </w:tc>
      </w:tr>
      <w:tr w:rsidR="00980871" w:rsidRPr="00864B9E" w:rsidTr="000530EA">
        <w:tc>
          <w:tcPr>
            <w:tcW w:w="201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rPr>
                <w:lang w:val="uk-UA"/>
              </w:rPr>
            </w:pPr>
            <w:r w:rsidRPr="00864B9E">
              <w:rPr>
                <w:i/>
                <w:lang w:val="uk-UA"/>
              </w:rPr>
              <w:t>Альтернатива 1</w:t>
            </w:r>
            <w:r w:rsidRPr="00864B9E">
              <w:rPr>
                <w:lang w:val="uk-UA"/>
              </w:rPr>
              <w:t xml:space="preserve"> (прийняття </w:t>
            </w:r>
            <w:proofErr w:type="spellStart"/>
            <w:r w:rsidRPr="00864B9E">
              <w:rPr>
                <w:lang w:val="uk-UA"/>
              </w:rPr>
              <w:t>проєкту</w:t>
            </w:r>
            <w:proofErr w:type="spellEnd"/>
            <w:r w:rsidRPr="00864B9E">
              <w:rPr>
                <w:lang w:val="uk-UA"/>
              </w:rPr>
              <w:t xml:space="preserve"> </w:t>
            </w:r>
            <w:proofErr w:type="spellStart"/>
            <w:r w:rsidRPr="00864B9E">
              <w:rPr>
                <w:lang w:val="uk-UA"/>
              </w:rPr>
              <w:t>акта</w:t>
            </w:r>
            <w:proofErr w:type="spellEnd"/>
            <w:r w:rsidRPr="00864B9E">
              <w:rPr>
                <w:lang w:val="uk-UA"/>
              </w:rPr>
              <w:t>)</w:t>
            </w:r>
          </w:p>
        </w:tc>
        <w:tc>
          <w:tcPr>
            <w:tcW w:w="2426" w:type="dxa"/>
            <w:tcBorders>
              <w:top w:val="single" w:sz="4" w:space="0" w:color="auto"/>
              <w:left w:val="single" w:sz="4" w:space="0" w:color="auto"/>
              <w:bottom w:val="single" w:sz="4" w:space="0" w:color="auto"/>
              <w:right w:val="single" w:sz="4" w:space="0" w:color="auto"/>
            </w:tcBorders>
          </w:tcPr>
          <w:p w:rsidR="00980871" w:rsidRPr="00864B9E" w:rsidRDefault="00980871" w:rsidP="00585241">
            <w:pPr>
              <w:widowControl w:val="0"/>
              <w:ind w:firstLine="370"/>
              <w:jc w:val="both"/>
              <w:rPr>
                <w:bCs/>
              </w:rPr>
            </w:pPr>
            <w:r w:rsidRPr="00864B9E">
              <w:rPr>
                <w:bCs/>
              </w:rPr>
              <w:t>Дає змогу повністю досягнути поставлених цілей державного регулювання.</w:t>
            </w:r>
          </w:p>
          <w:p w:rsidR="00980871" w:rsidRPr="00864B9E" w:rsidRDefault="00980871" w:rsidP="00585241">
            <w:pPr>
              <w:widowControl w:val="0"/>
              <w:ind w:firstLine="370"/>
              <w:jc w:val="both"/>
              <w:rPr>
                <w:bCs/>
              </w:rPr>
            </w:pPr>
            <w:r w:rsidRPr="00864B9E">
              <w:rPr>
                <w:bCs/>
              </w:rPr>
              <w:t xml:space="preserve">Так, у разі прийняття </w:t>
            </w:r>
            <w:proofErr w:type="spellStart"/>
            <w:r w:rsidRPr="00864B9E">
              <w:rPr>
                <w:bCs/>
              </w:rPr>
              <w:t>Проєкту</w:t>
            </w:r>
            <w:proofErr w:type="spellEnd"/>
            <w:r w:rsidRPr="00864B9E">
              <w:rPr>
                <w:bCs/>
              </w:rPr>
              <w:t xml:space="preserve"> буде забезпечено:</w:t>
            </w:r>
          </w:p>
          <w:p w:rsidR="00980871" w:rsidRPr="00864B9E" w:rsidRDefault="00980871" w:rsidP="00585241">
            <w:pPr>
              <w:pStyle w:val="a7"/>
              <w:spacing w:after="0"/>
              <w:ind w:firstLine="370"/>
              <w:contextualSpacing/>
              <w:jc w:val="both"/>
            </w:pPr>
            <w:r w:rsidRPr="00864B9E">
              <w:rPr>
                <w:spacing w:val="-3"/>
              </w:rPr>
              <w:t xml:space="preserve">1) виконання платниками вимог Кодексу щодо обліку </w:t>
            </w:r>
            <w:r w:rsidRPr="00864B9E">
              <w:t>скрапленого газу, інших газів, бутану, ізобутану за умовним кодом, а не кодом товарної підкатегорії згідно з УКТ ЗЕД;</w:t>
            </w:r>
          </w:p>
          <w:p w:rsidR="00980871" w:rsidRPr="00864B9E" w:rsidRDefault="00980871" w:rsidP="00585241">
            <w:pPr>
              <w:pStyle w:val="a7"/>
              <w:spacing w:after="0"/>
              <w:ind w:firstLine="370"/>
              <w:contextualSpacing/>
              <w:jc w:val="both"/>
            </w:pPr>
            <w:r w:rsidRPr="00864B9E">
              <w:t xml:space="preserve">2) врахування специфіки господарської діяльності платників у формах електронних документів, </w:t>
            </w:r>
            <w:r w:rsidRPr="00864B9E">
              <w:rPr>
                <w:bCs/>
              </w:rPr>
              <w:t xml:space="preserve">якими такими платниками направляються до контролюючого органу </w:t>
            </w:r>
            <w:r w:rsidRPr="00864B9E">
              <w:t>облікові дані з витратомірів і рівнемірів;</w:t>
            </w:r>
          </w:p>
          <w:p w:rsidR="00980871" w:rsidRPr="00864B9E" w:rsidRDefault="00980871" w:rsidP="00585241">
            <w:pPr>
              <w:pStyle w:val="a7"/>
              <w:spacing w:after="0"/>
              <w:ind w:firstLine="370"/>
              <w:contextualSpacing/>
              <w:jc w:val="both"/>
            </w:pPr>
            <w:r w:rsidRPr="00864B9E">
              <w:t xml:space="preserve">3) спрощення для платників порядку заповнення електронних документів внаслідок врахування у формах таких документів специфіки їх господарської </w:t>
            </w:r>
            <w:r w:rsidRPr="00864B9E">
              <w:lastRenderedPageBreak/>
              <w:t>діяльності та запровадження чітких правил заповнення;</w:t>
            </w:r>
          </w:p>
          <w:p w:rsidR="00980871" w:rsidRPr="00864B9E" w:rsidRDefault="00980871" w:rsidP="00585241">
            <w:pPr>
              <w:ind w:firstLine="370"/>
              <w:contextualSpacing/>
              <w:jc w:val="both"/>
              <w:outlineLvl w:val="2"/>
            </w:pPr>
            <w:r w:rsidRPr="00864B9E">
              <w:t>3) удосконалення роботи Системи автоматичного зіставлення показників обсягів обігу та залишків пального, показників обсягів обігу спирту етилового внаслідок зазначення в електронних документах обсягів скрапленого газу, інших газів, бутану, ізобутану за умовним кодом</w:t>
            </w:r>
            <w:r w:rsidR="00767566">
              <w:t xml:space="preserve"> </w:t>
            </w:r>
            <w:r w:rsidRPr="00864B9E">
              <w:t xml:space="preserve">(аналогічно даним </w:t>
            </w:r>
            <w:r w:rsidR="00AF6DC0">
              <w:t>у</w:t>
            </w:r>
            <w:r w:rsidRPr="00864B9E">
              <w:t xml:space="preserve"> системі електронного адміністрування реалізації пального або спирту етилового);</w:t>
            </w:r>
          </w:p>
          <w:p w:rsidR="00980871" w:rsidRPr="00864B9E" w:rsidRDefault="00980871" w:rsidP="00390E62">
            <w:pPr>
              <w:pStyle w:val="a3"/>
              <w:spacing w:before="0" w:beforeAutospacing="0" w:after="0" w:afterAutospacing="0"/>
              <w:jc w:val="both"/>
              <w:rPr>
                <w:spacing w:val="-3"/>
                <w:lang w:val="uk-UA"/>
              </w:rPr>
            </w:pPr>
            <w:r w:rsidRPr="00864B9E">
              <w:t xml:space="preserve">4) забезпечить виконання податковими органами встановлених </w:t>
            </w:r>
            <w:proofErr w:type="spellStart"/>
            <w:r w:rsidRPr="00864B9E">
              <w:t>п.п</w:t>
            </w:r>
            <w:proofErr w:type="spellEnd"/>
            <w:r w:rsidRPr="00864B9E">
              <w:t>. 19</w:t>
            </w:r>
            <w:r w:rsidRPr="00864B9E">
              <w:rPr>
                <w:vertAlign w:val="superscript"/>
              </w:rPr>
              <w:t>1</w:t>
            </w:r>
            <w:r w:rsidRPr="00864B9E">
              <w:t>.1.14 п. 19</w:t>
            </w:r>
            <w:r w:rsidRPr="00864B9E">
              <w:rPr>
                <w:vertAlign w:val="superscript"/>
              </w:rPr>
              <w:t>1</w:t>
            </w:r>
            <w:r w:rsidRPr="00864B9E">
              <w:t>.1 ст. 19</w:t>
            </w:r>
            <w:r w:rsidRPr="00864B9E">
              <w:rPr>
                <w:vertAlign w:val="superscript"/>
              </w:rPr>
              <w:t>1</w:t>
            </w:r>
            <w:r w:rsidRPr="00864B9E">
              <w:t xml:space="preserve"> Кодексу функцій </w:t>
            </w:r>
            <w:r w:rsidR="00AF6DC0">
              <w:t>у</w:t>
            </w:r>
            <w:r w:rsidRPr="00864B9E">
              <w:t xml:space="preserve"> частині контролю </w:t>
            </w:r>
            <w:r w:rsidRPr="00DE043A">
              <w:t>сфер</w:t>
            </w:r>
            <w:r>
              <w:t>и</w:t>
            </w:r>
            <w:r w:rsidRPr="00864B9E">
              <w:t xml:space="preserve"> виробництва, обігу та реалізації підакцизних товарів, зокрема зіставлення відповідно до ст. 233 Кодексу показників обсягів обігу та </w:t>
            </w:r>
            <w:r w:rsidR="001E52B6" w:rsidRPr="00864B9E">
              <w:t>облік</w:t>
            </w:r>
            <w:r w:rsidR="001E52B6">
              <w:t>у</w:t>
            </w:r>
            <w:r w:rsidR="001E52B6" w:rsidRPr="00864B9E">
              <w:t xml:space="preserve"> </w:t>
            </w:r>
            <w:r w:rsidRPr="00864B9E">
              <w:t xml:space="preserve">залишків скрапленого газу, інших газів, бутану, ізобутану, який в системі </w:t>
            </w:r>
            <w:r w:rsidRPr="00864B9E">
              <w:lastRenderedPageBreak/>
              <w:t>електронного адміністрування реалізації пального та спирту етилового за умовним кодом.</w:t>
            </w:r>
          </w:p>
        </w:tc>
        <w:tc>
          <w:tcPr>
            <w:tcW w:w="2517" w:type="dxa"/>
            <w:tcBorders>
              <w:top w:val="single" w:sz="4" w:space="0" w:color="auto"/>
              <w:left w:val="single" w:sz="4" w:space="0" w:color="auto"/>
              <w:bottom w:val="single" w:sz="4" w:space="0" w:color="auto"/>
              <w:right w:val="single" w:sz="4" w:space="0" w:color="auto"/>
            </w:tcBorders>
          </w:tcPr>
          <w:p w:rsidR="00980871" w:rsidRPr="00664ED1" w:rsidRDefault="00980871" w:rsidP="00585241">
            <w:pPr>
              <w:pStyle w:val="BodyTextIndent1"/>
              <w:tabs>
                <w:tab w:val="left" w:pos="720"/>
              </w:tabs>
              <w:ind w:firstLine="317"/>
              <w:rPr>
                <w:sz w:val="24"/>
                <w:szCs w:val="22"/>
              </w:rPr>
            </w:pPr>
            <w:r w:rsidRPr="00664ED1">
              <w:rPr>
                <w:sz w:val="24"/>
                <w:szCs w:val="22"/>
              </w:rPr>
              <w:lastRenderedPageBreak/>
              <w:t>Витрати на заповнення довідки форми АС:</w:t>
            </w:r>
          </w:p>
          <w:p w:rsidR="00980871" w:rsidRPr="00664ED1" w:rsidRDefault="00980871" w:rsidP="00585241">
            <w:pPr>
              <w:pStyle w:val="BodyTextIndent1"/>
              <w:tabs>
                <w:tab w:val="left" w:pos="720"/>
              </w:tabs>
              <w:ind w:firstLine="317"/>
              <w:rPr>
                <w:sz w:val="24"/>
                <w:szCs w:val="22"/>
              </w:rPr>
            </w:pPr>
            <w:r w:rsidRPr="00664ED1">
              <w:rPr>
                <w:sz w:val="24"/>
                <w:szCs w:val="22"/>
              </w:rPr>
              <w:t>6,48 години;</w:t>
            </w:r>
          </w:p>
          <w:p w:rsidR="00980871" w:rsidRPr="00664ED1" w:rsidRDefault="00980871" w:rsidP="00585241">
            <w:pPr>
              <w:pStyle w:val="BodyTextIndent1"/>
              <w:tabs>
                <w:tab w:val="left" w:pos="720"/>
              </w:tabs>
              <w:ind w:firstLine="317"/>
              <w:rPr>
                <w:sz w:val="24"/>
                <w:szCs w:val="22"/>
              </w:rPr>
            </w:pPr>
            <w:r w:rsidRPr="00664ED1">
              <w:rPr>
                <w:sz w:val="24"/>
                <w:szCs w:val="22"/>
              </w:rPr>
              <w:t>667 гривень.</w:t>
            </w:r>
          </w:p>
          <w:p w:rsidR="00980871" w:rsidRPr="00664ED1" w:rsidRDefault="00980871" w:rsidP="00585241">
            <w:pPr>
              <w:pStyle w:val="BodyTextIndent1"/>
              <w:tabs>
                <w:tab w:val="left" w:pos="720"/>
              </w:tabs>
              <w:spacing w:before="120"/>
              <w:ind w:firstLine="317"/>
              <w:rPr>
                <w:sz w:val="24"/>
                <w:szCs w:val="22"/>
              </w:rPr>
            </w:pPr>
            <w:r w:rsidRPr="00664ED1">
              <w:rPr>
                <w:sz w:val="24"/>
                <w:szCs w:val="22"/>
              </w:rPr>
              <w:t>Витрати на заповнення довідки</w:t>
            </w:r>
            <w:r w:rsidR="00E369A7" w:rsidRPr="00664ED1">
              <w:rPr>
                <w:sz w:val="24"/>
                <w:szCs w:val="22"/>
              </w:rPr>
              <w:t xml:space="preserve"> </w:t>
            </w:r>
            <w:r w:rsidRPr="00664ED1">
              <w:rPr>
                <w:sz w:val="24"/>
                <w:szCs w:val="22"/>
              </w:rPr>
              <w:t xml:space="preserve">, якою </w:t>
            </w:r>
            <w:r w:rsidRPr="00664ED1">
              <w:rPr>
                <w:bCs/>
                <w:sz w:val="24"/>
                <w:szCs w:val="22"/>
              </w:rPr>
              <w:t xml:space="preserve">розпорядниками акцизних складів – платниками акцизного податку з реалізації пального направляються до контролюючого органу </w:t>
            </w:r>
            <w:r w:rsidRPr="00664ED1">
              <w:rPr>
                <w:sz w:val="24"/>
                <w:szCs w:val="22"/>
              </w:rPr>
              <w:t>облікові дані з витратомірів і рівнемірів:</w:t>
            </w:r>
          </w:p>
          <w:p w:rsidR="00980871" w:rsidRPr="00664ED1" w:rsidRDefault="00980871" w:rsidP="00585241">
            <w:pPr>
              <w:pStyle w:val="BodyTextIndent1"/>
              <w:tabs>
                <w:tab w:val="left" w:pos="720"/>
              </w:tabs>
              <w:ind w:firstLine="317"/>
              <w:rPr>
                <w:sz w:val="24"/>
                <w:szCs w:val="22"/>
              </w:rPr>
            </w:pPr>
            <w:r w:rsidRPr="00664ED1">
              <w:rPr>
                <w:sz w:val="24"/>
                <w:szCs w:val="22"/>
              </w:rPr>
              <w:t>0,75 години/доб</w:t>
            </w:r>
            <w:r w:rsidR="00AF6DC0">
              <w:rPr>
                <w:sz w:val="24"/>
                <w:szCs w:val="22"/>
              </w:rPr>
              <w:t>у</w:t>
            </w:r>
            <w:r w:rsidRPr="00664ED1">
              <w:rPr>
                <w:sz w:val="24"/>
                <w:szCs w:val="22"/>
              </w:rPr>
              <w:t>;</w:t>
            </w:r>
          </w:p>
          <w:p w:rsidR="00980871" w:rsidRPr="00664ED1" w:rsidRDefault="00980871" w:rsidP="00585241">
            <w:pPr>
              <w:pStyle w:val="BodyTextIndent1"/>
              <w:tabs>
                <w:tab w:val="left" w:pos="720"/>
              </w:tabs>
              <w:ind w:firstLine="317"/>
              <w:rPr>
                <w:sz w:val="24"/>
                <w:szCs w:val="22"/>
              </w:rPr>
            </w:pPr>
            <w:r w:rsidRPr="00664ED1">
              <w:rPr>
                <w:sz w:val="24"/>
                <w:szCs w:val="22"/>
              </w:rPr>
              <w:t>77,2</w:t>
            </w:r>
            <w:r w:rsidR="004827EC" w:rsidRPr="00664ED1">
              <w:rPr>
                <w:sz w:val="24"/>
                <w:szCs w:val="22"/>
              </w:rPr>
              <w:t>0</w:t>
            </w:r>
            <w:r w:rsidRPr="00664ED1">
              <w:rPr>
                <w:sz w:val="24"/>
                <w:szCs w:val="22"/>
              </w:rPr>
              <w:t xml:space="preserve"> гривні/доб</w:t>
            </w:r>
            <w:r w:rsidR="00AF6DC0">
              <w:rPr>
                <w:sz w:val="24"/>
                <w:szCs w:val="22"/>
              </w:rPr>
              <w:t>у</w:t>
            </w:r>
            <w:r w:rsidRPr="00664ED1">
              <w:rPr>
                <w:sz w:val="24"/>
                <w:szCs w:val="22"/>
              </w:rPr>
              <w:t>;</w:t>
            </w:r>
          </w:p>
          <w:p w:rsidR="00980871" w:rsidRPr="00664ED1" w:rsidRDefault="00980871" w:rsidP="00585241">
            <w:pPr>
              <w:pStyle w:val="BodyTextIndent1"/>
              <w:tabs>
                <w:tab w:val="left" w:pos="720"/>
              </w:tabs>
              <w:ind w:firstLine="317"/>
              <w:rPr>
                <w:sz w:val="24"/>
                <w:szCs w:val="22"/>
              </w:rPr>
            </w:pPr>
            <w:r w:rsidRPr="00664ED1">
              <w:rPr>
                <w:sz w:val="24"/>
                <w:szCs w:val="22"/>
              </w:rPr>
              <w:t>273,75 години/рік;</w:t>
            </w:r>
          </w:p>
          <w:p w:rsidR="00980871" w:rsidRPr="00664ED1" w:rsidRDefault="00980871" w:rsidP="00585241">
            <w:pPr>
              <w:pStyle w:val="BodyTextIndent1"/>
              <w:tabs>
                <w:tab w:val="left" w:pos="720"/>
              </w:tabs>
              <w:ind w:firstLine="317"/>
              <w:rPr>
                <w:sz w:val="24"/>
                <w:szCs w:val="22"/>
              </w:rPr>
            </w:pPr>
            <w:r w:rsidRPr="00664ED1">
              <w:rPr>
                <w:sz w:val="24"/>
                <w:szCs w:val="22"/>
              </w:rPr>
              <w:t>28 1</w:t>
            </w:r>
            <w:r w:rsidR="004827EC" w:rsidRPr="00664ED1">
              <w:rPr>
                <w:sz w:val="24"/>
                <w:szCs w:val="22"/>
              </w:rPr>
              <w:t>78</w:t>
            </w:r>
            <w:r w:rsidRPr="00664ED1">
              <w:rPr>
                <w:sz w:val="24"/>
                <w:szCs w:val="22"/>
              </w:rPr>
              <w:t xml:space="preserve"> гривень/рік.</w:t>
            </w:r>
          </w:p>
          <w:p w:rsidR="00980871" w:rsidRPr="00664ED1" w:rsidRDefault="00980871" w:rsidP="00585241">
            <w:pPr>
              <w:pStyle w:val="BodyTextIndent1"/>
              <w:tabs>
                <w:tab w:val="left" w:pos="720"/>
              </w:tabs>
              <w:spacing w:before="120"/>
              <w:ind w:firstLine="317"/>
              <w:rPr>
                <w:sz w:val="24"/>
                <w:szCs w:val="22"/>
              </w:rPr>
            </w:pPr>
            <w:r w:rsidRPr="00664ED1">
              <w:rPr>
                <w:sz w:val="24"/>
                <w:szCs w:val="22"/>
              </w:rPr>
              <w:t xml:space="preserve">Витрати одного суб’єкта господарювання великого та середнього підприємництва на заповнення форм довідок, передбачених </w:t>
            </w:r>
            <w:proofErr w:type="spellStart"/>
            <w:r w:rsidR="00EA4B7C" w:rsidRPr="00664ED1">
              <w:rPr>
                <w:sz w:val="24"/>
                <w:szCs w:val="22"/>
              </w:rPr>
              <w:t>П</w:t>
            </w:r>
            <w:r w:rsidRPr="00664ED1">
              <w:rPr>
                <w:sz w:val="24"/>
                <w:szCs w:val="22"/>
              </w:rPr>
              <w:t>роєктом</w:t>
            </w:r>
            <w:proofErr w:type="spellEnd"/>
            <w:r w:rsidRPr="00664ED1">
              <w:rPr>
                <w:sz w:val="24"/>
                <w:szCs w:val="22"/>
              </w:rPr>
              <w:t xml:space="preserve"> регуляторного </w:t>
            </w:r>
            <w:proofErr w:type="spellStart"/>
            <w:r w:rsidRPr="00664ED1">
              <w:rPr>
                <w:sz w:val="24"/>
                <w:szCs w:val="22"/>
              </w:rPr>
              <w:t>акта</w:t>
            </w:r>
            <w:proofErr w:type="spellEnd"/>
            <w:r w:rsidRPr="00664ED1">
              <w:rPr>
                <w:sz w:val="24"/>
                <w:szCs w:val="22"/>
              </w:rPr>
              <w:t>:</w:t>
            </w:r>
          </w:p>
          <w:p w:rsidR="00980871" w:rsidRPr="00664ED1" w:rsidRDefault="00980871" w:rsidP="00585241">
            <w:pPr>
              <w:pStyle w:val="BodyTextIndent1"/>
              <w:tabs>
                <w:tab w:val="left" w:pos="720"/>
              </w:tabs>
              <w:ind w:firstLine="317"/>
              <w:rPr>
                <w:sz w:val="24"/>
                <w:szCs w:val="22"/>
              </w:rPr>
            </w:pPr>
            <w:r w:rsidRPr="00664ED1">
              <w:rPr>
                <w:sz w:val="24"/>
                <w:szCs w:val="22"/>
              </w:rPr>
              <w:t>280,23 години/рік;</w:t>
            </w:r>
          </w:p>
          <w:p w:rsidR="00980871" w:rsidRPr="00664ED1" w:rsidRDefault="00980871" w:rsidP="00585241">
            <w:pPr>
              <w:pStyle w:val="BodyTextIndent1"/>
              <w:tabs>
                <w:tab w:val="left" w:pos="720"/>
              </w:tabs>
              <w:ind w:firstLine="317"/>
              <w:rPr>
                <w:sz w:val="24"/>
                <w:szCs w:val="22"/>
              </w:rPr>
            </w:pPr>
            <w:r w:rsidRPr="00664ED1">
              <w:rPr>
                <w:sz w:val="24"/>
                <w:szCs w:val="22"/>
              </w:rPr>
              <w:t>28</w:t>
            </w:r>
            <w:r w:rsidR="00664ED1" w:rsidRPr="00664ED1">
              <w:rPr>
                <w:sz w:val="24"/>
                <w:szCs w:val="22"/>
                <w:lang w:val="en-US"/>
              </w:rPr>
              <w:t> </w:t>
            </w:r>
            <w:r w:rsidRPr="00664ED1">
              <w:rPr>
                <w:sz w:val="24"/>
                <w:szCs w:val="22"/>
              </w:rPr>
              <w:t>8</w:t>
            </w:r>
            <w:r w:rsidR="00A20379" w:rsidRPr="00664ED1">
              <w:rPr>
                <w:sz w:val="24"/>
                <w:szCs w:val="22"/>
              </w:rPr>
              <w:t>45</w:t>
            </w:r>
            <w:r w:rsidR="00664ED1" w:rsidRPr="00664ED1">
              <w:rPr>
                <w:sz w:val="24"/>
                <w:szCs w:val="22"/>
                <w:lang w:val="en-US"/>
              </w:rPr>
              <w:t> </w:t>
            </w:r>
            <w:r w:rsidRPr="00664ED1">
              <w:rPr>
                <w:sz w:val="24"/>
                <w:szCs w:val="22"/>
              </w:rPr>
              <w:t>гривень/рік***</w:t>
            </w:r>
          </w:p>
          <w:p w:rsidR="00980871" w:rsidRPr="00664ED1" w:rsidRDefault="00980871" w:rsidP="00390E62">
            <w:pPr>
              <w:pStyle w:val="BodyTextIndent1"/>
              <w:tabs>
                <w:tab w:val="left" w:pos="720"/>
              </w:tabs>
              <w:rPr>
                <w:spacing w:val="-3"/>
              </w:rPr>
            </w:pPr>
          </w:p>
        </w:tc>
        <w:tc>
          <w:tcPr>
            <w:tcW w:w="2739" w:type="dxa"/>
            <w:tcBorders>
              <w:top w:val="single" w:sz="4" w:space="0" w:color="auto"/>
              <w:left w:val="single" w:sz="4" w:space="0" w:color="auto"/>
              <w:bottom w:val="single" w:sz="4" w:space="0" w:color="auto"/>
              <w:right w:val="single" w:sz="4" w:space="0" w:color="auto"/>
            </w:tcBorders>
          </w:tcPr>
          <w:p w:rsidR="00980871" w:rsidRPr="00664ED1" w:rsidRDefault="00980871" w:rsidP="00D00D99">
            <w:pPr>
              <w:pStyle w:val="a3"/>
              <w:spacing w:before="0" w:beforeAutospacing="0" w:after="0" w:afterAutospacing="0"/>
              <w:ind w:firstLine="324"/>
              <w:jc w:val="both"/>
              <w:rPr>
                <w:spacing w:val="-3"/>
                <w:lang w:val="uk-UA"/>
              </w:rPr>
            </w:pPr>
            <w:r w:rsidRPr="00664ED1">
              <w:rPr>
                <w:spacing w:val="-3"/>
                <w:lang w:val="uk-UA"/>
              </w:rPr>
              <w:t>Є найбільш оптимальною серед запропонованих альтернатив, оскільки дає змогу повністю досягнути цілей державного регулювання.</w:t>
            </w:r>
          </w:p>
          <w:p w:rsidR="00980871" w:rsidRPr="00664ED1" w:rsidRDefault="00980871" w:rsidP="00D00D99">
            <w:pPr>
              <w:pStyle w:val="a3"/>
              <w:spacing w:before="0" w:beforeAutospacing="0" w:after="0" w:afterAutospacing="0"/>
              <w:ind w:firstLine="324"/>
              <w:jc w:val="both"/>
              <w:rPr>
                <w:spacing w:val="-3"/>
                <w:lang w:val="uk-UA"/>
              </w:rPr>
            </w:pPr>
          </w:p>
          <w:p w:rsidR="00980871" w:rsidRPr="00664ED1" w:rsidRDefault="00980871" w:rsidP="00D00D99">
            <w:pPr>
              <w:pStyle w:val="a3"/>
              <w:spacing w:before="0" w:beforeAutospacing="0" w:after="0" w:afterAutospacing="0"/>
              <w:ind w:firstLine="324"/>
              <w:jc w:val="both"/>
              <w:rPr>
                <w:spacing w:val="-3"/>
                <w:lang w:val="uk-UA"/>
              </w:rPr>
            </w:pPr>
            <w:r w:rsidRPr="00664ED1">
              <w:rPr>
                <w:spacing w:val="-3"/>
                <w:lang w:val="uk-UA"/>
              </w:rPr>
              <w:t xml:space="preserve">Сумарні витрати </w:t>
            </w:r>
            <w:r w:rsidRPr="00664ED1">
              <w:t>суб’єкт</w:t>
            </w:r>
            <w:r w:rsidRPr="00664ED1">
              <w:rPr>
                <w:lang w:val="uk-UA"/>
              </w:rPr>
              <w:t>ів</w:t>
            </w:r>
            <w:r w:rsidRPr="00664ED1">
              <w:t xml:space="preserve"> господарювання великого та середнього підприємництва</w:t>
            </w:r>
            <w:r w:rsidRPr="00664ED1">
              <w:rPr>
                <w:spacing w:val="-3"/>
                <w:lang w:val="uk-UA"/>
              </w:rPr>
              <w:t xml:space="preserve"> на заповнення всіх довідок:</w:t>
            </w:r>
          </w:p>
          <w:p w:rsidR="00980871" w:rsidRPr="00664ED1" w:rsidRDefault="00980871" w:rsidP="00390E62">
            <w:pPr>
              <w:pStyle w:val="a3"/>
              <w:spacing w:before="0" w:beforeAutospacing="0" w:after="0" w:afterAutospacing="0"/>
              <w:jc w:val="both"/>
              <w:rPr>
                <w:spacing w:val="-3"/>
                <w:lang w:val="uk-UA"/>
              </w:rPr>
            </w:pPr>
          </w:p>
          <w:p w:rsidR="00980871" w:rsidRPr="00664ED1" w:rsidRDefault="00980871" w:rsidP="00390E62">
            <w:pPr>
              <w:pStyle w:val="a3"/>
              <w:spacing w:before="0" w:beforeAutospacing="0" w:after="0" w:afterAutospacing="0"/>
              <w:jc w:val="both"/>
              <w:rPr>
                <w:spacing w:val="-3"/>
                <w:lang w:val="uk-UA"/>
              </w:rPr>
            </w:pPr>
            <w:r w:rsidRPr="00664ED1">
              <w:rPr>
                <w:spacing w:val="-3"/>
                <w:lang w:val="uk-UA"/>
              </w:rPr>
              <w:t>1</w:t>
            </w:r>
            <w:r w:rsidR="0030510C" w:rsidRPr="00664ED1">
              <w:rPr>
                <w:spacing w:val="-3"/>
                <w:lang w:val="uk-UA"/>
              </w:rPr>
              <w:t> </w:t>
            </w:r>
            <w:r w:rsidR="00581AF9" w:rsidRPr="00664ED1">
              <w:rPr>
                <w:spacing w:val="-3"/>
                <w:lang w:val="uk-UA"/>
              </w:rPr>
              <w:t>423 568,4</w:t>
            </w:r>
            <w:r w:rsidRPr="00664ED1">
              <w:rPr>
                <w:spacing w:val="-3"/>
                <w:lang w:val="uk-UA"/>
              </w:rPr>
              <w:t xml:space="preserve"> год/рік</w:t>
            </w:r>
            <w:r w:rsidR="00DF4624" w:rsidRPr="00664ED1">
              <w:rPr>
                <w:spacing w:val="-3"/>
                <w:lang w:val="uk-UA"/>
              </w:rPr>
              <w:t xml:space="preserve"> = </w:t>
            </w:r>
            <w:r w:rsidR="000476FA" w:rsidRPr="00540AD0">
              <w:rPr>
                <w:spacing w:val="-3"/>
                <w:lang w:val="uk-UA"/>
              </w:rPr>
              <w:t>2</w:t>
            </w:r>
            <w:r w:rsidR="00581AF9" w:rsidRPr="00540AD0">
              <w:rPr>
                <w:spacing w:val="-3"/>
                <w:lang w:val="uk-UA"/>
              </w:rPr>
              <w:t>80</w:t>
            </w:r>
            <w:r w:rsidR="000476FA" w:rsidRPr="00540AD0">
              <w:rPr>
                <w:spacing w:val="-3"/>
                <w:lang w:val="uk-UA"/>
              </w:rPr>
              <w:t>,</w:t>
            </w:r>
            <w:r w:rsidR="00581AF9" w:rsidRPr="00540AD0">
              <w:rPr>
                <w:spacing w:val="-3"/>
                <w:lang w:val="uk-UA"/>
              </w:rPr>
              <w:t>23</w:t>
            </w:r>
            <w:r w:rsidR="00540AD0" w:rsidRPr="000E2DB2">
              <w:rPr>
                <w:spacing w:val="-3"/>
                <w:lang w:val="uk-UA"/>
              </w:rPr>
              <w:t> </w:t>
            </w:r>
            <w:r w:rsidR="000476FA" w:rsidRPr="00540AD0">
              <w:rPr>
                <w:spacing w:val="-3"/>
                <w:lang w:val="uk-UA"/>
              </w:rPr>
              <w:t>год</w:t>
            </w:r>
            <w:r w:rsidR="00540AD0" w:rsidRPr="000E2DB2">
              <w:rPr>
                <w:spacing w:val="-3"/>
                <w:lang w:val="uk-UA"/>
              </w:rPr>
              <w:t>ини</w:t>
            </w:r>
            <w:r w:rsidR="000476FA" w:rsidRPr="00540AD0">
              <w:rPr>
                <w:spacing w:val="-3"/>
                <w:lang w:val="uk-UA"/>
              </w:rPr>
              <w:t>/рік *5080</w:t>
            </w:r>
            <w:r w:rsidR="000476FA" w:rsidRPr="00664ED1">
              <w:rPr>
                <w:spacing w:val="-3"/>
                <w:lang w:val="uk-UA"/>
              </w:rPr>
              <w:t xml:space="preserve"> (точки контролю)</w:t>
            </w:r>
            <w:r w:rsidRPr="00664ED1">
              <w:rPr>
                <w:spacing w:val="-3"/>
                <w:lang w:val="uk-UA"/>
              </w:rPr>
              <w:t>;</w:t>
            </w:r>
          </w:p>
          <w:p w:rsidR="00980871" w:rsidRPr="00664ED1" w:rsidRDefault="00980871" w:rsidP="00390E62">
            <w:pPr>
              <w:pStyle w:val="a3"/>
              <w:spacing w:before="0" w:beforeAutospacing="0" w:after="0" w:afterAutospacing="0"/>
              <w:jc w:val="both"/>
              <w:rPr>
                <w:spacing w:val="-3"/>
                <w:lang w:val="uk-UA"/>
              </w:rPr>
            </w:pPr>
          </w:p>
          <w:p w:rsidR="00980871" w:rsidRPr="00664ED1" w:rsidRDefault="00980871" w:rsidP="00390E62">
            <w:pPr>
              <w:pStyle w:val="a3"/>
              <w:spacing w:before="120" w:beforeAutospacing="0" w:after="0" w:afterAutospacing="0"/>
              <w:jc w:val="both"/>
              <w:rPr>
                <w:spacing w:val="-3"/>
                <w:lang w:val="uk-UA"/>
              </w:rPr>
            </w:pPr>
            <w:r w:rsidRPr="00664ED1">
              <w:rPr>
                <w:spacing w:val="-3"/>
                <w:lang w:val="uk-UA"/>
              </w:rPr>
              <w:t>14</w:t>
            </w:r>
            <w:r w:rsidR="00864484" w:rsidRPr="00664ED1">
              <w:rPr>
                <w:spacing w:val="-3"/>
                <w:lang w:val="uk-UA"/>
              </w:rPr>
              <w:t>6</w:t>
            </w:r>
            <w:r w:rsidRPr="00664ED1">
              <w:rPr>
                <w:spacing w:val="-3"/>
                <w:lang w:val="uk-UA"/>
              </w:rPr>
              <w:t> </w:t>
            </w:r>
            <w:r w:rsidR="00864484" w:rsidRPr="00664ED1">
              <w:rPr>
                <w:spacing w:val="-3"/>
                <w:lang w:val="uk-UA"/>
              </w:rPr>
              <w:t>532</w:t>
            </w:r>
            <w:r w:rsidR="00180B49" w:rsidRPr="00664ED1">
              <w:rPr>
                <w:spacing w:val="-3"/>
                <w:lang w:val="uk-UA"/>
              </w:rPr>
              <w:t> </w:t>
            </w:r>
            <w:r w:rsidR="00664ED1" w:rsidRPr="00664ED1">
              <w:rPr>
                <w:spacing w:val="-3"/>
                <w:lang w:val="uk-UA"/>
              </w:rPr>
              <w:t>600</w:t>
            </w:r>
            <w:r w:rsidR="00180B49" w:rsidRPr="00664ED1">
              <w:rPr>
                <w:spacing w:val="-3"/>
                <w:lang w:val="uk-UA"/>
              </w:rPr>
              <w:t> </w:t>
            </w:r>
            <w:r w:rsidR="00540AD0">
              <w:rPr>
                <w:spacing w:val="-3"/>
                <w:lang w:val="uk-UA"/>
              </w:rPr>
              <w:t>гривень</w:t>
            </w:r>
            <w:r w:rsidRPr="00664ED1">
              <w:rPr>
                <w:spacing w:val="-3"/>
                <w:lang w:val="uk-UA"/>
              </w:rPr>
              <w:t xml:space="preserve"> = </w:t>
            </w:r>
            <w:r w:rsidRPr="00540AD0">
              <w:rPr>
                <w:spacing w:val="-3"/>
                <w:lang w:val="uk-UA"/>
              </w:rPr>
              <w:t>28</w:t>
            </w:r>
            <w:r w:rsidR="00540AD0" w:rsidRPr="000E2DB2">
              <w:rPr>
                <w:spacing w:val="-3"/>
                <w:lang w:val="uk-UA"/>
              </w:rPr>
              <w:t> </w:t>
            </w:r>
            <w:r w:rsidR="00864484" w:rsidRPr="00540AD0">
              <w:rPr>
                <w:spacing w:val="-3"/>
                <w:lang w:val="uk-UA"/>
              </w:rPr>
              <w:t>845</w:t>
            </w:r>
            <w:r w:rsidRPr="00540AD0">
              <w:rPr>
                <w:spacing w:val="-3"/>
                <w:lang w:val="uk-UA"/>
              </w:rPr>
              <w:t>(</w:t>
            </w:r>
            <w:r w:rsidR="00540AD0" w:rsidRPr="00540AD0">
              <w:rPr>
                <w:spacing w:val="-3"/>
                <w:lang w:val="uk-UA"/>
              </w:rPr>
              <w:t>гривень</w:t>
            </w:r>
            <w:r w:rsidRPr="00540AD0">
              <w:rPr>
                <w:spacing w:val="-3"/>
                <w:lang w:val="uk-UA"/>
              </w:rPr>
              <w:t>/рік)*</w:t>
            </w:r>
            <w:r w:rsidR="001E0E8E" w:rsidRPr="00540AD0">
              <w:rPr>
                <w:spacing w:val="-3"/>
                <w:lang w:val="uk-UA"/>
              </w:rPr>
              <w:t>5080</w:t>
            </w:r>
            <w:r w:rsidR="001E0E8E" w:rsidRPr="00664ED1">
              <w:rPr>
                <w:spacing w:val="-3"/>
                <w:lang w:val="uk-UA"/>
              </w:rPr>
              <w:t xml:space="preserve"> </w:t>
            </w:r>
            <w:r w:rsidRPr="00664ED1">
              <w:rPr>
                <w:spacing w:val="-3"/>
                <w:lang w:val="uk-UA"/>
              </w:rPr>
              <w:t xml:space="preserve">(точки контролю) </w:t>
            </w:r>
          </w:p>
          <w:p w:rsidR="00980871" w:rsidRPr="00664ED1" w:rsidRDefault="00980871" w:rsidP="00390E62">
            <w:pPr>
              <w:pStyle w:val="a3"/>
              <w:spacing w:before="120" w:beforeAutospacing="0" w:after="0" w:afterAutospacing="0"/>
              <w:jc w:val="both"/>
              <w:rPr>
                <w:spacing w:val="-3"/>
                <w:lang w:val="uk-UA"/>
              </w:rPr>
            </w:pPr>
          </w:p>
          <w:p w:rsidR="00980871" w:rsidRPr="00664ED1" w:rsidRDefault="00980871" w:rsidP="00390E62">
            <w:pPr>
              <w:pStyle w:val="a3"/>
              <w:spacing w:before="0" w:beforeAutospacing="0" w:after="0" w:afterAutospacing="0"/>
              <w:jc w:val="both"/>
              <w:rPr>
                <w:spacing w:val="-3"/>
                <w:lang w:val="uk-UA"/>
              </w:rPr>
            </w:pPr>
          </w:p>
          <w:p w:rsidR="00980871" w:rsidRPr="00664ED1" w:rsidRDefault="00980871" w:rsidP="00390E62">
            <w:pPr>
              <w:pStyle w:val="a3"/>
              <w:spacing w:before="0" w:beforeAutospacing="0" w:after="0" w:afterAutospacing="0"/>
              <w:jc w:val="both"/>
              <w:rPr>
                <w:spacing w:val="-3"/>
                <w:lang w:val="uk-UA"/>
              </w:rPr>
            </w:pPr>
          </w:p>
        </w:tc>
      </w:tr>
      <w:tr w:rsidR="00980871" w:rsidRPr="00864B9E" w:rsidTr="000530EA">
        <w:tc>
          <w:tcPr>
            <w:tcW w:w="201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rPr>
                <w:lang w:val="uk-UA"/>
              </w:rPr>
            </w:pPr>
            <w:r w:rsidRPr="00864B9E">
              <w:rPr>
                <w:i/>
                <w:lang w:val="uk-UA"/>
              </w:rPr>
              <w:lastRenderedPageBreak/>
              <w:t>Альтернатива 2</w:t>
            </w:r>
            <w:r w:rsidRPr="00864B9E">
              <w:rPr>
                <w:lang w:val="uk-UA"/>
              </w:rPr>
              <w:t xml:space="preserve"> (</w:t>
            </w:r>
            <w:r w:rsidRPr="00864B9E">
              <w:t>залишення ситуації без змін</w:t>
            </w:r>
            <w:r w:rsidRPr="00864B9E">
              <w:rPr>
                <w:lang w:val="uk-UA"/>
              </w:rPr>
              <w:t>)</w:t>
            </w:r>
          </w:p>
        </w:tc>
        <w:tc>
          <w:tcPr>
            <w:tcW w:w="2426" w:type="dxa"/>
            <w:tcBorders>
              <w:top w:val="single" w:sz="4" w:space="0" w:color="auto"/>
              <w:left w:val="single" w:sz="4" w:space="0" w:color="auto"/>
              <w:bottom w:val="single" w:sz="4" w:space="0" w:color="auto"/>
              <w:right w:val="single" w:sz="4" w:space="0" w:color="auto"/>
            </w:tcBorders>
          </w:tcPr>
          <w:p w:rsidR="00980871" w:rsidRPr="009C1EC7" w:rsidRDefault="00980871" w:rsidP="002D64A6">
            <w:pPr>
              <w:widowControl w:val="0"/>
              <w:ind w:firstLine="370"/>
              <w:rPr>
                <w:bCs/>
              </w:rPr>
            </w:pPr>
            <w:r w:rsidRPr="009C1EC7">
              <w:rPr>
                <w:bCs/>
              </w:rPr>
              <w:t xml:space="preserve">Відсутні </w:t>
            </w:r>
          </w:p>
          <w:p w:rsidR="00980871" w:rsidRPr="009C1EC7" w:rsidRDefault="00980871" w:rsidP="002D64A6">
            <w:pPr>
              <w:widowControl w:val="0"/>
              <w:ind w:firstLine="370"/>
              <w:rPr>
                <w:bCs/>
              </w:rPr>
            </w:pPr>
            <w:r w:rsidRPr="009C1EC7">
              <w:rPr>
                <w:bCs/>
              </w:rPr>
              <w:t>Залишення ситуації без змін призведе до:</w:t>
            </w:r>
          </w:p>
          <w:p w:rsidR="00980871" w:rsidRPr="009C1EC7" w:rsidRDefault="00980871" w:rsidP="002D64A6">
            <w:pPr>
              <w:widowControl w:val="0"/>
              <w:ind w:firstLine="370"/>
            </w:pPr>
            <w:r w:rsidRPr="009C1EC7">
              <w:rPr>
                <w:bCs/>
              </w:rPr>
              <w:t xml:space="preserve">1) неможливості </w:t>
            </w:r>
            <w:r w:rsidR="006D67F8" w:rsidRPr="009C1EC7">
              <w:rPr>
                <w:bCs/>
              </w:rPr>
              <w:t xml:space="preserve">виконання </w:t>
            </w:r>
            <w:r w:rsidRPr="009C1EC7">
              <w:rPr>
                <w:spacing w:val="-3"/>
              </w:rPr>
              <w:t>платниками</w:t>
            </w:r>
            <w:r w:rsidR="00AE7A8E" w:rsidRPr="009C1EC7">
              <w:rPr>
                <w:spacing w:val="-3"/>
              </w:rPr>
              <w:t xml:space="preserve"> акцизного податку з реалізації пального</w:t>
            </w:r>
            <w:r w:rsidR="006D67F8" w:rsidRPr="009C1EC7">
              <w:rPr>
                <w:spacing w:val="-3"/>
              </w:rPr>
              <w:t xml:space="preserve"> </w:t>
            </w:r>
            <w:r w:rsidRPr="009C1EC7">
              <w:rPr>
                <w:spacing w:val="-3"/>
              </w:rPr>
              <w:t xml:space="preserve">вимог Кодексу щодо обліку </w:t>
            </w:r>
            <w:r w:rsidRPr="009C1EC7">
              <w:t xml:space="preserve">скрапленого газу, інших газів, бутану, </w:t>
            </w:r>
            <w:r w:rsidRPr="00A633BD">
              <w:t xml:space="preserve">ізобутану </w:t>
            </w:r>
            <w:r w:rsidR="00D70EA5" w:rsidRPr="00A633BD">
              <w:rPr>
                <w:lang w:val="ru-RU"/>
              </w:rPr>
              <w:t xml:space="preserve">за </w:t>
            </w:r>
            <w:r w:rsidRPr="00A633BD">
              <w:t>умовним</w:t>
            </w:r>
            <w:r w:rsidRPr="009C1EC7">
              <w:t xml:space="preserve"> кодом;</w:t>
            </w:r>
          </w:p>
          <w:p w:rsidR="00980871" w:rsidRPr="009C1EC7" w:rsidRDefault="00980871" w:rsidP="002D64A6">
            <w:pPr>
              <w:pStyle w:val="a7"/>
              <w:spacing w:after="0" w:line="228" w:lineRule="auto"/>
              <w:ind w:firstLine="370"/>
              <w:jc w:val="both"/>
            </w:pPr>
            <w:r w:rsidRPr="009C1EC7">
              <w:rPr>
                <w:spacing w:val="-3"/>
              </w:rPr>
              <w:t xml:space="preserve">2) невідповідності здійснення обліку </w:t>
            </w:r>
            <w:r w:rsidRPr="009C1EC7">
              <w:t>скрапленого газу, інших газів, бутану, ізобутану в двох діючих системах:</w:t>
            </w:r>
          </w:p>
          <w:p w:rsidR="00980871" w:rsidRPr="009C1EC7" w:rsidRDefault="00980871" w:rsidP="002D64A6">
            <w:pPr>
              <w:pStyle w:val="a7"/>
              <w:spacing w:after="0" w:line="228" w:lineRule="auto"/>
              <w:ind w:firstLine="370"/>
              <w:jc w:val="both"/>
            </w:pPr>
            <w:r w:rsidRPr="009C1EC7">
              <w:t>автоматичного зіставлення показників обсягів обігу та залишків пального, показників обсягів обігу спирту етилового (за кодами УКТ ЗЕД);</w:t>
            </w:r>
          </w:p>
          <w:p w:rsidR="00980871" w:rsidRPr="009C1EC7" w:rsidRDefault="00980871" w:rsidP="002D64A6">
            <w:pPr>
              <w:pStyle w:val="a7"/>
              <w:spacing w:after="0" w:line="228" w:lineRule="auto"/>
              <w:ind w:firstLine="370"/>
              <w:jc w:val="both"/>
            </w:pPr>
            <w:r w:rsidRPr="009C1EC7">
              <w:t xml:space="preserve">електронного адміністрування реалізації пального </w:t>
            </w:r>
            <w:r w:rsidR="00335A13" w:rsidRPr="009C1EC7">
              <w:t xml:space="preserve">та </w:t>
            </w:r>
            <w:r w:rsidRPr="009C1EC7">
              <w:t>спирту етилового</w:t>
            </w:r>
            <w:r w:rsidR="00335A13" w:rsidRPr="009C1EC7">
              <w:t xml:space="preserve"> </w:t>
            </w:r>
            <w:r w:rsidRPr="009C1EC7">
              <w:t>(за умовним кодом);</w:t>
            </w:r>
          </w:p>
          <w:p w:rsidR="00980871" w:rsidRPr="009C1EC7" w:rsidRDefault="00980871" w:rsidP="002D64A6">
            <w:pPr>
              <w:pStyle w:val="a7"/>
              <w:spacing w:after="0" w:line="228" w:lineRule="auto"/>
              <w:ind w:firstLine="370"/>
              <w:jc w:val="both"/>
              <w:rPr>
                <w:spacing w:val="-3"/>
              </w:rPr>
            </w:pPr>
            <w:r w:rsidRPr="009C1EC7">
              <w:t xml:space="preserve">3) ускладнення зіставлення відповідно до ст. 233 Кодексу показників обсягів обігу та залишків скрапленого газу, інших газів, бутану, ізобутану внаслідок невідповідності кодів, за якими здійснюється облік </w:t>
            </w:r>
            <w:r w:rsidRPr="009C1EC7">
              <w:lastRenderedPageBreak/>
              <w:t xml:space="preserve">такого пального в Системі автоматичного зіставлення показників обсягів обігу та залишків пального, показників обсягів обігу спирту етилового та </w:t>
            </w:r>
            <w:r w:rsidR="000309D4">
              <w:t>С</w:t>
            </w:r>
            <w:r w:rsidRPr="009C1EC7">
              <w:t>истемі електронного адміністрування реалізації пального та спирту етилового обліковується за умовним кодом</w:t>
            </w:r>
          </w:p>
        </w:tc>
        <w:tc>
          <w:tcPr>
            <w:tcW w:w="2517" w:type="dxa"/>
            <w:tcBorders>
              <w:top w:val="single" w:sz="4" w:space="0" w:color="auto"/>
              <w:left w:val="single" w:sz="4" w:space="0" w:color="auto"/>
              <w:bottom w:val="single" w:sz="4" w:space="0" w:color="auto"/>
              <w:right w:val="single" w:sz="4" w:space="0" w:color="auto"/>
            </w:tcBorders>
          </w:tcPr>
          <w:p w:rsidR="00980871" w:rsidRPr="009C1EC7" w:rsidRDefault="00980871" w:rsidP="002D64A6">
            <w:pPr>
              <w:tabs>
                <w:tab w:val="left" w:pos="720"/>
              </w:tabs>
              <w:ind w:firstLine="317"/>
              <w:jc w:val="both"/>
            </w:pPr>
            <w:r w:rsidRPr="009C1EC7">
              <w:lastRenderedPageBreak/>
              <w:t xml:space="preserve">Витрати на заповнення Довідки 1 (форма затверджена Наказом № 944): </w:t>
            </w:r>
          </w:p>
          <w:p w:rsidR="00980871" w:rsidRPr="00A633BD" w:rsidRDefault="00980871" w:rsidP="002D64A6">
            <w:pPr>
              <w:pStyle w:val="BodyTextIndent1"/>
              <w:tabs>
                <w:tab w:val="left" w:pos="720"/>
              </w:tabs>
              <w:ind w:firstLine="317"/>
              <w:rPr>
                <w:sz w:val="24"/>
                <w:szCs w:val="24"/>
              </w:rPr>
            </w:pPr>
            <w:r w:rsidRPr="00A633BD">
              <w:rPr>
                <w:sz w:val="24"/>
                <w:szCs w:val="24"/>
              </w:rPr>
              <w:t xml:space="preserve">6,48 години (показники, які вносяться до </w:t>
            </w:r>
            <w:r w:rsidR="00971DA6" w:rsidRPr="00A633BD">
              <w:rPr>
                <w:sz w:val="24"/>
                <w:szCs w:val="24"/>
              </w:rPr>
              <w:t>д</w:t>
            </w:r>
            <w:r w:rsidRPr="00A633BD">
              <w:rPr>
                <w:sz w:val="24"/>
                <w:szCs w:val="24"/>
              </w:rPr>
              <w:t xml:space="preserve">овідки </w:t>
            </w:r>
            <w:r w:rsidR="00971DA6" w:rsidRPr="00A633BD">
              <w:rPr>
                <w:sz w:val="24"/>
                <w:szCs w:val="24"/>
              </w:rPr>
              <w:t xml:space="preserve">форми </w:t>
            </w:r>
            <w:r w:rsidRPr="00A633BD">
              <w:rPr>
                <w:sz w:val="24"/>
                <w:szCs w:val="24"/>
              </w:rPr>
              <w:t xml:space="preserve">АС, згідно з </w:t>
            </w:r>
            <w:proofErr w:type="spellStart"/>
            <w:r w:rsidRPr="00A633BD">
              <w:rPr>
                <w:sz w:val="24"/>
                <w:szCs w:val="24"/>
              </w:rPr>
              <w:t>Проєктом</w:t>
            </w:r>
            <w:proofErr w:type="spellEnd"/>
            <w:r w:rsidRPr="00A633BD">
              <w:rPr>
                <w:sz w:val="24"/>
                <w:szCs w:val="24"/>
              </w:rPr>
              <w:t xml:space="preserve"> аналогічні показникам, які вносяться до Довідки 1, форма якої затверджена наказом № 944);</w:t>
            </w:r>
          </w:p>
          <w:p w:rsidR="00980871" w:rsidRPr="00A633BD" w:rsidRDefault="00980871" w:rsidP="002D64A6">
            <w:pPr>
              <w:pStyle w:val="BodyTextIndent1"/>
              <w:tabs>
                <w:tab w:val="left" w:pos="720"/>
              </w:tabs>
              <w:ind w:firstLine="317"/>
              <w:rPr>
                <w:sz w:val="24"/>
                <w:szCs w:val="24"/>
              </w:rPr>
            </w:pPr>
            <w:r w:rsidRPr="00A633BD">
              <w:rPr>
                <w:sz w:val="24"/>
                <w:szCs w:val="24"/>
              </w:rPr>
              <w:t>667 гривень.</w:t>
            </w:r>
          </w:p>
          <w:p w:rsidR="00980871" w:rsidRPr="00A633BD" w:rsidRDefault="00980871" w:rsidP="002D64A6">
            <w:pPr>
              <w:tabs>
                <w:tab w:val="left" w:pos="720"/>
              </w:tabs>
              <w:ind w:firstLine="317"/>
              <w:jc w:val="both"/>
            </w:pPr>
          </w:p>
          <w:p w:rsidR="00980871" w:rsidRPr="00A633BD" w:rsidRDefault="00980871" w:rsidP="002D64A6">
            <w:pPr>
              <w:tabs>
                <w:tab w:val="left" w:pos="720"/>
              </w:tabs>
              <w:ind w:firstLine="317"/>
              <w:jc w:val="both"/>
            </w:pPr>
            <w:r w:rsidRPr="00A633BD">
              <w:t>Витрати на заповнення довідки 2 (форма затверджена Наказом № 944):</w:t>
            </w:r>
          </w:p>
          <w:p w:rsidR="00980871" w:rsidRPr="00A633BD" w:rsidRDefault="00980871" w:rsidP="002D64A6">
            <w:pPr>
              <w:tabs>
                <w:tab w:val="left" w:pos="720"/>
              </w:tabs>
              <w:ind w:firstLine="317"/>
              <w:jc w:val="both"/>
            </w:pPr>
            <w:r w:rsidRPr="00A633BD">
              <w:t>0,75 години/доб</w:t>
            </w:r>
            <w:r w:rsidR="00D156B6">
              <w:t>у</w:t>
            </w:r>
            <w:r w:rsidRPr="00A633BD">
              <w:t>;</w:t>
            </w:r>
          </w:p>
          <w:p w:rsidR="00980871" w:rsidRPr="00A633BD" w:rsidRDefault="00980871" w:rsidP="002D64A6">
            <w:pPr>
              <w:tabs>
                <w:tab w:val="left" w:pos="720"/>
              </w:tabs>
              <w:ind w:firstLine="317"/>
              <w:jc w:val="both"/>
            </w:pPr>
            <w:r w:rsidRPr="00A633BD">
              <w:t>77,2</w:t>
            </w:r>
            <w:r w:rsidR="0007374D" w:rsidRPr="00A633BD">
              <w:t>0</w:t>
            </w:r>
            <w:r w:rsidRPr="00A633BD">
              <w:t xml:space="preserve"> гривні/доб</w:t>
            </w:r>
            <w:r w:rsidR="00D156B6">
              <w:t>у</w:t>
            </w:r>
            <w:r w:rsidRPr="00A633BD">
              <w:t>;</w:t>
            </w:r>
          </w:p>
          <w:p w:rsidR="00980871" w:rsidRPr="00A633BD" w:rsidRDefault="00980871" w:rsidP="002D64A6">
            <w:pPr>
              <w:tabs>
                <w:tab w:val="left" w:pos="720"/>
              </w:tabs>
              <w:ind w:firstLine="317"/>
              <w:jc w:val="both"/>
            </w:pPr>
            <w:r w:rsidRPr="00A633BD">
              <w:t>273,75 години/рік;</w:t>
            </w:r>
          </w:p>
          <w:p w:rsidR="00980871" w:rsidRPr="009C1EC7" w:rsidRDefault="00980871" w:rsidP="002D64A6">
            <w:pPr>
              <w:tabs>
                <w:tab w:val="left" w:pos="720"/>
              </w:tabs>
              <w:ind w:firstLine="317"/>
              <w:jc w:val="both"/>
            </w:pPr>
            <w:r w:rsidRPr="00A633BD">
              <w:t>28</w:t>
            </w:r>
            <w:r w:rsidR="0007374D" w:rsidRPr="00A633BD">
              <w:t> </w:t>
            </w:r>
            <w:r w:rsidRPr="00A633BD">
              <w:t>1</w:t>
            </w:r>
            <w:r w:rsidR="0007374D" w:rsidRPr="00A633BD">
              <w:t>78</w:t>
            </w:r>
            <w:r w:rsidRPr="00A633BD">
              <w:t xml:space="preserve"> гри</w:t>
            </w:r>
            <w:r w:rsidRPr="009C1EC7">
              <w:t>вень/рік.</w:t>
            </w:r>
          </w:p>
          <w:p w:rsidR="00980871" w:rsidRPr="00E57467" w:rsidRDefault="00980871" w:rsidP="002D64A6">
            <w:pPr>
              <w:tabs>
                <w:tab w:val="left" w:pos="720"/>
              </w:tabs>
              <w:spacing w:before="120"/>
              <w:ind w:firstLine="317"/>
              <w:jc w:val="both"/>
            </w:pPr>
            <w:r w:rsidRPr="009C1EC7">
              <w:t xml:space="preserve">Витрати одного суб’єкта господарювання великого та середнього підприємництва на заповнення форм довідок, затверджених </w:t>
            </w:r>
            <w:r w:rsidRPr="00E57467">
              <w:t>Наказом № 944:</w:t>
            </w:r>
          </w:p>
          <w:p w:rsidR="00980871" w:rsidRPr="00E57467" w:rsidRDefault="00980871" w:rsidP="002D64A6">
            <w:pPr>
              <w:tabs>
                <w:tab w:val="left" w:pos="720"/>
              </w:tabs>
              <w:ind w:firstLine="317"/>
              <w:jc w:val="both"/>
            </w:pPr>
            <w:r w:rsidRPr="00E57467">
              <w:t>2</w:t>
            </w:r>
            <w:r w:rsidR="00A20379" w:rsidRPr="00E57467">
              <w:t>80</w:t>
            </w:r>
            <w:r w:rsidRPr="00E57467">
              <w:t>,</w:t>
            </w:r>
            <w:r w:rsidR="00A20379" w:rsidRPr="00E57467">
              <w:t>23</w:t>
            </w:r>
            <w:r w:rsidRPr="00E57467">
              <w:t xml:space="preserve"> години/рік;</w:t>
            </w:r>
          </w:p>
          <w:p w:rsidR="00980871" w:rsidRPr="009C1EC7" w:rsidRDefault="00980871" w:rsidP="00A20379">
            <w:pPr>
              <w:ind w:firstLine="317"/>
              <w:jc w:val="both"/>
              <w:rPr>
                <w:spacing w:val="-3"/>
              </w:rPr>
            </w:pPr>
            <w:r w:rsidRPr="00E57467">
              <w:t>28</w:t>
            </w:r>
            <w:r w:rsidR="00540AD0">
              <w:t> </w:t>
            </w:r>
            <w:r w:rsidR="00A20379" w:rsidRPr="00E57467">
              <w:t>845</w:t>
            </w:r>
            <w:r w:rsidR="00540AD0">
              <w:t> </w:t>
            </w:r>
            <w:r w:rsidRPr="00E57467">
              <w:t>гривень/рік* ** ***</w:t>
            </w:r>
          </w:p>
        </w:tc>
        <w:tc>
          <w:tcPr>
            <w:tcW w:w="2739" w:type="dxa"/>
            <w:tcBorders>
              <w:top w:val="single" w:sz="4" w:space="0" w:color="auto"/>
              <w:left w:val="single" w:sz="4" w:space="0" w:color="auto"/>
              <w:bottom w:val="single" w:sz="4" w:space="0" w:color="auto"/>
              <w:right w:val="single" w:sz="4" w:space="0" w:color="auto"/>
            </w:tcBorders>
          </w:tcPr>
          <w:p w:rsidR="00980871" w:rsidRPr="009C1EC7" w:rsidRDefault="00980871" w:rsidP="007F1859">
            <w:pPr>
              <w:ind w:firstLine="324"/>
              <w:jc w:val="both"/>
              <w:rPr>
                <w:spacing w:val="-3"/>
              </w:rPr>
            </w:pPr>
            <w:r w:rsidRPr="009C1EC7">
              <w:rPr>
                <w:spacing w:val="-3"/>
              </w:rPr>
              <w:t>Є найгіршою, оскільки на відміну від альтернативи 1 не дає змоги у повному обсязі досягнути поставлених цілей державного регулювання.</w:t>
            </w:r>
          </w:p>
          <w:p w:rsidR="00980871" w:rsidRPr="009C1EC7" w:rsidRDefault="00980871" w:rsidP="007F1859">
            <w:pPr>
              <w:ind w:firstLine="324"/>
              <w:jc w:val="both"/>
              <w:rPr>
                <w:spacing w:val="-3"/>
              </w:rPr>
            </w:pPr>
          </w:p>
          <w:p w:rsidR="00980871" w:rsidRPr="009C1EC7" w:rsidRDefault="00980871" w:rsidP="007F1859">
            <w:pPr>
              <w:pStyle w:val="a3"/>
              <w:spacing w:before="0" w:beforeAutospacing="0" w:after="0" w:afterAutospacing="0"/>
              <w:ind w:firstLine="324"/>
              <w:jc w:val="both"/>
              <w:rPr>
                <w:spacing w:val="-3"/>
                <w:lang w:val="uk-UA"/>
              </w:rPr>
            </w:pPr>
            <w:r w:rsidRPr="009C1EC7">
              <w:rPr>
                <w:spacing w:val="-3"/>
                <w:lang w:val="uk-UA"/>
              </w:rPr>
              <w:t xml:space="preserve">Сумарні витрати </w:t>
            </w:r>
            <w:r w:rsidRPr="009C1EC7">
              <w:t>суб’єкт</w:t>
            </w:r>
            <w:r w:rsidRPr="009C1EC7">
              <w:rPr>
                <w:lang w:val="uk-UA"/>
              </w:rPr>
              <w:t>ів</w:t>
            </w:r>
            <w:r w:rsidRPr="009C1EC7">
              <w:t xml:space="preserve"> господарювання великого та середнього підприємництва</w:t>
            </w:r>
            <w:r w:rsidRPr="009C1EC7">
              <w:rPr>
                <w:spacing w:val="-3"/>
                <w:lang w:val="uk-UA"/>
              </w:rPr>
              <w:t xml:space="preserve"> на заповнення довідок, форми яких затверджено Наказом № 944:</w:t>
            </w:r>
          </w:p>
          <w:p w:rsidR="00980871" w:rsidRPr="009C1EC7" w:rsidRDefault="00980871" w:rsidP="00390E62">
            <w:pPr>
              <w:pStyle w:val="a3"/>
              <w:spacing w:before="0" w:beforeAutospacing="0" w:after="0" w:afterAutospacing="0"/>
              <w:jc w:val="both"/>
              <w:rPr>
                <w:spacing w:val="-3"/>
                <w:lang w:val="uk-UA"/>
              </w:rPr>
            </w:pPr>
          </w:p>
          <w:p w:rsidR="00830DB1" w:rsidRPr="00EA4B7C" w:rsidRDefault="00830DB1" w:rsidP="00830DB1">
            <w:pPr>
              <w:pStyle w:val="a3"/>
              <w:spacing w:before="0" w:beforeAutospacing="0" w:after="0" w:afterAutospacing="0"/>
              <w:jc w:val="both"/>
              <w:rPr>
                <w:spacing w:val="-3"/>
                <w:lang w:val="uk-UA"/>
              </w:rPr>
            </w:pPr>
            <w:r w:rsidRPr="00540AD0">
              <w:rPr>
                <w:spacing w:val="-3"/>
                <w:lang w:val="uk-UA"/>
              </w:rPr>
              <w:t>1 </w:t>
            </w:r>
            <w:r w:rsidR="00A633BD" w:rsidRPr="00540AD0">
              <w:rPr>
                <w:spacing w:val="-3"/>
                <w:lang w:val="uk-UA"/>
              </w:rPr>
              <w:t>423 568,4</w:t>
            </w:r>
            <w:r w:rsidRPr="00540AD0">
              <w:rPr>
                <w:spacing w:val="-3"/>
                <w:lang w:val="uk-UA"/>
              </w:rPr>
              <w:t xml:space="preserve"> год</w:t>
            </w:r>
            <w:r w:rsidR="00540AD0" w:rsidRPr="000E2DB2">
              <w:rPr>
                <w:spacing w:val="-3"/>
                <w:lang w:val="uk-UA"/>
              </w:rPr>
              <w:t>ини</w:t>
            </w:r>
            <w:r w:rsidRPr="00540AD0">
              <w:rPr>
                <w:spacing w:val="-3"/>
                <w:lang w:val="uk-UA"/>
              </w:rPr>
              <w:t>/рік = 2</w:t>
            </w:r>
            <w:r w:rsidR="00A633BD" w:rsidRPr="00540AD0">
              <w:rPr>
                <w:spacing w:val="-3"/>
                <w:lang w:val="uk-UA"/>
              </w:rPr>
              <w:t>80</w:t>
            </w:r>
            <w:r w:rsidRPr="00540AD0">
              <w:rPr>
                <w:spacing w:val="-3"/>
                <w:lang w:val="uk-UA"/>
              </w:rPr>
              <w:t>,</w:t>
            </w:r>
            <w:r w:rsidR="00A633BD" w:rsidRPr="00540AD0">
              <w:rPr>
                <w:spacing w:val="-3"/>
                <w:lang w:val="uk-UA"/>
              </w:rPr>
              <w:t>23</w:t>
            </w:r>
            <w:r w:rsidRPr="00540AD0">
              <w:rPr>
                <w:spacing w:val="-3"/>
                <w:lang w:val="uk-UA"/>
              </w:rPr>
              <w:t xml:space="preserve"> год</w:t>
            </w:r>
            <w:r w:rsidR="00540AD0" w:rsidRPr="000E2DB2">
              <w:rPr>
                <w:spacing w:val="-3"/>
                <w:lang w:val="uk-UA"/>
              </w:rPr>
              <w:t>ини</w:t>
            </w:r>
            <w:r w:rsidRPr="00540AD0">
              <w:rPr>
                <w:spacing w:val="-3"/>
                <w:lang w:val="uk-UA"/>
              </w:rPr>
              <w:t>/рік *5080 (точки контролю);</w:t>
            </w:r>
          </w:p>
          <w:p w:rsidR="00830DB1" w:rsidRPr="00EA4B7C" w:rsidRDefault="00830DB1" w:rsidP="00830DB1">
            <w:pPr>
              <w:pStyle w:val="a3"/>
              <w:spacing w:before="0" w:beforeAutospacing="0" w:after="0" w:afterAutospacing="0"/>
              <w:jc w:val="both"/>
              <w:rPr>
                <w:spacing w:val="-3"/>
                <w:lang w:val="uk-UA"/>
              </w:rPr>
            </w:pPr>
          </w:p>
          <w:p w:rsidR="00830DB1" w:rsidRPr="00EA4B7C" w:rsidRDefault="00830DB1" w:rsidP="00830DB1">
            <w:pPr>
              <w:pStyle w:val="a3"/>
              <w:spacing w:before="120" w:beforeAutospacing="0" w:after="0" w:afterAutospacing="0"/>
              <w:jc w:val="both"/>
              <w:rPr>
                <w:spacing w:val="-3"/>
                <w:lang w:val="uk-UA"/>
              </w:rPr>
            </w:pPr>
            <w:r w:rsidRPr="00540AD0">
              <w:rPr>
                <w:spacing w:val="-3"/>
                <w:lang w:val="uk-UA"/>
              </w:rPr>
              <w:t>14</w:t>
            </w:r>
            <w:r w:rsidR="00407AD8" w:rsidRPr="00540AD0">
              <w:rPr>
                <w:spacing w:val="-3"/>
                <w:lang w:val="uk-UA"/>
              </w:rPr>
              <w:t>6</w:t>
            </w:r>
            <w:r w:rsidRPr="00540AD0">
              <w:rPr>
                <w:spacing w:val="-3"/>
                <w:lang w:val="uk-UA"/>
              </w:rPr>
              <w:t> </w:t>
            </w:r>
            <w:r w:rsidR="00407AD8" w:rsidRPr="00540AD0">
              <w:rPr>
                <w:spacing w:val="-3"/>
                <w:lang w:val="uk-UA"/>
              </w:rPr>
              <w:t>532</w:t>
            </w:r>
            <w:r w:rsidRPr="00540AD0">
              <w:rPr>
                <w:spacing w:val="-3"/>
                <w:lang w:val="uk-UA"/>
              </w:rPr>
              <w:t> </w:t>
            </w:r>
            <w:r w:rsidR="00407AD8" w:rsidRPr="00540AD0">
              <w:rPr>
                <w:spacing w:val="-3"/>
                <w:lang w:val="uk-UA"/>
              </w:rPr>
              <w:t>60</w:t>
            </w:r>
            <w:r w:rsidRPr="00540AD0">
              <w:rPr>
                <w:spacing w:val="-3"/>
                <w:lang w:val="uk-UA"/>
              </w:rPr>
              <w:t>0 г</w:t>
            </w:r>
            <w:r w:rsidR="00540AD0" w:rsidRPr="000E2DB2">
              <w:rPr>
                <w:spacing w:val="-3"/>
                <w:lang w:val="uk-UA"/>
              </w:rPr>
              <w:t>ривень</w:t>
            </w:r>
            <w:r w:rsidRPr="00540AD0">
              <w:rPr>
                <w:spacing w:val="-3"/>
                <w:lang w:val="uk-UA"/>
              </w:rPr>
              <w:t xml:space="preserve"> = 28</w:t>
            </w:r>
            <w:r w:rsidR="00407AD8" w:rsidRPr="00540AD0">
              <w:rPr>
                <w:spacing w:val="-3"/>
                <w:lang w:val="uk-UA"/>
              </w:rPr>
              <w:t> 845</w:t>
            </w:r>
            <w:r w:rsidRPr="00540AD0">
              <w:rPr>
                <w:spacing w:val="-3"/>
                <w:lang w:val="uk-UA"/>
              </w:rPr>
              <w:t xml:space="preserve"> (гр</w:t>
            </w:r>
            <w:r w:rsidR="00540AD0" w:rsidRPr="000E2DB2">
              <w:rPr>
                <w:spacing w:val="-3"/>
                <w:lang w:val="uk-UA"/>
              </w:rPr>
              <w:t>ивень</w:t>
            </w:r>
            <w:r w:rsidRPr="00540AD0">
              <w:rPr>
                <w:spacing w:val="-3"/>
                <w:lang w:val="uk-UA"/>
              </w:rPr>
              <w:t>/рік)*5080  (точки контролю)</w:t>
            </w:r>
          </w:p>
          <w:p w:rsidR="00980871" w:rsidRPr="007F1859" w:rsidRDefault="00980871" w:rsidP="00390E62">
            <w:pPr>
              <w:pStyle w:val="a3"/>
              <w:spacing w:before="0" w:beforeAutospacing="0" w:after="0" w:afterAutospacing="0"/>
              <w:jc w:val="both"/>
              <w:rPr>
                <w:spacing w:val="-3"/>
                <w:lang w:val="uk-UA"/>
              </w:rPr>
            </w:pPr>
          </w:p>
        </w:tc>
      </w:tr>
    </w:tbl>
    <w:p w:rsidR="00980871" w:rsidRPr="00864B9E"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lastRenderedPageBreak/>
        <w:t>* Розрахунок здійснено на прикладі АЗК «ОККО», надано АТ «Концерн «Галнафтогаз».</w:t>
      </w:r>
    </w:p>
    <w:p w:rsidR="00980871" w:rsidRPr="00864B9E" w:rsidRDefault="00980871" w:rsidP="00980871">
      <w:pPr>
        <w:pStyle w:val="a3"/>
        <w:tabs>
          <w:tab w:val="left" w:pos="720"/>
          <w:tab w:val="left" w:pos="1277"/>
        </w:tabs>
        <w:spacing w:before="0" w:beforeAutospacing="0" w:after="0" w:afterAutospacing="0"/>
        <w:jc w:val="both"/>
        <w:rPr>
          <w:i/>
          <w:strike/>
          <w:szCs w:val="28"/>
          <w:lang w:val="uk-UA"/>
        </w:rPr>
      </w:pPr>
      <w:r w:rsidRPr="00864B9E">
        <w:rPr>
          <w:i/>
          <w:szCs w:val="28"/>
          <w:lang w:val="uk-UA"/>
        </w:rPr>
        <w:t>** Витрати можуть варіювати як у бік збільшення (у разі необхідності заповнення коригуючих довідок), так і в бік зменшення (якщо акцизний склад не працює).</w:t>
      </w:r>
    </w:p>
    <w:p w:rsidR="00980871"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t xml:space="preserve">*** Розрахунок витрат одного суб’єкта господарювання наведено </w:t>
      </w:r>
      <w:r w:rsidRPr="002D7C7E">
        <w:rPr>
          <w:i/>
          <w:szCs w:val="28"/>
          <w:lang w:val="uk-UA"/>
        </w:rPr>
        <w:t xml:space="preserve">в додатку 2 до Методики проведення аналізу впливу регуляторного </w:t>
      </w:r>
      <w:proofErr w:type="spellStart"/>
      <w:r w:rsidRPr="002D7C7E">
        <w:rPr>
          <w:i/>
          <w:szCs w:val="28"/>
          <w:lang w:val="uk-UA"/>
        </w:rPr>
        <w:t>акта</w:t>
      </w:r>
      <w:proofErr w:type="spellEnd"/>
      <w:r w:rsidRPr="002D7C7E">
        <w:rPr>
          <w:i/>
          <w:szCs w:val="28"/>
          <w:lang w:val="uk-UA"/>
        </w:rPr>
        <w:t xml:space="preserve"> (рядок 3 таблиці «Витрати, пов’язані з веденням обліку, підготовкою та поданням звітності державним органам»).</w:t>
      </w:r>
    </w:p>
    <w:p w:rsidR="00980871" w:rsidRDefault="00980871" w:rsidP="000E2DB2">
      <w:pPr>
        <w:pStyle w:val="a3"/>
        <w:tabs>
          <w:tab w:val="left" w:pos="720"/>
          <w:tab w:val="left" w:pos="1277"/>
        </w:tabs>
        <w:spacing w:before="0" w:beforeAutospacing="0" w:after="0" w:afterAutospacing="0"/>
        <w:ind w:firstLine="567"/>
        <w:jc w:val="both"/>
      </w:pPr>
      <w:r w:rsidRPr="00DB02A6">
        <w:rPr>
          <w:i/>
          <w:szCs w:val="28"/>
          <w:lang w:val="uk-UA"/>
        </w:rPr>
        <w:t>Для суб’єктів господарювання великого підприємництва можливі</w:t>
      </w:r>
      <w:r w:rsidRPr="00DB02A6">
        <w:rPr>
          <w:i/>
          <w:lang w:val="uk-UA"/>
        </w:rPr>
        <w:t xml:space="preserve"> в</w:t>
      </w:r>
      <w:proofErr w:type="spellStart"/>
      <w:r w:rsidRPr="00DB02A6">
        <w:rPr>
          <w:i/>
        </w:rPr>
        <w:t>итрати</w:t>
      </w:r>
      <w:proofErr w:type="spellEnd"/>
      <w:r w:rsidRPr="00DB02A6">
        <w:rPr>
          <w:i/>
        </w:rPr>
        <w:t xml:space="preserve">, пов’язані з веденням обліку, підготовкою та поданням звітності державним органам в цілому по підприємству (внесення змін </w:t>
      </w:r>
      <w:r w:rsidR="00D156B6">
        <w:rPr>
          <w:i/>
          <w:lang w:val="uk-UA"/>
        </w:rPr>
        <w:t>до</w:t>
      </w:r>
      <w:r w:rsidRPr="00DB02A6">
        <w:rPr>
          <w:i/>
        </w:rPr>
        <w:t xml:space="preserve"> програмн</w:t>
      </w:r>
      <w:r w:rsidR="00D156B6">
        <w:rPr>
          <w:i/>
          <w:lang w:val="uk-UA"/>
        </w:rPr>
        <w:t>ого</w:t>
      </w:r>
      <w:r w:rsidRPr="00DB02A6">
        <w:rPr>
          <w:i/>
        </w:rPr>
        <w:t xml:space="preserve"> забезпечення)</w:t>
      </w:r>
      <w:r w:rsidRPr="00DB02A6">
        <w:rPr>
          <w:i/>
          <w:lang w:val="uk-UA"/>
        </w:rPr>
        <w:t xml:space="preserve"> – </w:t>
      </w:r>
      <w:r w:rsidRPr="00DB02A6">
        <w:rPr>
          <w:i/>
        </w:rPr>
        <w:t>160 000 гривень/одноразово</w:t>
      </w:r>
      <w:r>
        <w:rPr>
          <w:i/>
          <w:lang w:val="uk-UA"/>
        </w:rPr>
        <w:t>.</w:t>
      </w:r>
    </w:p>
    <w:p w:rsidR="002D7C7E" w:rsidRPr="00864B9E" w:rsidRDefault="002D7C7E" w:rsidP="002A6354">
      <w:pPr>
        <w:pStyle w:val="ae"/>
      </w:pPr>
    </w:p>
    <w:p w:rsidR="00980871" w:rsidRPr="002A6354" w:rsidRDefault="00980871" w:rsidP="002A6354">
      <w:pPr>
        <w:pStyle w:val="ae"/>
        <w:jc w:val="center"/>
        <w:rPr>
          <w:b/>
          <w:sz w:val="28"/>
        </w:rPr>
      </w:pPr>
      <w:r w:rsidRPr="002A6354">
        <w:rPr>
          <w:b/>
          <w:sz w:val="28"/>
        </w:rPr>
        <w:t xml:space="preserve">V. Механізми та заходи, які забезпечать </w:t>
      </w:r>
      <w:r w:rsidR="00160C6C">
        <w:rPr>
          <w:b/>
          <w:sz w:val="28"/>
        </w:rPr>
        <w:t>розв’язання</w:t>
      </w:r>
      <w:r w:rsidR="00160C6C" w:rsidRPr="002A6354">
        <w:rPr>
          <w:b/>
          <w:sz w:val="28"/>
        </w:rPr>
        <w:t xml:space="preserve"> </w:t>
      </w:r>
      <w:r w:rsidRPr="002A6354">
        <w:rPr>
          <w:b/>
          <w:sz w:val="28"/>
        </w:rPr>
        <w:t>визначеної проблеми</w:t>
      </w:r>
    </w:p>
    <w:p w:rsidR="002A6354" w:rsidRPr="002A6354" w:rsidRDefault="002A6354" w:rsidP="002A6354">
      <w:pPr>
        <w:pStyle w:val="ae"/>
        <w:ind w:firstLine="567"/>
        <w:jc w:val="both"/>
        <w:rPr>
          <w:szCs w:val="28"/>
        </w:rPr>
      </w:pPr>
    </w:p>
    <w:p w:rsidR="00980871" w:rsidRPr="002A6354" w:rsidRDefault="00980871" w:rsidP="002A6354">
      <w:pPr>
        <w:pStyle w:val="ae"/>
        <w:ind w:firstLine="567"/>
        <w:jc w:val="both"/>
        <w:rPr>
          <w:sz w:val="28"/>
          <w:szCs w:val="28"/>
        </w:rPr>
      </w:pPr>
      <w:r w:rsidRPr="002A6354">
        <w:rPr>
          <w:sz w:val="28"/>
          <w:szCs w:val="28"/>
        </w:rPr>
        <w:t xml:space="preserve">Реалізація поставлених цілей державного регулювання забезпечується шляхом прийняття </w:t>
      </w:r>
      <w:proofErr w:type="spellStart"/>
      <w:r w:rsidRPr="002A6354">
        <w:rPr>
          <w:sz w:val="28"/>
          <w:szCs w:val="28"/>
        </w:rPr>
        <w:t>Проєкту</w:t>
      </w:r>
      <w:proofErr w:type="spellEnd"/>
      <w:r w:rsidRPr="002A6354">
        <w:rPr>
          <w:sz w:val="28"/>
          <w:szCs w:val="28"/>
        </w:rPr>
        <w:t>.</w:t>
      </w:r>
    </w:p>
    <w:p w:rsidR="00980871" w:rsidRPr="00864B9E" w:rsidRDefault="00980871" w:rsidP="00980871">
      <w:pPr>
        <w:pStyle w:val="a7"/>
        <w:spacing w:after="0"/>
        <w:ind w:firstLine="567"/>
        <w:contextualSpacing/>
        <w:jc w:val="both"/>
        <w:rPr>
          <w:sz w:val="28"/>
          <w:szCs w:val="28"/>
        </w:rPr>
      </w:pPr>
      <w:r w:rsidRPr="00864B9E">
        <w:rPr>
          <w:sz w:val="28"/>
          <w:szCs w:val="28"/>
        </w:rPr>
        <w:t>На сьогодні формат даних, структура та форми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Pr="00864B9E">
        <w:rPr>
          <w:bCs/>
          <w:sz w:val="28"/>
          <w:szCs w:val="28"/>
        </w:rPr>
        <w:t xml:space="preserve"> затверджено </w:t>
      </w:r>
      <w:r w:rsidRPr="00F36F5C">
        <w:rPr>
          <w:bCs/>
          <w:sz w:val="28"/>
          <w:szCs w:val="28"/>
        </w:rPr>
        <w:t>На</w:t>
      </w:r>
      <w:r w:rsidRPr="00864B9E">
        <w:rPr>
          <w:bCs/>
          <w:sz w:val="28"/>
          <w:szCs w:val="28"/>
        </w:rPr>
        <w:t>казом № 944.</w:t>
      </w:r>
    </w:p>
    <w:p w:rsidR="00980871" w:rsidRPr="00864B9E" w:rsidRDefault="00980871" w:rsidP="00980871">
      <w:pPr>
        <w:tabs>
          <w:tab w:val="left" w:pos="993"/>
        </w:tabs>
        <w:ind w:firstLine="567"/>
        <w:contextualSpacing/>
        <w:jc w:val="both"/>
        <w:rPr>
          <w:sz w:val="28"/>
          <w:szCs w:val="28"/>
        </w:rPr>
      </w:pPr>
      <w:proofErr w:type="spellStart"/>
      <w:r w:rsidRPr="00864B9E">
        <w:rPr>
          <w:sz w:val="28"/>
          <w:szCs w:val="28"/>
        </w:rPr>
        <w:t>Проєктом</w:t>
      </w:r>
      <w:proofErr w:type="spellEnd"/>
      <w:r w:rsidRPr="00864B9E">
        <w:rPr>
          <w:sz w:val="28"/>
          <w:szCs w:val="28"/>
        </w:rPr>
        <w:t xml:space="preserve"> передбачено визнання таким</w:t>
      </w:r>
      <w:r w:rsidR="00D156B6">
        <w:rPr>
          <w:sz w:val="28"/>
          <w:szCs w:val="28"/>
        </w:rPr>
        <w:t>и</w:t>
      </w:r>
      <w:r w:rsidRPr="00864B9E">
        <w:rPr>
          <w:sz w:val="28"/>
          <w:szCs w:val="28"/>
        </w:rPr>
        <w:t>, що втрати</w:t>
      </w:r>
      <w:r w:rsidR="00032170">
        <w:rPr>
          <w:sz w:val="28"/>
          <w:szCs w:val="28"/>
        </w:rPr>
        <w:t>ли</w:t>
      </w:r>
      <w:r w:rsidRPr="00864B9E">
        <w:rPr>
          <w:sz w:val="28"/>
          <w:szCs w:val="28"/>
        </w:rPr>
        <w:t xml:space="preserve"> чинність, Наказ</w:t>
      </w:r>
      <w:r w:rsidR="003E1808">
        <w:rPr>
          <w:sz w:val="28"/>
          <w:szCs w:val="28"/>
          <w:lang w:val="ru-RU"/>
        </w:rPr>
        <w:t> </w:t>
      </w:r>
      <w:r w:rsidRPr="00864B9E">
        <w:rPr>
          <w:sz w:val="28"/>
          <w:szCs w:val="28"/>
        </w:rPr>
        <w:t xml:space="preserve">№ 944 </w:t>
      </w:r>
      <w:r w:rsidR="00124FFA">
        <w:rPr>
          <w:sz w:val="28"/>
          <w:szCs w:val="28"/>
        </w:rPr>
        <w:t xml:space="preserve">і зміни до нього </w:t>
      </w:r>
      <w:r w:rsidRPr="00864B9E">
        <w:rPr>
          <w:sz w:val="28"/>
          <w:szCs w:val="28"/>
        </w:rPr>
        <w:t xml:space="preserve">та затвердження </w:t>
      </w:r>
      <w:r w:rsidR="00124FFA">
        <w:rPr>
          <w:sz w:val="28"/>
          <w:szCs w:val="28"/>
        </w:rPr>
        <w:t>Ф</w:t>
      </w:r>
      <w:r w:rsidRPr="00864B9E">
        <w:rPr>
          <w:sz w:val="28"/>
          <w:szCs w:val="28"/>
        </w:rPr>
        <w:t>ормату даних, структури</w:t>
      </w:r>
      <w:r w:rsidR="008F1C66">
        <w:rPr>
          <w:sz w:val="28"/>
          <w:szCs w:val="28"/>
        </w:rPr>
        <w:t xml:space="preserve">, </w:t>
      </w:r>
      <w:r w:rsidRPr="00864B9E">
        <w:rPr>
          <w:sz w:val="28"/>
          <w:szCs w:val="28"/>
        </w:rPr>
        <w:t xml:space="preserve">форм </w:t>
      </w:r>
      <w:r w:rsidR="008F1C66">
        <w:rPr>
          <w:sz w:val="28"/>
          <w:szCs w:val="28"/>
        </w:rPr>
        <w:t xml:space="preserve">та Порядку заповнення </w:t>
      </w:r>
      <w:r w:rsidRPr="00864B9E">
        <w:rPr>
          <w:sz w:val="28"/>
          <w:szCs w:val="28"/>
        </w:rPr>
        <w:t xml:space="preserve">електронних документів для наповнення Єдиного державного реєстру витратомірів-лічильників і рівнемірів-лічильників рівня пального у резервуарі, </w:t>
      </w:r>
      <w:r>
        <w:rPr>
          <w:sz w:val="28"/>
          <w:szCs w:val="28"/>
        </w:rPr>
        <w:t>у</w:t>
      </w:r>
      <w:r w:rsidRPr="00864B9E">
        <w:rPr>
          <w:sz w:val="28"/>
          <w:szCs w:val="28"/>
        </w:rPr>
        <w:t xml:space="preserve"> яких:</w:t>
      </w:r>
      <w:bookmarkStart w:id="0" w:name="_GoBack"/>
      <w:bookmarkEnd w:id="0"/>
    </w:p>
    <w:p w:rsidR="00980871" w:rsidRPr="00864B9E" w:rsidRDefault="00980871" w:rsidP="00980871">
      <w:pPr>
        <w:pStyle w:val="a3"/>
        <w:spacing w:before="0" w:beforeAutospacing="0" w:after="0" w:afterAutospacing="0"/>
        <w:ind w:firstLine="567"/>
        <w:contextualSpacing/>
        <w:jc w:val="both"/>
        <w:rPr>
          <w:sz w:val="28"/>
          <w:szCs w:val="28"/>
          <w:lang w:val="uk-UA"/>
        </w:rPr>
      </w:pPr>
      <w:r w:rsidRPr="00864B9E">
        <w:rPr>
          <w:sz w:val="28"/>
          <w:szCs w:val="28"/>
          <w:lang w:val="uk-UA"/>
        </w:rPr>
        <w:t xml:space="preserve">обсяги </w:t>
      </w:r>
      <w:r w:rsidRPr="00864B9E">
        <w:rPr>
          <w:sz w:val="28"/>
          <w:szCs w:val="28"/>
        </w:rPr>
        <w:t>скрапленого газу, інших газів, бутану, ізобутану</w:t>
      </w:r>
      <w:r w:rsidRPr="00864B9E">
        <w:rPr>
          <w:sz w:val="28"/>
          <w:szCs w:val="28"/>
          <w:lang w:val="uk-UA"/>
        </w:rPr>
        <w:t xml:space="preserve"> в електронних документах відображаються </w:t>
      </w:r>
      <w:r w:rsidRPr="00864B9E">
        <w:rPr>
          <w:sz w:val="28"/>
          <w:szCs w:val="28"/>
        </w:rPr>
        <w:t>за умовним кодом</w:t>
      </w:r>
      <w:r w:rsidRPr="00864B9E">
        <w:rPr>
          <w:sz w:val="28"/>
          <w:szCs w:val="28"/>
          <w:lang w:val="uk-UA"/>
        </w:rPr>
        <w:t>;</w:t>
      </w:r>
    </w:p>
    <w:p w:rsidR="00980871" w:rsidRPr="00864B9E" w:rsidRDefault="00980871" w:rsidP="00980871">
      <w:pPr>
        <w:pStyle w:val="a3"/>
        <w:spacing w:before="0" w:beforeAutospacing="0" w:after="0" w:afterAutospacing="0"/>
        <w:ind w:firstLine="567"/>
        <w:jc w:val="both"/>
        <w:rPr>
          <w:sz w:val="28"/>
          <w:szCs w:val="28"/>
          <w:lang w:val="uk-UA"/>
        </w:rPr>
      </w:pPr>
      <w:r w:rsidRPr="00864B9E">
        <w:rPr>
          <w:sz w:val="28"/>
          <w:szCs w:val="28"/>
          <w:lang w:val="uk-UA"/>
        </w:rPr>
        <w:t xml:space="preserve">запроваджуються форми електронних документів, якими </w:t>
      </w:r>
      <w:r w:rsidRPr="00864B9E">
        <w:rPr>
          <w:bCs/>
          <w:sz w:val="28"/>
          <w:szCs w:val="28"/>
        </w:rPr>
        <w:t xml:space="preserve">платниками направляються до контролюючого органу </w:t>
      </w:r>
      <w:r w:rsidRPr="00864B9E">
        <w:rPr>
          <w:sz w:val="28"/>
          <w:szCs w:val="28"/>
        </w:rPr>
        <w:t>облікові дані з витратомірів і рівнемірів</w:t>
      </w:r>
      <w:r w:rsidRPr="00864B9E">
        <w:rPr>
          <w:sz w:val="28"/>
          <w:szCs w:val="28"/>
          <w:lang w:val="uk-UA"/>
        </w:rPr>
        <w:t xml:space="preserve">, залежно від специфіки господарської діяльності, зокрема передбачено окремі форми таких документів для </w:t>
      </w:r>
      <w:r w:rsidRPr="00864B9E">
        <w:rPr>
          <w:sz w:val="28"/>
          <w:szCs w:val="28"/>
        </w:rPr>
        <w:t>акцизн</w:t>
      </w:r>
      <w:r w:rsidRPr="00864B9E">
        <w:rPr>
          <w:sz w:val="28"/>
          <w:szCs w:val="28"/>
          <w:lang w:val="uk-UA"/>
        </w:rPr>
        <w:t>их</w:t>
      </w:r>
      <w:r w:rsidRPr="00864B9E">
        <w:rPr>
          <w:sz w:val="28"/>
          <w:szCs w:val="28"/>
        </w:rPr>
        <w:t xml:space="preserve"> склад</w:t>
      </w:r>
      <w:r w:rsidRPr="00864B9E">
        <w:rPr>
          <w:sz w:val="28"/>
          <w:szCs w:val="28"/>
          <w:lang w:val="uk-UA"/>
        </w:rPr>
        <w:t xml:space="preserve">ів виробників пального, на яких </w:t>
      </w:r>
      <w:r w:rsidRPr="00864B9E">
        <w:rPr>
          <w:sz w:val="28"/>
          <w:szCs w:val="28"/>
        </w:rPr>
        <w:t xml:space="preserve">здійснюється </w:t>
      </w:r>
      <w:r w:rsidR="004F1A72" w:rsidRPr="00864B9E">
        <w:rPr>
          <w:sz w:val="28"/>
          <w:szCs w:val="28"/>
        </w:rPr>
        <w:t xml:space="preserve">діяльність </w:t>
      </w:r>
      <w:r w:rsidR="004F1A72" w:rsidRPr="00CD76AB">
        <w:rPr>
          <w:sz w:val="28"/>
          <w:szCs w:val="28"/>
        </w:rPr>
        <w:t xml:space="preserve">з переробки нафти, газового конденсату, природного газу та їх суміші, з очищення коксового газу, з метою </w:t>
      </w:r>
      <w:r w:rsidR="004F1A72" w:rsidRPr="00CD76AB">
        <w:rPr>
          <w:sz w:val="28"/>
          <w:szCs w:val="28"/>
        </w:rPr>
        <w:lastRenderedPageBreak/>
        <w:t>вилучення цільових компонентів (сировини), що передбачає повний технологічний цикл їх переробки в готову продукцію (пальне)</w:t>
      </w:r>
      <w:r w:rsidRPr="00864B9E">
        <w:rPr>
          <w:sz w:val="28"/>
          <w:szCs w:val="28"/>
          <w:lang w:val="uk-UA"/>
        </w:rPr>
        <w:t xml:space="preserve">; для </w:t>
      </w:r>
      <w:r w:rsidRPr="00864B9E">
        <w:rPr>
          <w:sz w:val="28"/>
          <w:szCs w:val="28"/>
        </w:rPr>
        <w:t>акцизн</w:t>
      </w:r>
      <w:r w:rsidRPr="00864B9E">
        <w:rPr>
          <w:sz w:val="28"/>
          <w:szCs w:val="28"/>
          <w:lang w:val="uk-UA"/>
        </w:rPr>
        <w:t>их</w:t>
      </w:r>
      <w:r w:rsidRPr="00864B9E">
        <w:rPr>
          <w:sz w:val="28"/>
          <w:szCs w:val="28"/>
        </w:rPr>
        <w:t xml:space="preserve"> складі</w:t>
      </w:r>
      <w:r w:rsidRPr="00864B9E">
        <w:rPr>
          <w:sz w:val="28"/>
          <w:szCs w:val="28"/>
          <w:lang w:val="uk-UA"/>
        </w:rPr>
        <w:t>в</w:t>
      </w:r>
      <w:r w:rsidRPr="00864B9E">
        <w:rPr>
          <w:sz w:val="28"/>
          <w:szCs w:val="28"/>
        </w:rPr>
        <w:t>, як</w:t>
      </w:r>
      <w:r w:rsidRPr="00864B9E">
        <w:rPr>
          <w:sz w:val="28"/>
          <w:szCs w:val="28"/>
          <w:lang w:val="uk-UA"/>
        </w:rPr>
        <w:t>і</w:t>
      </w:r>
      <w:r w:rsidRPr="00864B9E">
        <w:rPr>
          <w:sz w:val="28"/>
          <w:szCs w:val="28"/>
        </w:rPr>
        <w:t xml:space="preserve"> є місцем роздрібної торгівлі пальним, на яке отримано ліцензію на право роздрібної торгівлі пальним</w:t>
      </w:r>
      <w:r w:rsidRPr="00864B9E">
        <w:rPr>
          <w:sz w:val="28"/>
          <w:szCs w:val="28"/>
          <w:lang w:val="uk-UA"/>
        </w:rPr>
        <w:t xml:space="preserve">; </w:t>
      </w:r>
    </w:p>
    <w:p w:rsidR="00980871" w:rsidRPr="00864B9E" w:rsidRDefault="00980871" w:rsidP="00980871">
      <w:pPr>
        <w:pStyle w:val="a3"/>
        <w:spacing w:before="0" w:beforeAutospacing="0" w:after="0" w:afterAutospacing="0"/>
        <w:ind w:firstLine="567"/>
        <w:contextualSpacing/>
        <w:jc w:val="both"/>
        <w:rPr>
          <w:sz w:val="28"/>
          <w:szCs w:val="28"/>
          <w:lang w:val="uk-UA"/>
        </w:rPr>
      </w:pPr>
      <w:r w:rsidRPr="00864B9E">
        <w:rPr>
          <w:sz w:val="28"/>
          <w:szCs w:val="28"/>
          <w:lang w:val="uk-UA"/>
        </w:rPr>
        <w:t xml:space="preserve">встановлюються чіткі правила заповнення електронних документів,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p>
    <w:p w:rsidR="00980871" w:rsidRDefault="00980871" w:rsidP="00980871">
      <w:pPr>
        <w:pStyle w:val="3"/>
        <w:tabs>
          <w:tab w:val="left" w:pos="720"/>
        </w:tabs>
        <w:spacing w:before="0" w:beforeAutospacing="0" w:after="0" w:afterAutospacing="0"/>
        <w:ind w:firstLine="567"/>
        <w:jc w:val="both"/>
        <w:rPr>
          <w:b w:val="0"/>
          <w:sz w:val="28"/>
          <w:szCs w:val="28"/>
          <w:lang w:val="uk-UA"/>
        </w:rPr>
      </w:pPr>
      <w:r w:rsidRPr="00864B9E">
        <w:rPr>
          <w:b w:val="0"/>
          <w:sz w:val="28"/>
          <w:szCs w:val="28"/>
          <w:lang w:val="uk-UA"/>
        </w:rPr>
        <w:t xml:space="preserve">Врегулювання зазначених заходів не </w:t>
      </w:r>
      <w:r w:rsidRPr="00345D98">
        <w:rPr>
          <w:b w:val="0"/>
          <w:sz w:val="28"/>
          <w:szCs w:val="28"/>
          <w:lang w:val="uk-UA"/>
        </w:rPr>
        <w:t>може бути здійснено за допомогою ринкових механізмів, оскільки такі питання регулюються виключно</w:t>
      </w:r>
      <w:r w:rsidR="00345D98" w:rsidRPr="00345D98">
        <w:rPr>
          <w:b w:val="0"/>
          <w:sz w:val="28"/>
          <w:szCs w:val="28"/>
          <w:lang w:val="uk-UA"/>
        </w:rPr>
        <w:t xml:space="preserve"> </w:t>
      </w:r>
      <w:r w:rsidRPr="00345D98">
        <w:rPr>
          <w:b w:val="0"/>
          <w:sz w:val="28"/>
          <w:szCs w:val="28"/>
          <w:lang w:val="uk-UA"/>
        </w:rPr>
        <w:t>нормативно-правовими актами; чинних регуляторних актів, тому що такі регуляторні акти відсутні.</w:t>
      </w:r>
      <w:r w:rsidR="007E7404">
        <w:rPr>
          <w:b w:val="0"/>
          <w:sz w:val="28"/>
          <w:szCs w:val="28"/>
          <w:lang w:val="uk-UA"/>
        </w:rPr>
        <w:t xml:space="preserve"> </w:t>
      </w:r>
    </w:p>
    <w:p w:rsidR="00980871" w:rsidRPr="00864B9E" w:rsidRDefault="00980871" w:rsidP="00980871">
      <w:pPr>
        <w:pStyle w:val="3"/>
        <w:jc w:val="center"/>
        <w:rPr>
          <w:sz w:val="28"/>
          <w:szCs w:val="28"/>
          <w:lang w:val="uk-UA"/>
        </w:rPr>
      </w:pPr>
      <w:r w:rsidRPr="00864B9E">
        <w:rPr>
          <w:sz w:val="28"/>
          <w:szCs w:val="28"/>
          <w:lang w:val="uk-UA"/>
        </w:rPr>
        <w:t xml:space="preserve">VІ. Оцінка виконання вимог регуляторного </w:t>
      </w:r>
      <w:proofErr w:type="spellStart"/>
      <w:r w:rsidRPr="00864B9E">
        <w:rPr>
          <w:sz w:val="28"/>
          <w:szCs w:val="28"/>
          <w:lang w:val="uk-UA"/>
        </w:rPr>
        <w:t>акта</w:t>
      </w:r>
      <w:proofErr w:type="spellEnd"/>
      <w:r w:rsidRPr="00864B9E">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980871" w:rsidRPr="00864B9E" w:rsidRDefault="00980871" w:rsidP="00980871">
      <w:pPr>
        <w:pStyle w:val="a3"/>
        <w:spacing w:before="0" w:beforeAutospacing="0" w:after="0" w:afterAutospacing="0"/>
        <w:ind w:firstLine="567"/>
        <w:jc w:val="both"/>
        <w:rPr>
          <w:sz w:val="28"/>
          <w:szCs w:val="28"/>
          <w:lang w:val="uk-UA"/>
        </w:rPr>
      </w:pPr>
      <w:r w:rsidRPr="00864B9E">
        <w:rPr>
          <w:sz w:val="28"/>
          <w:szCs w:val="28"/>
          <w:lang w:val="uk-UA"/>
        </w:rPr>
        <w:t xml:space="preserve">Витрати на виконання вимог регуляторного </w:t>
      </w:r>
      <w:proofErr w:type="spellStart"/>
      <w:r w:rsidRPr="00864B9E">
        <w:rPr>
          <w:sz w:val="28"/>
          <w:szCs w:val="28"/>
          <w:lang w:val="uk-UA"/>
        </w:rPr>
        <w:t>акта</w:t>
      </w:r>
      <w:proofErr w:type="spellEnd"/>
      <w:r w:rsidRPr="00864B9E">
        <w:rPr>
          <w:sz w:val="28"/>
          <w:szCs w:val="28"/>
          <w:lang w:val="uk-UA"/>
        </w:rPr>
        <w:t xml:space="preserve"> для органів виконавчої влади здійснюватимуться в межах видатків державного бюджету, передбачених на відповідний бюджетний рік.</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864B9E">
        <w:rPr>
          <w:bCs/>
          <w:sz w:val="28"/>
          <w:szCs w:val="28"/>
        </w:rPr>
        <w:t xml:space="preserve">Витрати на заповнення форм довідок, передбачених </w:t>
      </w:r>
      <w:r w:rsidR="00725363">
        <w:rPr>
          <w:bCs/>
          <w:sz w:val="28"/>
          <w:szCs w:val="28"/>
          <w:lang w:val="ru-RU"/>
        </w:rPr>
        <w:t>П</w:t>
      </w:r>
      <w:proofErr w:type="spellStart"/>
      <w:r w:rsidRPr="00864B9E">
        <w:rPr>
          <w:bCs/>
          <w:sz w:val="28"/>
          <w:szCs w:val="28"/>
        </w:rPr>
        <w:t>ро</w:t>
      </w:r>
      <w:r>
        <w:rPr>
          <w:bCs/>
          <w:sz w:val="28"/>
          <w:szCs w:val="28"/>
        </w:rPr>
        <w:t>є</w:t>
      </w:r>
      <w:r w:rsidRPr="00864B9E">
        <w:rPr>
          <w:bCs/>
          <w:sz w:val="28"/>
          <w:szCs w:val="28"/>
        </w:rPr>
        <w:t>ктом</w:t>
      </w:r>
      <w:proofErr w:type="spellEnd"/>
      <w:r w:rsidRPr="00864B9E">
        <w:rPr>
          <w:bCs/>
          <w:sz w:val="28"/>
          <w:szCs w:val="28"/>
        </w:rPr>
        <w:t xml:space="preserve"> регуляторного </w:t>
      </w:r>
      <w:proofErr w:type="spellStart"/>
      <w:r w:rsidRPr="00864B9E">
        <w:rPr>
          <w:bCs/>
          <w:sz w:val="28"/>
          <w:szCs w:val="28"/>
        </w:rPr>
        <w:t>акта</w:t>
      </w:r>
      <w:proofErr w:type="spellEnd"/>
      <w:r w:rsidRPr="00864B9E">
        <w:rPr>
          <w:bCs/>
          <w:sz w:val="28"/>
          <w:szCs w:val="28"/>
        </w:rPr>
        <w:t>, можуть скласти п</w:t>
      </w:r>
      <w:r w:rsidR="00481922">
        <w:rPr>
          <w:bCs/>
          <w:sz w:val="28"/>
          <w:szCs w:val="28"/>
        </w:rPr>
        <w:t xml:space="preserve">риблизно </w:t>
      </w:r>
      <w:r w:rsidR="00481922" w:rsidRPr="003E1808">
        <w:rPr>
          <w:bCs/>
          <w:sz w:val="28"/>
          <w:szCs w:val="28"/>
        </w:rPr>
        <w:t>280,23</w:t>
      </w:r>
      <w:r w:rsidR="00481922">
        <w:rPr>
          <w:bCs/>
          <w:sz w:val="28"/>
          <w:szCs w:val="28"/>
        </w:rPr>
        <w:t xml:space="preserve"> години/рік та </w:t>
      </w:r>
      <w:r w:rsidRPr="003E1808">
        <w:rPr>
          <w:bCs/>
          <w:sz w:val="28"/>
          <w:szCs w:val="28"/>
        </w:rPr>
        <w:t>28</w:t>
      </w:r>
      <w:r w:rsidR="00481922" w:rsidRPr="003E1808">
        <w:rPr>
          <w:bCs/>
          <w:sz w:val="28"/>
          <w:szCs w:val="28"/>
          <w:lang w:val="ru-RU"/>
        </w:rPr>
        <w:t> </w:t>
      </w:r>
      <w:r w:rsidRPr="003E1808">
        <w:rPr>
          <w:bCs/>
          <w:sz w:val="28"/>
          <w:szCs w:val="28"/>
        </w:rPr>
        <w:t>8</w:t>
      </w:r>
      <w:r w:rsidR="00F51121" w:rsidRPr="003E1808">
        <w:rPr>
          <w:bCs/>
          <w:sz w:val="28"/>
          <w:szCs w:val="28"/>
        </w:rPr>
        <w:t>45</w:t>
      </w:r>
      <w:r w:rsidR="00481922" w:rsidRPr="003E1808">
        <w:rPr>
          <w:bCs/>
          <w:sz w:val="28"/>
          <w:szCs w:val="28"/>
          <w:lang w:val="ru-RU"/>
        </w:rPr>
        <w:t> </w:t>
      </w:r>
      <w:r w:rsidRPr="003E1808">
        <w:rPr>
          <w:bCs/>
          <w:sz w:val="28"/>
          <w:szCs w:val="28"/>
        </w:rPr>
        <w:t>гривень/</w:t>
      </w:r>
      <w:r w:rsidRPr="00864B9E">
        <w:rPr>
          <w:bCs/>
          <w:sz w:val="28"/>
          <w:szCs w:val="28"/>
        </w:rPr>
        <w:t>рік за однією точкою контролю.</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864B9E">
        <w:rPr>
          <w:bCs/>
          <w:sz w:val="28"/>
          <w:szCs w:val="28"/>
        </w:rPr>
        <w:t xml:space="preserve">Сумарні витрати суб’єктів господарювання на заповнення форм довідок, передбачених </w:t>
      </w:r>
      <w:proofErr w:type="spellStart"/>
      <w:r w:rsidRPr="00864B9E">
        <w:rPr>
          <w:bCs/>
          <w:sz w:val="28"/>
          <w:szCs w:val="28"/>
        </w:rPr>
        <w:t>про</w:t>
      </w:r>
      <w:r>
        <w:rPr>
          <w:bCs/>
          <w:sz w:val="28"/>
          <w:szCs w:val="28"/>
        </w:rPr>
        <w:t>є</w:t>
      </w:r>
      <w:r w:rsidRPr="00864B9E">
        <w:rPr>
          <w:bCs/>
          <w:sz w:val="28"/>
          <w:szCs w:val="28"/>
        </w:rPr>
        <w:t>ктом</w:t>
      </w:r>
      <w:proofErr w:type="spellEnd"/>
      <w:r w:rsidRPr="00864B9E">
        <w:rPr>
          <w:bCs/>
          <w:sz w:val="28"/>
          <w:szCs w:val="28"/>
        </w:rPr>
        <w:t xml:space="preserve"> регуляторного </w:t>
      </w:r>
      <w:proofErr w:type="spellStart"/>
      <w:r w:rsidRPr="00864B9E">
        <w:rPr>
          <w:bCs/>
          <w:sz w:val="28"/>
          <w:szCs w:val="28"/>
        </w:rPr>
        <w:t>акта</w:t>
      </w:r>
      <w:proofErr w:type="spellEnd"/>
      <w:r w:rsidRPr="00864B9E">
        <w:rPr>
          <w:bCs/>
          <w:sz w:val="28"/>
          <w:szCs w:val="28"/>
        </w:rPr>
        <w:t>, можуть скласти приблизно:</w:t>
      </w:r>
    </w:p>
    <w:p w:rsidR="00980871" w:rsidRPr="00864B9E" w:rsidRDefault="00776A81" w:rsidP="00980871">
      <w:pPr>
        <w:widowControl w:val="0"/>
        <w:tabs>
          <w:tab w:val="left" w:pos="720"/>
        </w:tabs>
        <w:autoSpaceDE w:val="0"/>
        <w:autoSpaceDN w:val="0"/>
        <w:adjustRightInd w:val="0"/>
        <w:ind w:firstLine="567"/>
        <w:jc w:val="both"/>
        <w:rPr>
          <w:bCs/>
          <w:sz w:val="28"/>
          <w:szCs w:val="28"/>
        </w:rPr>
      </w:pPr>
      <w:r w:rsidRPr="00776A81">
        <w:rPr>
          <w:spacing w:val="-3"/>
          <w:sz w:val="28"/>
        </w:rPr>
        <w:t>1 423 568,4</w:t>
      </w:r>
      <w:r w:rsidRPr="005D41CA">
        <w:rPr>
          <w:spacing w:val="-3"/>
          <w:sz w:val="28"/>
        </w:rPr>
        <w:t xml:space="preserve"> </w:t>
      </w:r>
      <w:r w:rsidR="00980871" w:rsidRPr="00864B9E">
        <w:rPr>
          <w:bCs/>
          <w:sz w:val="28"/>
          <w:szCs w:val="28"/>
        </w:rPr>
        <w:t>години/рік;</w:t>
      </w:r>
    </w:p>
    <w:p w:rsidR="00980871" w:rsidRPr="00864B9E" w:rsidRDefault="00776A81" w:rsidP="00980871">
      <w:pPr>
        <w:widowControl w:val="0"/>
        <w:tabs>
          <w:tab w:val="left" w:pos="720"/>
        </w:tabs>
        <w:autoSpaceDE w:val="0"/>
        <w:autoSpaceDN w:val="0"/>
        <w:adjustRightInd w:val="0"/>
        <w:ind w:firstLine="567"/>
        <w:jc w:val="both"/>
        <w:rPr>
          <w:bCs/>
          <w:sz w:val="28"/>
          <w:szCs w:val="28"/>
        </w:rPr>
      </w:pPr>
      <w:r w:rsidRPr="00776A81">
        <w:rPr>
          <w:spacing w:val="-3"/>
          <w:sz w:val="28"/>
        </w:rPr>
        <w:t>146 532 600</w:t>
      </w:r>
      <w:r w:rsidR="007705C7" w:rsidRPr="00776A81">
        <w:rPr>
          <w:spacing w:val="-3"/>
          <w:sz w:val="32"/>
        </w:rPr>
        <w:t> </w:t>
      </w:r>
      <w:r w:rsidR="00980871" w:rsidRPr="00864B9E">
        <w:rPr>
          <w:bCs/>
          <w:sz w:val="28"/>
          <w:szCs w:val="28"/>
        </w:rPr>
        <w:t>гривень/рік.</w:t>
      </w:r>
    </w:p>
    <w:p w:rsidR="00980871" w:rsidRPr="00864B9E" w:rsidRDefault="00980871" w:rsidP="00980871">
      <w:pPr>
        <w:widowControl w:val="0"/>
        <w:tabs>
          <w:tab w:val="left" w:pos="720"/>
        </w:tabs>
        <w:autoSpaceDE w:val="0"/>
        <w:autoSpaceDN w:val="0"/>
        <w:adjustRightInd w:val="0"/>
        <w:ind w:firstLine="567"/>
        <w:jc w:val="both"/>
        <w:rPr>
          <w:bCs/>
          <w:strike/>
          <w:sz w:val="28"/>
          <w:szCs w:val="28"/>
        </w:rPr>
      </w:pPr>
      <w:r w:rsidRPr="00864B9E">
        <w:rPr>
          <w:bCs/>
          <w:sz w:val="28"/>
          <w:szCs w:val="28"/>
        </w:rPr>
        <w:t xml:space="preserve">При цьому витрати можуть варіювати як у бік збільшення (у разі необхідності заповнення коригуючих довідок), так і в бік зменшення </w:t>
      </w:r>
      <w:r w:rsidRPr="00864B9E">
        <w:rPr>
          <w:sz w:val="28"/>
          <w:szCs w:val="28"/>
        </w:rPr>
        <w:t>(якщо акцизний склад не працює).</w:t>
      </w:r>
    </w:p>
    <w:p w:rsidR="00980871" w:rsidRPr="00864B9E" w:rsidRDefault="00980871" w:rsidP="00980871">
      <w:pPr>
        <w:pStyle w:val="3"/>
        <w:jc w:val="center"/>
        <w:rPr>
          <w:sz w:val="28"/>
          <w:szCs w:val="28"/>
          <w:lang w:val="uk-UA"/>
        </w:rPr>
      </w:pPr>
      <w:r w:rsidRPr="00864B9E">
        <w:rPr>
          <w:sz w:val="28"/>
          <w:szCs w:val="28"/>
          <w:lang w:val="uk-UA"/>
        </w:rPr>
        <w:t xml:space="preserve">VIІ. Обґрунтування запропонованого строку дії регуляторного </w:t>
      </w:r>
      <w:proofErr w:type="spellStart"/>
      <w:r w:rsidRPr="00864B9E">
        <w:rPr>
          <w:sz w:val="28"/>
          <w:szCs w:val="28"/>
          <w:lang w:val="uk-UA"/>
        </w:rPr>
        <w:t>акта</w:t>
      </w:r>
      <w:proofErr w:type="spellEnd"/>
    </w:p>
    <w:p w:rsidR="00980871" w:rsidRPr="00864B9E" w:rsidRDefault="00980871" w:rsidP="00980871">
      <w:pPr>
        <w:pStyle w:val="a3"/>
        <w:tabs>
          <w:tab w:val="left" w:pos="567"/>
        </w:tabs>
        <w:jc w:val="both"/>
        <w:rPr>
          <w:sz w:val="28"/>
          <w:szCs w:val="28"/>
          <w:lang w:val="uk-UA"/>
        </w:rPr>
      </w:pPr>
      <w:r w:rsidRPr="00864B9E">
        <w:rPr>
          <w:sz w:val="28"/>
          <w:szCs w:val="28"/>
          <w:lang w:val="uk-UA"/>
        </w:rPr>
        <w:tab/>
      </w:r>
      <w:r w:rsidRPr="00864B9E">
        <w:rPr>
          <w:sz w:val="28"/>
          <w:szCs w:val="28"/>
        </w:rPr>
        <w:t xml:space="preserve">Строк дії </w:t>
      </w:r>
      <w:proofErr w:type="spellStart"/>
      <w:r w:rsidRPr="00864B9E">
        <w:rPr>
          <w:sz w:val="28"/>
          <w:szCs w:val="28"/>
        </w:rPr>
        <w:t>Проєкту</w:t>
      </w:r>
      <w:proofErr w:type="spellEnd"/>
      <w:r w:rsidRPr="00864B9E">
        <w:rPr>
          <w:sz w:val="28"/>
          <w:szCs w:val="28"/>
        </w:rPr>
        <w:t xml:space="preserve"> є необмеженим </w:t>
      </w:r>
      <w:r w:rsidRPr="00864B9E">
        <w:rPr>
          <w:sz w:val="28"/>
          <w:szCs w:val="28"/>
          <w:lang w:val="uk-UA"/>
        </w:rPr>
        <w:t xml:space="preserve">до виключення норм Кодексу або внесення до них змін, що передбачатиме необхідність прийняття відповідного регуляторного </w:t>
      </w:r>
      <w:proofErr w:type="spellStart"/>
      <w:r w:rsidRPr="00864B9E">
        <w:rPr>
          <w:sz w:val="28"/>
          <w:szCs w:val="28"/>
          <w:lang w:val="uk-UA"/>
        </w:rPr>
        <w:t>акта</w:t>
      </w:r>
      <w:proofErr w:type="spellEnd"/>
      <w:r w:rsidRPr="00864B9E">
        <w:rPr>
          <w:sz w:val="28"/>
          <w:szCs w:val="28"/>
          <w:lang w:val="uk-UA"/>
        </w:rPr>
        <w:t>.</w:t>
      </w:r>
    </w:p>
    <w:p w:rsidR="00980871" w:rsidRPr="00864B9E" w:rsidRDefault="00980871" w:rsidP="00980871">
      <w:pPr>
        <w:pStyle w:val="3"/>
        <w:jc w:val="center"/>
        <w:rPr>
          <w:sz w:val="28"/>
          <w:szCs w:val="28"/>
          <w:lang w:val="uk-UA"/>
        </w:rPr>
      </w:pPr>
      <w:r w:rsidRPr="00864B9E">
        <w:rPr>
          <w:sz w:val="28"/>
          <w:szCs w:val="28"/>
          <w:lang w:val="uk-UA"/>
        </w:rPr>
        <w:t xml:space="preserve">VIIІ. Визначення показників результативності дії регуляторного </w:t>
      </w:r>
      <w:proofErr w:type="spellStart"/>
      <w:r w:rsidRPr="00864B9E">
        <w:rPr>
          <w:sz w:val="28"/>
          <w:szCs w:val="28"/>
          <w:lang w:val="uk-UA"/>
        </w:rPr>
        <w:t>акта</w:t>
      </w:r>
      <w:proofErr w:type="spellEnd"/>
    </w:p>
    <w:p w:rsidR="00980871" w:rsidRPr="00864B9E" w:rsidRDefault="00980871" w:rsidP="00980871">
      <w:pPr>
        <w:tabs>
          <w:tab w:val="left" w:pos="567"/>
        </w:tabs>
        <w:ind w:firstLine="567"/>
        <w:jc w:val="both"/>
        <w:rPr>
          <w:iCs/>
          <w:sz w:val="28"/>
          <w:szCs w:val="28"/>
        </w:rPr>
      </w:pPr>
      <w:r w:rsidRPr="00864B9E">
        <w:rPr>
          <w:sz w:val="28"/>
          <w:szCs w:val="28"/>
        </w:rPr>
        <w:t xml:space="preserve">1. </w:t>
      </w:r>
      <w:r w:rsidRPr="00864B9E">
        <w:rPr>
          <w:iCs/>
          <w:sz w:val="28"/>
          <w:szCs w:val="28"/>
        </w:rPr>
        <w:t xml:space="preserve">Кількість суб’єктів господарювання, на яких поширюватиметься дія регуляторного </w:t>
      </w:r>
      <w:proofErr w:type="spellStart"/>
      <w:r w:rsidRPr="00864B9E">
        <w:rPr>
          <w:iCs/>
          <w:sz w:val="28"/>
          <w:szCs w:val="28"/>
        </w:rPr>
        <w:t>акта</w:t>
      </w:r>
      <w:proofErr w:type="spellEnd"/>
      <w:r w:rsidRPr="00864B9E">
        <w:rPr>
          <w:iCs/>
          <w:sz w:val="28"/>
          <w:szCs w:val="28"/>
        </w:rPr>
        <w:t xml:space="preserve">, </w:t>
      </w:r>
      <w:r w:rsidRPr="00251C17">
        <w:rPr>
          <w:iCs/>
          <w:sz w:val="28"/>
          <w:szCs w:val="28"/>
        </w:rPr>
        <w:t xml:space="preserve">становить </w:t>
      </w:r>
      <w:r w:rsidR="0087397D" w:rsidRPr="00251C17">
        <w:rPr>
          <w:iCs/>
          <w:sz w:val="28"/>
          <w:szCs w:val="28"/>
        </w:rPr>
        <w:t>3 660</w:t>
      </w:r>
      <w:r w:rsidRPr="00251C17">
        <w:t xml:space="preserve"> </w:t>
      </w:r>
      <w:r w:rsidRPr="00251C17">
        <w:rPr>
          <w:sz w:val="28"/>
          <w:szCs w:val="28"/>
        </w:rPr>
        <w:t>одиниц</w:t>
      </w:r>
      <w:r w:rsidR="003B5313" w:rsidRPr="00251C17">
        <w:rPr>
          <w:sz w:val="28"/>
          <w:szCs w:val="28"/>
        </w:rPr>
        <w:t>ь</w:t>
      </w:r>
      <w:r w:rsidRPr="00864B9E">
        <w:rPr>
          <w:sz w:val="28"/>
          <w:szCs w:val="28"/>
        </w:rPr>
        <w:t xml:space="preserve">. </w:t>
      </w:r>
    </w:p>
    <w:p w:rsidR="00980871" w:rsidRPr="00864B9E" w:rsidRDefault="00980871" w:rsidP="00980871">
      <w:pPr>
        <w:tabs>
          <w:tab w:val="left" w:pos="567"/>
        </w:tabs>
        <w:ind w:firstLine="567"/>
        <w:jc w:val="both"/>
        <w:rPr>
          <w:sz w:val="28"/>
          <w:szCs w:val="28"/>
        </w:rPr>
      </w:pPr>
      <w:r w:rsidRPr="00864B9E">
        <w:rPr>
          <w:iCs/>
          <w:sz w:val="28"/>
          <w:szCs w:val="28"/>
        </w:rPr>
        <w:t xml:space="preserve">2. Рівень поінформованості суб’єктів господарювання </w:t>
      </w:r>
      <w:r w:rsidRPr="00864B9E">
        <w:rPr>
          <w:sz w:val="28"/>
          <w:szCs w:val="28"/>
        </w:rPr>
        <w:t xml:space="preserve">– </w:t>
      </w:r>
      <w:r w:rsidRPr="00864B9E">
        <w:rPr>
          <w:iCs/>
          <w:sz w:val="28"/>
          <w:szCs w:val="28"/>
        </w:rPr>
        <w:t>середній.</w:t>
      </w:r>
      <w:r w:rsidRPr="00864B9E">
        <w:rPr>
          <w:sz w:val="28"/>
          <w:szCs w:val="28"/>
        </w:rPr>
        <w:t xml:space="preserve"> </w:t>
      </w:r>
      <w:proofErr w:type="spellStart"/>
      <w:r w:rsidRPr="00864B9E">
        <w:rPr>
          <w:sz w:val="28"/>
          <w:szCs w:val="28"/>
        </w:rPr>
        <w:t>Про</w:t>
      </w:r>
      <w:r>
        <w:rPr>
          <w:sz w:val="28"/>
          <w:szCs w:val="28"/>
        </w:rPr>
        <w:t>є</w:t>
      </w:r>
      <w:r w:rsidRPr="00864B9E">
        <w:rPr>
          <w:sz w:val="28"/>
          <w:szCs w:val="28"/>
        </w:rPr>
        <w:t>кт</w:t>
      </w:r>
      <w:proofErr w:type="spellEnd"/>
      <w:r w:rsidRPr="00864B9E">
        <w:rPr>
          <w:sz w:val="28"/>
          <w:szCs w:val="28"/>
        </w:rPr>
        <w:t xml:space="preserve"> наказу розміщено у мережі </w:t>
      </w:r>
      <w:r w:rsidR="001C0761">
        <w:rPr>
          <w:sz w:val="28"/>
          <w:szCs w:val="28"/>
        </w:rPr>
        <w:t>«</w:t>
      </w:r>
      <w:r w:rsidRPr="00864B9E">
        <w:rPr>
          <w:sz w:val="28"/>
          <w:szCs w:val="28"/>
        </w:rPr>
        <w:t>Інтернет</w:t>
      </w:r>
      <w:r w:rsidR="001C0761">
        <w:rPr>
          <w:sz w:val="28"/>
          <w:szCs w:val="28"/>
        </w:rPr>
        <w:t>»</w:t>
      </w:r>
      <w:r w:rsidRPr="00864B9E">
        <w:rPr>
          <w:sz w:val="28"/>
          <w:szCs w:val="28"/>
        </w:rPr>
        <w:t xml:space="preserve"> на офіційному </w:t>
      </w:r>
      <w:proofErr w:type="spellStart"/>
      <w:r w:rsidRPr="00864B9E">
        <w:rPr>
          <w:sz w:val="28"/>
          <w:szCs w:val="28"/>
        </w:rPr>
        <w:t>вебпорталі</w:t>
      </w:r>
      <w:proofErr w:type="spellEnd"/>
      <w:r w:rsidRPr="00864B9E">
        <w:rPr>
          <w:sz w:val="28"/>
          <w:szCs w:val="28"/>
        </w:rPr>
        <w:t xml:space="preserve"> Державної </w:t>
      </w:r>
      <w:r w:rsidRPr="00864B9E">
        <w:rPr>
          <w:sz w:val="28"/>
          <w:szCs w:val="28"/>
        </w:rPr>
        <w:lastRenderedPageBreak/>
        <w:t>податкової служби України для громадського обговорення. Після прийняття регуляторний акт буде оприлюднено у засобах масової інформації.</w:t>
      </w:r>
    </w:p>
    <w:p w:rsidR="00980871" w:rsidRPr="00251C17" w:rsidRDefault="00980871" w:rsidP="00980871">
      <w:pPr>
        <w:pStyle w:val="BodyTextIndent1"/>
        <w:tabs>
          <w:tab w:val="left" w:pos="567"/>
        </w:tabs>
        <w:ind w:firstLine="567"/>
        <w:rPr>
          <w:spacing w:val="-2"/>
        </w:rPr>
      </w:pPr>
      <w:r w:rsidRPr="00864B9E">
        <w:t>3</w:t>
      </w:r>
      <w:r w:rsidRPr="00864B9E">
        <w:rPr>
          <w:spacing w:val="-2"/>
        </w:rPr>
        <w:t xml:space="preserve">. </w:t>
      </w:r>
      <w:r w:rsidRPr="00251C17">
        <w:rPr>
          <w:spacing w:val="-2"/>
        </w:rPr>
        <w:t xml:space="preserve">Витрати щодо заповнення та направлення до контролюючого органу форм довідок, які передбачено затвердити </w:t>
      </w:r>
      <w:r w:rsidR="001A0ED2" w:rsidRPr="00251C17">
        <w:rPr>
          <w:spacing w:val="-2"/>
          <w:lang w:val="ru-RU"/>
        </w:rPr>
        <w:t>П</w:t>
      </w:r>
      <w:proofErr w:type="spellStart"/>
      <w:r w:rsidRPr="00251C17">
        <w:rPr>
          <w:spacing w:val="-2"/>
        </w:rPr>
        <w:t>роєктом</w:t>
      </w:r>
      <w:proofErr w:type="spellEnd"/>
      <w:r w:rsidRPr="00251C17">
        <w:rPr>
          <w:spacing w:val="-2"/>
        </w:rPr>
        <w:t xml:space="preserve"> регуляторного </w:t>
      </w:r>
      <w:proofErr w:type="spellStart"/>
      <w:r w:rsidRPr="00251C17">
        <w:rPr>
          <w:spacing w:val="-2"/>
        </w:rPr>
        <w:t>акта</w:t>
      </w:r>
      <w:proofErr w:type="spellEnd"/>
      <w:r w:rsidRPr="00251C17">
        <w:rPr>
          <w:spacing w:val="-2"/>
        </w:rPr>
        <w:t>, з однієї точки контролю становитимуть 280,23 години/рік та 28</w:t>
      </w:r>
      <w:r w:rsidR="0087397D" w:rsidRPr="00251C17">
        <w:rPr>
          <w:spacing w:val="-2"/>
        </w:rPr>
        <w:t> </w:t>
      </w:r>
      <w:r w:rsidRPr="00251C17">
        <w:rPr>
          <w:spacing w:val="-2"/>
        </w:rPr>
        <w:t>8</w:t>
      </w:r>
      <w:r w:rsidR="0087397D" w:rsidRPr="00251C17">
        <w:rPr>
          <w:spacing w:val="-2"/>
        </w:rPr>
        <w:t xml:space="preserve">45 </w:t>
      </w:r>
      <w:r w:rsidRPr="00251C17">
        <w:rPr>
          <w:spacing w:val="-2"/>
        </w:rPr>
        <w:t>гривень/рік.</w:t>
      </w:r>
    </w:p>
    <w:p w:rsidR="00980871" w:rsidRPr="00864B9E" w:rsidRDefault="00980871" w:rsidP="00980871">
      <w:pPr>
        <w:pStyle w:val="BodyTextIndent1"/>
        <w:tabs>
          <w:tab w:val="left" w:pos="567"/>
        </w:tabs>
        <w:ind w:firstLine="567"/>
        <w:rPr>
          <w:spacing w:val="-2"/>
        </w:rPr>
      </w:pPr>
      <w:r w:rsidRPr="00251C17">
        <w:rPr>
          <w:spacing w:val="-2"/>
        </w:rPr>
        <w:t xml:space="preserve">Додаткові показники результативності регуляторного </w:t>
      </w:r>
      <w:proofErr w:type="spellStart"/>
      <w:r w:rsidRPr="00251C17">
        <w:rPr>
          <w:spacing w:val="-2"/>
        </w:rPr>
        <w:t>акта</w:t>
      </w:r>
      <w:proofErr w:type="spellEnd"/>
      <w:r w:rsidRPr="00251C17">
        <w:rPr>
          <w:spacing w:val="-2"/>
        </w:rPr>
        <w:t>, які можливо</w:t>
      </w:r>
      <w:r w:rsidRPr="00864B9E">
        <w:rPr>
          <w:spacing w:val="-2"/>
        </w:rPr>
        <w:t xml:space="preserve"> буде отримати через рік після набрання ним чинності:</w:t>
      </w:r>
    </w:p>
    <w:p w:rsidR="00980871" w:rsidRPr="00864B9E" w:rsidRDefault="00980871" w:rsidP="00980871">
      <w:pPr>
        <w:pStyle w:val="BodyTextIndent1"/>
        <w:tabs>
          <w:tab w:val="left" w:pos="567"/>
        </w:tabs>
        <w:ind w:firstLine="567"/>
        <w:rPr>
          <w:iCs/>
        </w:rPr>
      </w:pPr>
      <w:r w:rsidRPr="00864B9E">
        <w:rPr>
          <w:spacing w:val="-2"/>
        </w:rPr>
        <w:t xml:space="preserve">кількість суб’єктів </w:t>
      </w:r>
      <w:r w:rsidRPr="00864B9E">
        <w:rPr>
          <w:iCs/>
        </w:rPr>
        <w:t>господарювання, якими направляються до контролюючого органу довідки, форми яких затверджено регуляторним актом;</w:t>
      </w:r>
    </w:p>
    <w:p w:rsidR="00654849" w:rsidRDefault="00980871" w:rsidP="00980871">
      <w:pPr>
        <w:pStyle w:val="BodyTextIndent1"/>
        <w:tabs>
          <w:tab w:val="left" w:pos="567"/>
        </w:tabs>
        <w:ind w:firstLine="567"/>
        <w:rPr>
          <w:iCs/>
        </w:rPr>
      </w:pPr>
      <w:r w:rsidRPr="00864B9E">
        <w:rPr>
          <w:iCs/>
        </w:rPr>
        <w:t>кількість точок контролю,</w:t>
      </w:r>
      <w:r w:rsidRPr="00864B9E">
        <w:rPr>
          <w:spacing w:val="-2"/>
        </w:rPr>
        <w:t xml:space="preserve"> по яки</w:t>
      </w:r>
      <w:r>
        <w:rPr>
          <w:spacing w:val="-2"/>
        </w:rPr>
        <w:t>х</w:t>
      </w:r>
      <w:r w:rsidRPr="00864B9E">
        <w:rPr>
          <w:spacing w:val="-2"/>
        </w:rPr>
        <w:t xml:space="preserve"> </w:t>
      </w:r>
      <w:r w:rsidRPr="00864B9E">
        <w:rPr>
          <w:iCs/>
        </w:rPr>
        <w:t>до контролюючого органу направляються довідки, форми яких затверджено регуляторним актом</w:t>
      </w:r>
      <w:r w:rsidR="006B46D6">
        <w:rPr>
          <w:iCs/>
        </w:rPr>
        <w:t>.</w:t>
      </w:r>
    </w:p>
    <w:p w:rsidR="002D7C7E" w:rsidRDefault="002D7C7E" w:rsidP="00980871">
      <w:pPr>
        <w:pStyle w:val="BodyTextIndent1"/>
        <w:tabs>
          <w:tab w:val="left" w:pos="567"/>
        </w:tabs>
        <w:ind w:firstLine="567"/>
        <w:rPr>
          <w:iCs/>
        </w:rPr>
      </w:pPr>
    </w:p>
    <w:p w:rsidR="00980871" w:rsidRPr="00864B9E" w:rsidRDefault="00980871" w:rsidP="00980871">
      <w:pPr>
        <w:pStyle w:val="3"/>
        <w:jc w:val="center"/>
        <w:rPr>
          <w:sz w:val="28"/>
          <w:szCs w:val="28"/>
          <w:lang w:val="uk-UA"/>
        </w:rPr>
      </w:pPr>
      <w:r w:rsidRPr="00864B9E">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864B9E">
        <w:rPr>
          <w:sz w:val="28"/>
          <w:szCs w:val="28"/>
          <w:lang w:val="uk-UA"/>
        </w:rPr>
        <w:t>акта</w:t>
      </w:r>
      <w:proofErr w:type="spellEnd"/>
    </w:p>
    <w:p w:rsidR="00980871" w:rsidRPr="00864B9E" w:rsidRDefault="00980871" w:rsidP="00654849">
      <w:pPr>
        <w:tabs>
          <w:tab w:val="left" w:pos="567"/>
        </w:tabs>
        <w:ind w:firstLine="567"/>
        <w:jc w:val="both"/>
        <w:rPr>
          <w:sz w:val="28"/>
          <w:szCs w:val="28"/>
        </w:rPr>
      </w:pPr>
      <w:r w:rsidRPr="00864B9E">
        <w:rPr>
          <w:sz w:val="28"/>
          <w:szCs w:val="28"/>
        </w:rPr>
        <w:t xml:space="preserve">Відстеження результативності дії регуляторного </w:t>
      </w:r>
      <w:proofErr w:type="spellStart"/>
      <w:r w:rsidRPr="00864B9E">
        <w:rPr>
          <w:sz w:val="28"/>
          <w:szCs w:val="28"/>
        </w:rPr>
        <w:t>акта</w:t>
      </w:r>
      <w:proofErr w:type="spellEnd"/>
      <w:r w:rsidRPr="00864B9E">
        <w:rPr>
          <w:sz w:val="28"/>
          <w:szCs w:val="28"/>
        </w:rPr>
        <w:t xml:space="preserve"> здійснюватиме Державна податкова служба України, оскільки вона є адміністратором та держателем </w:t>
      </w:r>
      <w:r w:rsidR="00CF6C13" w:rsidRPr="00864B9E">
        <w:rPr>
          <w:sz w:val="28"/>
          <w:szCs w:val="28"/>
        </w:rPr>
        <w:t>Єдиного державного реєстру витратомірів-лічильників і рівнемірів-лічильників рівня пального у резервуарі</w:t>
      </w:r>
      <w:r w:rsidRPr="00864B9E">
        <w:rPr>
          <w:sz w:val="28"/>
          <w:szCs w:val="28"/>
        </w:rPr>
        <w:t>.</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Щодо цього регуляторного </w:t>
      </w:r>
      <w:proofErr w:type="spellStart"/>
      <w:r w:rsidRPr="00864B9E">
        <w:rPr>
          <w:sz w:val="28"/>
          <w:szCs w:val="28"/>
          <w:lang w:val="uk-UA"/>
        </w:rPr>
        <w:t>акта</w:t>
      </w:r>
      <w:proofErr w:type="spellEnd"/>
      <w:r w:rsidRPr="00864B9E">
        <w:rPr>
          <w:sz w:val="28"/>
          <w:szCs w:val="28"/>
          <w:lang w:val="uk-UA"/>
        </w:rPr>
        <w:t xml:space="preserve"> повинно послідовно здійснюватися базове, повторне та періодичне відстеження його результативності</w:t>
      </w:r>
      <w:r>
        <w:rPr>
          <w:sz w:val="28"/>
          <w:szCs w:val="28"/>
          <w:lang w:val="uk-UA"/>
        </w:rPr>
        <w:t>, з</w:t>
      </w:r>
      <w:r w:rsidRPr="00864B9E">
        <w:rPr>
          <w:sz w:val="28"/>
          <w:szCs w:val="28"/>
          <w:lang w:val="uk-UA"/>
        </w:rPr>
        <w:t>окрема:</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базове відстеження результативності дії нормативно-правового </w:t>
      </w:r>
      <w:proofErr w:type="spellStart"/>
      <w:r w:rsidRPr="00864B9E">
        <w:rPr>
          <w:sz w:val="28"/>
          <w:szCs w:val="28"/>
          <w:lang w:val="uk-UA"/>
        </w:rPr>
        <w:t>акта</w:t>
      </w:r>
      <w:proofErr w:type="spellEnd"/>
      <w:r w:rsidRPr="00864B9E">
        <w:rPr>
          <w:sz w:val="28"/>
          <w:szCs w:val="28"/>
          <w:lang w:val="uk-UA"/>
        </w:rPr>
        <w:t xml:space="preserve"> буде проведено через один рік з дня набрання чинності регуляторним актом;</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повторне відстеження результативності – через два роки з дня набрання ним чинності, але не пізніше двох років з дня набрання чинності цим актом;</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864B9E">
        <w:rPr>
          <w:sz w:val="28"/>
          <w:szCs w:val="28"/>
          <w:lang w:val="uk-UA"/>
        </w:rPr>
        <w:t>акта</w:t>
      </w:r>
      <w:proofErr w:type="spellEnd"/>
      <w:r w:rsidRPr="00864B9E">
        <w:rPr>
          <w:sz w:val="28"/>
          <w:szCs w:val="28"/>
          <w:lang w:val="uk-UA"/>
        </w:rPr>
        <w:t>.</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У разі виявлення неврегульованих та проблемних питань, які передбачається встановлювати за допомогою аналізу якісних та кількісних показників цього </w:t>
      </w:r>
      <w:proofErr w:type="spellStart"/>
      <w:r w:rsidRPr="00864B9E">
        <w:rPr>
          <w:sz w:val="28"/>
          <w:szCs w:val="28"/>
          <w:lang w:val="uk-UA"/>
        </w:rPr>
        <w:t>акта</w:t>
      </w:r>
      <w:proofErr w:type="spellEnd"/>
      <w:r w:rsidRPr="00864B9E">
        <w:rPr>
          <w:sz w:val="28"/>
          <w:szCs w:val="28"/>
          <w:lang w:val="uk-UA"/>
        </w:rPr>
        <w:t>, розглядати</w:t>
      </w:r>
      <w:r w:rsidR="001C0761">
        <w:rPr>
          <w:sz w:val="28"/>
          <w:szCs w:val="28"/>
          <w:lang w:val="uk-UA"/>
        </w:rPr>
        <w:t>меться</w:t>
      </w:r>
      <w:r w:rsidRPr="00864B9E">
        <w:rPr>
          <w:sz w:val="28"/>
          <w:szCs w:val="28"/>
          <w:lang w:val="uk-UA"/>
        </w:rPr>
        <w:t xml:space="preserve"> можливість їх виправлення шляхом внесення відповідних змін.</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Вид даних, за допомогою яких здійснюватиметься відстеження результативності, – статистичні шляхом аналізу даних інформаційних ресурсів Державної податкової служби України.</w:t>
      </w:r>
    </w:p>
    <w:p w:rsidR="00980871" w:rsidRDefault="00980871" w:rsidP="00980871">
      <w:pPr>
        <w:pStyle w:val="a3"/>
        <w:spacing w:before="0" w:beforeAutospacing="0" w:after="0" w:afterAutospacing="0" w:line="230" w:lineRule="auto"/>
        <w:ind w:firstLine="567"/>
        <w:jc w:val="both"/>
        <w:rPr>
          <w:sz w:val="28"/>
          <w:szCs w:val="28"/>
          <w:lang w:val="uk-UA"/>
        </w:rPr>
      </w:pPr>
    </w:p>
    <w:p w:rsidR="00980871" w:rsidRPr="00864B9E" w:rsidRDefault="00980871" w:rsidP="00980871">
      <w:pPr>
        <w:pStyle w:val="a3"/>
        <w:spacing w:before="0" w:beforeAutospacing="0" w:after="0" w:afterAutospacing="0" w:line="230" w:lineRule="auto"/>
        <w:ind w:firstLine="567"/>
        <w:jc w:val="both"/>
        <w:rPr>
          <w:sz w:val="28"/>
          <w:szCs w:val="28"/>
          <w:lang w:val="uk-UA"/>
        </w:rPr>
      </w:pPr>
    </w:p>
    <w:tbl>
      <w:tblPr>
        <w:tblW w:w="5000" w:type="pct"/>
        <w:tblLook w:val="01E0" w:firstRow="1" w:lastRow="1" w:firstColumn="1" w:lastColumn="1" w:noHBand="0" w:noVBand="0"/>
      </w:tblPr>
      <w:tblGrid>
        <w:gridCol w:w="4488"/>
        <w:gridCol w:w="5366"/>
      </w:tblGrid>
      <w:tr w:rsidR="00980871" w:rsidRPr="00864B9E" w:rsidTr="005E3310">
        <w:tc>
          <w:tcPr>
            <w:tcW w:w="2277" w:type="pct"/>
            <w:shd w:val="clear" w:color="auto" w:fill="auto"/>
          </w:tcPr>
          <w:p w:rsidR="00980871" w:rsidRPr="00864B9E" w:rsidRDefault="00980871" w:rsidP="00390E62">
            <w:pPr>
              <w:pStyle w:val="a3"/>
              <w:spacing w:before="0" w:beforeAutospacing="0" w:after="0" w:afterAutospacing="0"/>
              <w:rPr>
                <w:sz w:val="28"/>
                <w:szCs w:val="28"/>
                <w:lang w:val="uk-UA"/>
              </w:rPr>
            </w:pPr>
            <w:r w:rsidRPr="00864B9E">
              <w:rPr>
                <w:b/>
                <w:sz w:val="28"/>
                <w:szCs w:val="28"/>
                <w:lang w:val="uk-UA"/>
              </w:rPr>
              <w:t xml:space="preserve">В. о. Голови Державної податкової служби України </w:t>
            </w:r>
          </w:p>
        </w:tc>
        <w:tc>
          <w:tcPr>
            <w:tcW w:w="2723" w:type="pct"/>
            <w:shd w:val="clear" w:color="auto" w:fill="auto"/>
          </w:tcPr>
          <w:p w:rsidR="00980871" w:rsidRPr="00864B9E" w:rsidRDefault="00980871" w:rsidP="00390E62">
            <w:pPr>
              <w:pStyle w:val="a3"/>
              <w:spacing w:before="0" w:beforeAutospacing="0" w:after="0" w:afterAutospacing="0"/>
              <w:jc w:val="right"/>
              <w:rPr>
                <w:b/>
                <w:sz w:val="28"/>
                <w:szCs w:val="28"/>
                <w:lang w:val="uk-UA"/>
              </w:rPr>
            </w:pPr>
          </w:p>
          <w:p w:rsidR="00980871" w:rsidRPr="00864B9E" w:rsidRDefault="009A3990" w:rsidP="00390E62">
            <w:pPr>
              <w:pStyle w:val="a3"/>
              <w:spacing w:before="0" w:beforeAutospacing="0" w:after="0" w:afterAutospacing="0"/>
              <w:jc w:val="right"/>
              <w:rPr>
                <w:sz w:val="28"/>
                <w:szCs w:val="28"/>
                <w:lang w:val="uk-UA"/>
              </w:rPr>
            </w:pPr>
            <w:r>
              <w:rPr>
                <w:b/>
                <w:sz w:val="28"/>
                <w:szCs w:val="28"/>
                <w:lang w:val="uk-UA"/>
              </w:rPr>
              <w:t>Тетяна КІРІЄНКО</w:t>
            </w:r>
          </w:p>
        </w:tc>
      </w:tr>
      <w:tr w:rsidR="00980871" w:rsidRPr="00864B9E" w:rsidTr="005E3310">
        <w:tc>
          <w:tcPr>
            <w:tcW w:w="2277" w:type="pct"/>
            <w:shd w:val="clear" w:color="auto" w:fill="auto"/>
          </w:tcPr>
          <w:p w:rsidR="00980871" w:rsidRPr="00864B9E" w:rsidRDefault="00980871" w:rsidP="00390E62">
            <w:pPr>
              <w:pStyle w:val="a3"/>
              <w:spacing w:before="0" w:beforeAutospacing="0" w:after="0" w:afterAutospacing="0"/>
              <w:jc w:val="both"/>
              <w:rPr>
                <w:b/>
                <w:sz w:val="28"/>
                <w:szCs w:val="28"/>
                <w:lang w:val="uk-UA"/>
              </w:rPr>
            </w:pPr>
          </w:p>
        </w:tc>
        <w:tc>
          <w:tcPr>
            <w:tcW w:w="2723" w:type="pct"/>
            <w:shd w:val="clear" w:color="auto" w:fill="auto"/>
          </w:tcPr>
          <w:p w:rsidR="00980871" w:rsidRPr="00864B9E" w:rsidRDefault="00980871" w:rsidP="00390E62">
            <w:pPr>
              <w:pStyle w:val="a3"/>
              <w:spacing w:before="0" w:beforeAutospacing="0" w:after="0" w:afterAutospacing="0"/>
              <w:jc w:val="both"/>
              <w:rPr>
                <w:b/>
                <w:sz w:val="28"/>
                <w:szCs w:val="28"/>
                <w:lang w:val="uk-UA"/>
              </w:rPr>
            </w:pPr>
          </w:p>
        </w:tc>
      </w:tr>
      <w:tr w:rsidR="00980871" w:rsidRPr="00C02A50" w:rsidTr="005E3310">
        <w:tc>
          <w:tcPr>
            <w:tcW w:w="2277" w:type="pct"/>
            <w:shd w:val="clear" w:color="auto" w:fill="auto"/>
          </w:tcPr>
          <w:p w:rsidR="00980871" w:rsidRPr="00C02A50" w:rsidRDefault="00980871" w:rsidP="00390E62">
            <w:pPr>
              <w:pStyle w:val="a3"/>
              <w:spacing w:before="0" w:beforeAutospacing="0" w:after="0" w:afterAutospacing="0"/>
              <w:jc w:val="both"/>
              <w:rPr>
                <w:sz w:val="28"/>
                <w:szCs w:val="28"/>
                <w:lang w:val="uk-UA"/>
              </w:rPr>
            </w:pPr>
            <w:r w:rsidRPr="00864B9E">
              <w:rPr>
                <w:sz w:val="28"/>
                <w:szCs w:val="28"/>
                <w:lang w:val="uk-UA"/>
              </w:rPr>
              <w:t>«____» ____________ 20__ р.</w:t>
            </w:r>
          </w:p>
        </w:tc>
        <w:tc>
          <w:tcPr>
            <w:tcW w:w="2723" w:type="pct"/>
            <w:shd w:val="clear" w:color="auto" w:fill="auto"/>
          </w:tcPr>
          <w:p w:rsidR="00980871" w:rsidRPr="00C02A50" w:rsidRDefault="00980871" w:rsidP="00390E62">
            <w:pPr>
              <w:pStyle w:val="a3"/>
              <w:spacing w:before="0" w:beforeAutospacing="0" w:after="0" w:afterAutospacing="0"/>
              <w:jc w:val="both"/>
              <w:rPr>
                <w:sz w:val="28"/>
                <w:szCs w:val="28"/>
                <w:lang w:val="uk-UA"/>
              </w:rPr>
            </w:pPr>
          </w:p>
        </w:tc>
      </w:tr>
    </w:tbl>
    <w:p w:rsidR="00980871" w:rsidRPr="00B339AB" w:rsidRDefault="00980871" w:rsidP="00980871">
      <w:pPr>
        <w:jc w:val="center"/>
        <w:rPr>
          <w:sz w:val="28"/>
          <w:szCs w:val="28"/>
        </w:rPr>
      </w:pPr>
    </w:p>
    <w:p w:rsidR="009A63BB" w:rsidRDefault="009A63BB"/>
    <w:sectPr w:rsidR="009A63BB" w:rsidSect="000E2DB2">
      <w:headerReference w:type="even" r:id="rId9"/>
      <w:headerReference w:type="default" r:id="rId10"/>
      <w:pgSz w:w="11906" w:h="16838"/>
      <w:pgMar w:top="1134" w:right="567" w:bottom="1134"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75" w:rsidRDefault="00467775">
      <w:r>
        <w:separator/>
      </w:r>
    </w:p>
  </w:endnote>
  <w:endnote w:type="continuationSeparator" w:id="0">
    <w:p w:rsidR="00467775" w:rsidRDefault="0046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75" w:rsidRDefault="00467775">
      <w:r>
        <w:separator/>
      </w:r>
    </w:p>
  </w:footnote>
  <w:footnote w:type="continuationSeparator" w:id="0">
    <w:p w:rsidR="00467775" w:rsidRDefault="0046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FF" w:rsidRDefault="00980871" w:rsidP="00385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0763FF" w:rsidRDefault="00467775" w:rsidP="00AC51E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FF" w:rsidRDefault="00980871" w:rsidP="001A27CE">
    <w:pPr>
      <w:pStyle w:val="a4"/>
      <w:framePr w:wrap="around" w:vAnchor="text" w:hAnchor="page" w:x="6136" w:y="-153"/>
      <w:rPr>
        <w:rStyle w:val="a6"/>
      </w:rPr>
    </w:pPr>
    <w:r>
      <w:rPr>
        <w:rStyle w:val="a6"/>
      </w:rPr>
      <w:fldChar w:fldCharType="begin"/>
    </w:r>
    <w:r>
      <w:rPr>
        <w:rStyle w:val="a6"/>
      </w:rPr>
      <w:instrText xml:space="preserve">PAGE  </w:instrText>
    </w:r>
    <w:r>
      <w:rPr>
        <w:rStyle w:val="a6"/>
      </w:rPr>
      <w:fldChar w:fldCharType="separate"/>
    </w:r>
    <w:r w:rsidR="00160C6C">
      <w:rPr>
        <w:rStyle w:val="a6"/>
        <w:noProof/>
      </w:rPr>
      <w:t>9</w:t>
    </w:r>
    <w:r>
      <w:rPr>
        <w:rStyle w:val="a6"/>
      </w:rPr>
      <w:fldChar w:fldCharType="end"/>
    </w:r>
  </w:p>
  <w:p w:rsidR="000763FF" w:rsidRDefault="00467775" w:rsidP="00AC51E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71"/>
    <w:rsid w:val="000309D4"/>
    <w:rsid w:val="00032170"/>
    <w:rsid w:val="00047240"/>
    <w:rsid w:val="000476FA"/>
    <w:rsid w:val="000530EA"/>
    <w:rsid w:val="00055285"/>
    <w:rsid w:val="000719D0"/>
    <w:rsid w:val="0007374D"/>
    <w:rsid w:val="00076B6B"/>
    <w:rsid w:val="000B1F8C"/>
    <w:rsid w:val="000B532D"/>
    <w:rsid w:val="000B60B7"/>
    <w:rsid w:val="000D2639"/>
    <w:rsid w:val="000D36E7"/>
    <w:rsid w:val="000E2DB2"/>
    <w:rsid w:val="000F745D"/>
    <w:rsid w:val="00124FFA"/>
    <w:rsid w:val="0015721F"/>
    <w:rsid w:val="00157504"/>
    <w:rsid w:val="00160C6C"/>
    <w:rsid w:val="00180B49"/>
    <w:rsid w:val="0019530B"/>
    <w:rsid w:val="00195E15"/>
    <w:rsid w:val="001A0ED2"/>
    <w:rsid w:val="001B0AE0"/>
    <w:rsid w:val="001C0761"/>
    <w:rsid w:val="001E0E8E"/>
    <w:rsid w:val="001E1824"/>
    <w:rsid w:val="001E52B6"/>
    <w:rsid w:val="00212C87"/>
    <w:rsid w:val="00251C17"/>
    <w:rsid w:val="002652D8"/>
    <w:rsid w:val="002671F7"/>
    <w:rsid w:val="002A6354"/>
    <w:rsid w:val="002B02A0"/>
    <w:rsid w:val="002D1611"/>
    <w:rsid w:val="002D16DE"/>
    <w:rsid w:val="002D64A6"/>
    <w:rsid w:val="002D7C7E"/>
    <w:rsid w:val="0030510C"/>
    <w:rsid w:val="00312822"/>
    <w:rsid w:val="00312B7C"/>
    <w:rsid w:val="003233E0"/>
    <w:rsid w:val="00335A13"/>
    <w:rsid w:val="00345D98"/>
    <w:rsid w:val="00350970"/>
    <w:rsid w:val="0035473C"/>
    <w:rsid w:val="003779C4"/>
    <w:rsid w:val="00392E08"/>
    <w:rsid w:val="003B514C"/>
    <w:rsid w:val="003B5313"/>
    <w:rsid w:val="003C1B02"/>
    <w:rsid w:val="003C39E0"/>
    <w:rsid w:val="003C6DA9"/>
    <w:rsid w:val="003D3FF4"/>
    <w:rsid w:val="003E1808"/>
    <w:rsid w:val="003E7212"/>
    <w:rsid w:val="00407AD8"/>
    <w:rsid w:val="00412530"/>
    <w:rsid w:val="00423630"/>
    <w:rsid w:val="00432EF0"/>
    <w:rsid w:val="00467775"/>
    <w:rsid w:val="00481922"/>
    <w:rsid w:val="004827EC"/>
    <w:rsid w:val="004954F1"/>
    <w:rsid w:val="00496C1E"/>
    <w:rsid w:val="004B45C2"/>
    <w:rsid w:val="004D598D"/>
    <w:rsid w:val="004F1A72"/>
    <w:rsid w:val="004F2761"/>
    <w:rsid w:val="00505A06"/>
    <w:rsid w:val="005176B3"/>
    <w:rsid w:val="00530BCE"/>
    <w:rsid w:val="00534AA9"/>
    <w:rsid w:val="00540AD0"/>
    <w:rsid w:val="00562F88"/>
    <w:rsid w:val="00576320"/>
    <w:rsid w:val="00581AF9"/>
    <w:rsid w:val="00585241"/>
    <w:rsid w:val="0059271B"/>
    <w:rsid w:val="005C634B"/>
    <w:rsid w:val="005D2458"/>
    <w:rsid w:val="005D41CA"/>
    <w:rsid w:val="005E137C"/>
    <w:rsid w:val="005E3310"/>
    <w:rsid w:val="005F2A7B"/>
    <w:rsid w:val="005F78AC"/>
    <w:rsid w:val="00600EA1"/>
    <w:rsid w:val="006063EC"/>
    <w:rsid w:val="00611B95"/>
    <w:rsid w:val="006141A9"/>
    <w:rsid w:val="0063565A"/>
    <w:rsid w:val="00654849"/>
    <w:rsid w:val="00664ED1"/>
    <w:rsid w:val="00667A9D"/>
    <w:rsid w:val="00674404"/>
    <w:rsid w:val="00674D42"/>
    <w:rsid w:val="006965E4"/>
    <w:rsid w:val="006A5A64"/>
    <w:rsid w:val="006A5F69"/>
    <w:rsid w:val="006B3033"/>
    <w:rsid w:val="006B46D6"/>
    <w:rsid w:val="006C07F9"/>
    <w:rsid w:val="006C53B9"/>
    <w:rsid w:val="006D1D64"/>
    <w:rsid w:val="006D67F8"/>
    <w:rsid w:val="006F6D31"/>
    <w:rsid w:val="00725363"/>
    <w:rsid w:val="00734E36"/>
    <w:rsid w:val="007566D3"/>
    <w:rsid w:val="00761FE2"/>
    <w:rsid w:val="00767566"/>
    <w:rsid w:val="007705C7"/>
    <w:rsid w:val="00776A81"/>
    <w:rsid w:val="0078107F"/>
    <w:rsid w:val="007B3A2F"/>
    <w:rsid w:val="007E10BC"/>
    <w:rsid w:val="007E5FD2"/>
    <w:rsid w:val="007E7404"/>
    <w:rsid w:val="007E780F"/>
    <w:rsid w:val="007F1859"/>
    <w:rsid w:val="00830DB1"/>
    <w:rsid w:val="00843D77"/>
    <w:rsid w:val="00856BD3"/>
    <w:rsid w:val="00864484"/>
    <w:rsid w:val="0087397D"/>
    <w:rsid w:val="008A2843"/>
    <w:rsid w:val="008A328E"/>
    <w:rsid w:val="008B4880"/>
    <w:rsid w:val="008E23A4"/>
    <w:rsid w:val="008E50AB"/>
    <w:rsid w:val="008F1C66"/>
    <w:rsid w:val="008F2208"/>
    <w:rsid w:val="008F34C8"/>
    <w:rsid w:val="008F403F"/>
    <w:rsid w:val="008F4DB7"/>
    <w:rsid w:val="008F5FBB"/>
    <w:rsid w:val="009222AD"/>
    <w:rsid w:val="00922448"/>
    <w:rsid w:val="009664F1"/>
    <w:rsid w:val="00971DA6"/>
    <w:rsid w:val="00976C72"/>
    <w:rsid w:val="00980871"/>
    <w:rsid w:val="00991D59"/>
    <w:rsid w:val="009A3990"/>
    <w:rsid w:val="009A470B"/>
    <w:rsid w:val="009A63BB"/>
    <w:rsid w:val="009B23BE"/>
    <w:rsid w:val="009B7DF0"/>
    <w:rsid w:val="009C1EC7"/>
    <w:rsid w:val="009C71F0"/>
    <w:rsid w:val="009E75F4"/>
    <w:rsid w:val="009F1CA6"/>
    <w:rsid w:val="009F429A"/>
    <w:rsid w:val="00A20379"/>
    <w:rsid w:val="00A479DC"/>
    <w:rsid w:val="00A633BD"/>
    <w:rsid w:val="00A664C7"/>
    <w:rsid w:val="00A67607"/>
    <w:rsid w:val="00A71E79"/>
    <w:rsid w:val="00A877CA"/>
    <w:rsid w:val="00A967D0"/>
    <w:rsid w:val="00A9767F"/>
    <w:rsid w:val="00AA159F"/>
    <w:rsid w:val="00AC3B8C"/>
    <w:rsid w:val="00AC6127"/>
    <w:rsid w:val="00AD2240"/>
    <w:rsid w:val="00AE7A8E"/>
    <w:rsid w:val="00AF30D4"/>
    <w:rsid w:val="00AF6DC0"/>
    <w:rsid w:val="00B62F01"/>
    <w:rsid w:val="00B669C1"/>
    <w:rsid w:val="00B67241"/>
    <w:rsid w:val="00B71403"/>
    <w:rsid w:val="00B77941"/>
    <w:rsid w:val="00B92349"/>
    <w:rsid w:val="00B92A3A"/>
    <w:rsid w:val="00BF58D5"/>
    <w:rsid w:val="00C0502F"/>
    <w:rsid w:val="00C12345"/>
    <w:rsid w:val="00C25381"/>
    <w:rsid w:val="00C3421D"/>
    <w:rsid w:val="00C43269"/>
    <w:rsid w:val="00C55790"/>
    <w:rsid w:val="00C618A5"/>
    <w:rsid w:val="00C7739C"/>
    <w:rsid w:val="00C83C8B"/>
    <w:rsid w:val="00C84D94"/>
    <w:rsid w:val="00C84E4B"/>
    <w:rsid w:val="00CA4DA3"/>
    <w:rsid w:val="00CD76AB"/>
    <w:rsid w:val="00CF044D"/>
    <w:rsid w:val="00CF26DF"/>
    <w:rsid w:val="00CF6C13"/>
    <w:rsid w:val="00D00D99"/>
    <w:rsid w:val="00D156B6"/>
    <w:rsid w:val="00D16FA4"/>
    <w:rsid w:val="00D336C7"/>
    <w:rsid w:val="00D40109"/>
    <w:rsid w:val="00D42F2A"/>
    <w:rsid w:val="00D506A3"/>
    <w:rsid w:val="00D541FD"/>
    <w:rsid w:val="00D612FE"/>
    <w:rsid w:val="00D70EA5"/>
    <w:rsid w:val="00D91539"/>
    <w:rsid w:val="00D91A74"/>
    <w:rsid w:val="00D9617D"/>
    <w:rsid w:val="00DA5A0C"/>
    <w:rsid w:val="00DD4D4D"/>
    <w:rsid w:val="00DE4AC7"/>
    <w:rsid w:val="00DF4624"/>
    <w:rsid w:val="00E03832"/>
    <w:rsid w:val="00E12A07"/>
    <w:rsid w:val="00E2218E"/>
    <w:rsid w:val="00E323D1"/>
    <w:rsid w:val="00E369A7"/>
    <w:rsid w:val="00E3795C"/>
    <w:rsid w:val="00E57467"/>
    <w:rsid w:val="00E662AB"/>
    <w:rsid w:val="00E81D9B"/>
    <w:rsid w:val="00E858C5"/>
    <w:rsid w:val="00E911A3"/>
    <w:rsid w:val="00E930E3"/>
    <w:rsid w:val="00E93264"/>
    <w:rsid w:val="00EA4B7C"/>
    <w:rsid w:val="00EA4C2A"/>
    <w:rsid w:val="00EB20A6"/>
    <w:rsid w:val="00ED2DB8"/>
    <w:rsid w:val="00EE0F44"/>
    <w:rsid w:val="00EF6C9D"/>
    <w:rsid w:val="00EF7607"/>
    <w:rsid w:val="00F054A7"/>
    <w:rsid w:val="00F17C56"/>
    <w:rsid w:val="00F20703"/>
    <w:rsid w:val="00F36F5C"/>
    <w:rsid w:val="00F42CB8"/>
    <w:rsid w:val="00F51121"/>
    <w:rsid w:val="00F6227A"/>
    <w:rsid w:val="00F65005"/>
    <w:rsid w:val="00FC21C7"/>
    <w:rsid w:val="00FD68BC"/>
    <w:rsid w:val="00FE538D"/>
    <w:rsid w:val="00FE7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871"/>
    <w:pPr>
      <w:spacing w:before="100" w:beforeAutospacing="1" w:after="100" w:afterAutospacing="1"/>
    </w:pPr>
    <w:rPr>
      <w:lang w:val="x-none" w:eastAsia="x-none"/>
    </w:rPr>
  </w:style>
  <w:style w:type="paragraph" w:styleId="a4">
    <w:name w:val="header"/>
    <w:basedOn w:val="a"/>
    <w:link w:val="a5"/>
    <w:rsid w:val="00980871"/>
    <w:pPr>
      <w:tabs>
        <w:tab w:val="center" w:pos="4677"/>
        <w:tab w:val="right" w:pos="9355"/>
      </w:tabs>
    </w:pPr>
  </w:style>
  <w:style w:type="character" w:customStyle="1" w:styleId="a5">
    <w:name w:val="Верхний колонтитул Знак"/>
    <w:basedOn w:val="a0"/>
    <w:link w:val="a4"/>
    <w:rsid w:val="00980871"/>
    <w:rPr>
      <w:rFonts w:ascii="Times New Roman" w:eastAsia="Times New Roman" w:hAnsi="Times New Roman" w:cs="Times New Roman"/>
      <w:sz w:val="24"/>
      <w:szCs w:val="24"/>
      <w:lang w:eastAsia="ru-RU"/>
    </w:rPr>
  </w:style>
  <w:style w:type="character" w:styleId="a6">
    <w:name w:val="page number"/>
    <w:basedOn w:val="a0"/>
    <w:rsid w:val="00980871"/>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7">
    <w:name w:val="Body Text"/>
    <w:basedOn w:val="a"/>
    <w:link w:val="a8"/>
    <w:rsid w:val="00980871"/>
    <w:pPr>
      <w:spacing w:after="120"/>
    </w:pPr>
  </w:style>
  <w:style w:type="character" w:customStyle="1" w:styleId="a8">
    <w:name w:val="Основной текст Знак"/>
    <w:basedOn w:val="a0"/>
    <w:link w:val="a7"/>
    <w:rsid w:val="00980871"/>
    <w:rPr>
      <w:rFonts w:ascii="Times New Roman" w:eastAsia="Times New Roman" w:hAnsi="Times New Roman" w:cs="Times New Roman"/>
      <w:sz w:val="24"/>
      <w:szCs w:val="24"/>
      <w:lang w:eastAsia="ru-RU"/>
    </w:rPr>
  </w:style>
  <w:style w:type="character" w:styleId="a9">
    <w:name w:val="annotation reference"/>
    <w:rsid w:val="00980871"/>
    <w:rPr>
      <w:sz w:val="16"/>
      <w:szCs w:val="16"/>
    </w:rPr>
  </w:style>
  <w:style w:type="paragraph" w:styleId="aa">
    <w:name w:val="annotation text"/>
    <w:basedOn w:val="a"/>
    <w:link w:val="ab"/>
    <w:rsid w:val="00980871"/>
    <w:rPr>
      <w:sz w:val="20"/>
      <w:szCs w:val="20"/>
    </w:rPr>
  </w:style>
  <w:style w:type="character" w:customStyle="1" w:styleId="ab">
    <w:name w:val="Текст примечания Знак"/>
    <w:basedOn w:val="a0"/>
    <w:link w:val="aa"/>
    <w:rsid w:val="0098087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80871"/>
    <w:rPr>
      <w:rFonts w:ascii="Tahoma" w:hAnsi="Tahoma" w:cs="Tahoma"/>
      <w:sz w:val="16"/>
      <w:szCs w:val="16"/>
    </w:rPr>
  </w:style>
  <w:style w:type="character" w:customStyle="1" w:styleId="ad">
    <w:name w:val="Текст выноски Знак"/>
    <w:basedOn w:val="a0"/>
    <w:link w:val="ac"/>
    <w:uiPriority w:val="99"/>
    <w:semiHidden/>
    <w:rsid w:val="00980871"/>
    <w:rPr>
      <w:rFonts w:ascii="Tahoma" w:eastAsia="Times New Roman" w:hAnsi="Tahoma" w:cs="Tahoma"/>
      <w:sz w:val="16"/>
      <w:szCs w:val="16"/>
      <w:lang w:eastAsia="ru-RU"/>
    </w:rPr>
  </w:style>
  <w:style w:type="paragraph" w:styleId="ae">
    <w:name w:val="No Spacing"/>
    <w:uiPriority w:val="1"/>
    <w:qFormat/>
    <w:rsid w:val="006965E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871"/>
    <w:pPr>
      <w:spacing w:before="100" w:beforeAutospacing="1" w:after="100" w:afterAutospacing="1"/>
    </w:pPr>
    <w:rPr>
      <w:lang w:val="x-none" w:eastAsia="x-none"/>
    </w:rPr>
  </w:style>
  <w:style w:type="paragraph" w:styleId="a4">
    <w:name w:val="header"/>
    <w:basedOn w:val="a"/>
    <w:link w:val="a5"/>
    <w:rsid w:val="00980871"/>
    <w:pPr>
      <w:tabs>
        <w:tab w:val="center" w:pos="4677"/>
        <w:tab w:val="right" w:pos="9355"/>
      </w:tabs>
    </w:pPr>
  </w:style>
  <w:style w:type="character" w:customStyle="1" w:styleId="a5">
    <w:name w:val="Верхний колонтитул Знак"/>
    <w:basedOn w:val="a0"/>
    <w:link w:val="a4"/>
    <w:rsid w:val="00980871"/>
    <w:rPr>
      <w:rFonts w:ascii="Times New Roman" w:eastAsia="Times New Roman" w:hAnsi="Times New Roman" w:cs="Times New Roman"/>
      <w:sz w:val="24"/>
      <w:szCs w:val="24"/>
      <w:lang w:eastAsia="ru-RU"/>
    </w:rPr>
  </w:style>
  <w:style w:type="character" w:styleId="a6">
    <w:name w:val="page number"/>
    <w:basedOn w:val="a0"/>
    <w:rsid w:val="00980871"/>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7">
    <w:name w:val="Body Text"/>
    <w:basedOn w:val="a"/>
    <w:link w:val="a8"/>
    <w:rsid w:val="00980871"/>
    <w:pPr>
      <w:spacing w:after="120"/>
    </w:pPr>
  </w:style>
  <w:style w:type="character" w:customStyle="1" w:styleId="a8">
    <w:name w:val="Основной текст Знак"/>
    <w:basedOn w:val="a0"/>
    <w:link w:val="a7"/>
    <w:rsid w:val="00980871"/>
    <w:rPr>
      <w:rFonts w:ascii="Times New Roman" w:eastAsia="Times New Roman" w:hAnsi="Times New Roman" w:cs="Times New Roman"/>
      <w:sz w:val="24"/>
      <w:szCs w:val="24"/>
      <w:lang w:eastAsia="ru-RU"/>
    </w:rPr>
  </w:style>
  <w:style w:type="character" w:styleId="a9">
    <w:name w:val="annotation reference"/>
    <w:rsid w:val="00980871"/>
    <w:rPr>
      <w:sz w:val="16"/>
      <w:szCs w:val="16"/>
    </w:rPr>
  </w:style>
  <w:style w:type="paragraph" w:styleId="aa">
    <w:name w:val="annotation text"/>
    <w:basedOn w:val="a"/>
    <w:link w:val="ab"/>
    <w:rsid w:val="00980871"/>
    <w:rPr>
      <w:sz w:val="20"/>
      <w:szCs w:val="20"/>
    </w:rPr>
  </w:style>
  <w:style w:type="character" w:customStyle="1" w:styleId="ab">
    <w:name w:val="Текст примечания Знак"/>
    <w:basedOn w:val="a0"/>
    <w:link w:val="aa"/>
    <w:rsid w:val="0098087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80871"/>
    <w:rPr>
      <w:rFonts w:ascii="Tahoma" w:hAnsi="Tahoma" w:cs="Tahoma"/>
      <w:sz w:val="16"/>
      <w:szCs w:val="16"/>
    </w:rPr>
  </w:style>
  <w:style w:type="character" w:customStyle="1" w:styleId="ad">
    <w:name w:val="Текст выноски Знак"/>
    <w:basedOn w:val="a0"/>
    <w:link w:val="ac"/>
    <w:uiPriority w:val="99"/>
    <w:semiHidden/>
    <w:rsid w:val="00980871"/>
    <w:rPr>
      <w:rFonts w:ascii="Tahoma" w:eastAsia="Times New Roman" w:hAnsi="Tahoma" w:cs="Tahoma"/>
      <w:sz w:val="16"/>
      <w:szCs w:val="16"/>
      <w:lang w:eastAsia="ru-RU"/>
    </w:rPr>
  </w:style>
  <w:style w:type="paragraph" w:styleId="ae">
    <w:name w:val="No Spacing"/>
    <w:uiPriority w:val="1"/>
    <w:qFormat/>
    <w:rsid w:val="006965E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4503-CBD9-432C-9D4D-131C84E7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12</Pages>
  <Words>15892</Words>
  <Characters>9060</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ЗАВЕРУХА ОЛЕКСІЙ ОЛЕКСАНДРОВИЧ</cp:lastModifiedBy>
  <cp:revision>141</cp:revision>
  <cp:lastPrinted>2023-05-05T07:33:00Z</cp:lastPrinted>
  <dcterms:created xsi:type="dcterms:W3CDTF">2021-10-05T11:05:00Z</dcterms:created>
  <dcterms:modified xsi:type="dcterms:W3CDTF">2023-05-08T07:42:00Z</dcterms:modified>
</cp:coreProperties>
</file>