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A6FC" w14:textId="77777777" w:rsidR="00713C49" w:rsidRPr="007C00BB" w:rsidRDefault="00713C49" w:rsidP="0017389C">
      <w:pPr>
        <w:pStyle w:val="Ch6"/>
        <w:ind w:left="9639"/>
        <w:rPr>
          <w:w w:val="100"/>
          <w:sz w:val="24"/>
          <w:szCs w:val="24"/>
        </w:rPr>
      </w:pPr>
      <w:bookmarkStart w:id="0" w:name="_GoBack"/>
      <w:bookmarkEnd w:id="0"/>
      <w:r w:rsidRPr="007C00BB">
        <w:rPr>
          <w:w w:val="100"/>
          <w:sz w:val="24"/>
          <w:szCs w:val="24"/>
        </w:rPr>
        <w:t>Додаток 30</w:t>
      </w:r>
      <w:r w:rsidRPr="007C00BB">
        <w:rPr>
          <w:w w:val="100"/>
          <w:sz w:val="24"/>
          <w:szCs w:val="24"/>
        </w:rPr>
        <w:br/>
        <w:t>до Порядку надіслання контролюючими органами</w:t>
      </w:r>
      <w:r w:rsidRPr="007C00BB">
        <w:rPr>
          <w:w w:val="100"/>
          <w:sz w:val="24"/>
          <w:szCs w:val="24"/>
        </w:rPr>
        <w:br/>
        <w:t>податкових повідомлень — рішень платникам податків</w:t>
      </w:r>
      <w:r w:rsidRPr="007C00BB">
        <w:rPr>
          <w:w w:val="100"/>
          <w:sz w:val="24"/>
          <w:szCs w:val="24"/>
        </w:rPr>
        <w:br/>
        <w:t>(пункт 2 розділу II)</w:t>
      </w:r>
    </w:p>
    <w:p w14:paraId="3939DF66" w14:textId="77777777" w:rsidR="00713C49" w:rsidRPr="007C00BB" w:rsidRDefault="00713C49" w:rsidP="00713C49">
      <w:pPr>
        <w:pStyle w:val="Ch60"/>
        <w:rPr>
          <w:w w:val="100"/>
          <w:sz w:val="24"/>
          <w:szCs w:val="24"/>
        </w:rPr>
      </w:pPr>
      <w:r w:rsidRPr="007C00BB">
        <w:rPr>
          <w:w w:val="100"/>
          <w:sz w:val="24"/>
          <w:szCs w:val="24"/>
        </w:rPr>
        <w:t>Форма «МПЗФ»</w:t>
      </w:r>
    </w:p>
    <w:p w14:paraId="7C3C1B53" w14:textId="022D3A50" w:rsidR="00713C49" w:rsidRPr="007C00BB" w:rsidRDefault="00713C49" w:rsidP="00713C49">
      <w:pPr>
        <w:pStyle w:val="Ch60"/>
        <w:ind w:left="284"/>
        <w:rPr>
          <w:w w:val="100"/>
          <w:sz w:val="24"/>
          <w:szCs w:val="24"/>
        </w:rPr>
      </w:pPr>
      <w:r w:rsidRPr="007C00BB">
        <w:rPr>
          <w:noProof/>
          <w:w w:val="100"/>
          <w:sz w:val="24"/>
          <w:szCs w:val="24"/>
        </w:rPr>
        <w:drawing>
          <wp:inline distT="0" distB="0" distL="0" distR="0" wp14:anchorId="0535A51F" wp14:editId="6DB30A3C">
            <wp:extent cx="8912860" cy="4628531"/>
            <wp:effectExtent l="0" t="0" r="2540" b="635"/>
            <wp:docPr id="7761139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33938" cy="4639477"/>
                    </a:xfrm>
                    <a:prstGeom prst="rect">
                      <a:avLst/>
                    </a:prstGeom>
                    <a:noFill/>
                    <a:ln>
                      <a:noFill/>
                    </a:ln>
                  </pic:spPr>
                </pic:pic>
              </a:graphicData>
            </a:graphic>
          </wp:inline>
        </w:drawing>
      </w:r>
    </w:p>
    <w:p w14:paraId="28F1461A" w14:textId="3C8B215C" w:rsidR="00713C49" w:rsidRPr="007C00BB" w:rsidRDefault="00713C49" w:rsidP="00713C49">
      <w:pPr>
        <w:pStyle w:val="Ch60"/>
        <w:ind w:left="284"/>
        <w:rPr>
          <w:w w:val="100"/>
          <w:sz w:val="24"/>
          <w:szCs w:val="24"/>
        </w:rPr>
      </w:pPr>
      <w:r w:rsidRPr="007C00BB">
        <w:rPr>
          <w:noProof/>
          <w:w w:val="100"/>
          <w:sz w:val="24"/>
          <w:szCs w:val="24"/>
        </w:rPr>
        <w:lastRenderedPageBreak/>
        <w:drawing>
          <wp:inline distT="0" distB="0" distL="0" distR="0" wp14:anchorId="760C5C77" wp14:editId="28EC2448">
            <wp:extent cx="9015614" cy="5798651"/>
            <wp:effectExtent l="0" t="0" r="0" b="0"/>
            <wp:docPr id="5422601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7463" cy="5812704"/>
                    </a:xfrm>
                    <a:prstGeom prst="rect">
                      <a:avLst/>
                    </a:prstGeom>
                    <a:noFill/>
                    <a:ln>
                      <a:noFill/>
                    </a:ln>
                  </pic:spPr>
                </pic:pic>
              </a:graphicData>
            </a:graphic>
          </wp:inline>
        </w:drawing>
      </w:r>
    </w:p>
    <w:p w14:paraId="4B1B0C2A" w14:textId="66A4D5F8" w:rsidR="00713C49" w:rsidRPr="007C00BB" w:rsidRDefault="00713C49" w:rsidP="00713C49">
      <w:pPr>
        <w:pStyle w:val="Ch60"/>
        <w:ind w:left="993"/>
        <w:rPr>
          <w:w w:val="100"/>
          <w:sz w:val="24"/>
          <w:szCs w:val="24"/>
        </w:rPr>
      </w:pPr>
      <w:r w:rsidRPr="007C00BB">
        <w:rPr>
          <w:noProof/>
          <w:w w:val="100"/>
          <w:sz w:val="24"/>
          <w:szCs w:val="24"/>
        </w:rPr>
        <w:lastRenderedPageBreak/>
        <w:drawing>
          <wp:inline distT="0" distB="0" distL="0" distR="0" wp14:anchorId="53444900" wp14:editId="62CFE286">
            <wp:extent cx="6598804" cy="1666113"/>
            <wp:effectExtent l="0" t="0" r="0" b="0"/>
            <wp:docPr id="11457531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391" cy="1688985"/>
                    </a:xfrm>
                    <a:prstGeom prst="rect">
                      <a:avLst/>
                    </a:prstGeom>
                    <a:noFill/>
                    <a:ln>
                      <a:noFill/>
                    </a:ln>
                  </pic:spPr>
                </pic:pic>
              </a:graphicData>
            </a:graphic>
          </wp:inline>
        </w:drawing>
      </w:r>
    </w:p>
    <w:p w14:paraId="67AE945A" w14:textId="7B07A980" w:rsidR="00713C49" w:rsidRPr="007C00BB" w:rsidRDefault="00713C49" w:rsidP="00713C49">
      <w:pPr>
        <w:pStyle w:val="Ch60"/>
        <w:ind w:left="284"/>
        <w:rPr>
          <w:w w:val="100"/>
          <w:sz w:val="24"/>
          <w:szCs w:val="24"/>
        </w:rPr>
      </w:pPr>
      <w:r w:rsidRPr="007C00BB">
        <w:rPr>
          <w:noProof/>
          <w:w w:val="100"/>
          <w:sz w:val="24"/>
          <w:szCs w:val="24"/>
        </w:rPr>
        <w:drawing>
          <wp:inline distT="0" distB="0" distL="0" distR="0" wp14:anchorId="7DB163EE" wp14:editId="20E97126">
            <wp:extent cx="9400540" cy="4655763"/>
            <wp:effectExtent l="0" t="0" r="0" b="0"/>
            <wp:docPr id="1467804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5392" cy="4668072"/>
                    </a:xfrm>
                    <a:prstGeom prst="rect">
                      <a:avLst/>
                    </a:prstGeom>
                    <a:noFill/>
                    <a:ln>
                      <a:noFill/>
                    </a:ln>
                  </pic:spPr>
                </pic:pic>
              </a:graphicData>
            </a:graphic>
          </wp:inline>
        </w:drawing>
      </w:r>
    </w:p>
    <w:p w14:paraId="2F7E2C85" w14:textId="77777777" w:rsidR="00713C49" w:rsidRPr="007C00BB" w:rsidRDefault="00713C49" w:rsidP="00D26AF2">
      <w:pPr>
        <w:pStyle w:val="SnoskaSNOSKI"/>
        <w:pageBreakBefore/>
        <w:pBdr>
          <w:top w:val="none" w:sz="0" w:space="0" w:color="auto"/>
        </w:pBdr>
        <w:tabs>
          <w:tab w:val="clear" w:pos="60"/>
          <w:tab w:val="clear" w:pos="720"/>
          <w:tab w:val="left" w:pos="709"/>
        </w:tabs>
        <w:ind w:firstLine="709"/>
        <w:rPr>
          <w:w w:val="100"/>
          <w:sz w:val="24"/>
          <w:szCs w:val="24"/>
        </w:rPr>
      </w:pPr>
    </w:p>
    <w:p w14:paraId="167EAC68" w14:textId="7FD173C6" w:rsidR="00713C49" w:rsidRPr="00713C49" w:rsidRDefault="00713C49" w:rsidP="00D26AF2">
      <w:pPr>
        <w:pStyle w:val="SnoskaSNOSKI"/>
        <w:tabs>
          <w:tab w:val="left" w:pos="1985"/>
        </w:tabs>
        <w:rPr>
          <w:w w:val="100"/>
          <w:sz w:val="20"/>
          <w:szCs w:val="20"/>
        </w:rPr>
      </w:pPr>
      <w:r w:rsidRPr="00713C49">
        <w:rPr>
          <w:w w:val="100"/>
          <w:sz w:val="20"/>
          <w:szCs w:val="20"/>
          <w:vertAlign w:val="superscript"/>
        </w:rPr>
        <w:t>1</w:t>
      </w:r>
      <w:r w:rsidRPr="00713C49">
        <w:rPr>
          <w:w w:val="100"/>
          <w:sz w:val="20"/>
          <w:szCs w:val="20"/>
        </w:rPr>
        <w:t xml:space="preserve"> </w:t>
      </w:r>
      <w:r w:rsidRPr="00713C49">
        <w:rPr>
          <w:w w:val="100"/>
          <w:sz w:val="20"/>
          <w:szCs w:val="20"/>
        </w:rPr>
        <w:tab/>
        <w:t>Платники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w:t>
      </w:r>
    </w:p>
    <w:p w14:paraId="14A8CD34" w14:textId="6345330A" w:rsidR="00713C49" w:rsidRPr="00713C49" w:rsidRDefault="00713C49" w:rsidP="00713C49">
      <w:pPr>
        <w:pStyle w:val="SnoskaSNOSKI"/>
        <w:pBdr>
          <w:top w:val="none" w:sz="0" w:space="0" w:color="auto"/>
        </w:pBdr>
        <w:rPr>
          <w:w w:val="100"/>
          <w:sz w:val="20"/>
          <w:szCs w:val="20"/>
        </w:rPr>
      </w:pPr>
      <w:r w:rsidRPr="00713C49">
        <w:rPr>
          <w:w w:val="100"/>
          <w:sz w:val="20"/>
          <w:szCs w:val="20"/>
          <w:vertAlign w:val="superscript"/>
        </w:rPr>
        <w:t>2</w:t>
      </w:r>
      <w:r w:rsidRPr="00713C49">
        <w:rPr>
          <w:w w:val="100"/>
          <w:sz w:val="20"/>
          <w:szCs w:val="20"/>
        </w:rPr>
        <w:t xml:space="preserve"> </w:t>
      </w:r>
      <w:r w:rsidRPr="00713C49">
        <w:rPr>
          <w:w w:val="100"/>
          <w:sz w:val="20"/>
          <w:szCs w:val="20"/>
        </w:rPr>
        <w:tab/>
      </w:r>
      <w:proofErr w:type="spellStart"/>
      <w:r w:rsidRPr="00713C49">
        <w:rPr>
          <w:w w:val="100"/>
          <w:sz w:val="20"/>
          <w:szCs w:val="20"/>
        </w:rPr>
        <w:t>НГОд</w:t>
      </w:r>
      <w:proofErr w:type="spellEnd"/>
      <w:r w:rsidRPr="00713C49">
        <w:rPr>
          <w:w w:val="100"/>
          <w:sz w:val="20"/>
          <w:szCs w:val="20"/>
        </w:rPr>
        <w:t>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w:t>
      </w:r>
    </w:p>
    <w:p w14:paraId="2AD4F8F1" w14:textId="70C3E9D6" w:rsidR="00713C49" w:rsidRPr="00713C49" w:rsidRDefault="00713C49" w:rsidP="00713C49">
      <w:pPr>
        <w:pStyle w:val="SnoskaSNOSKI"/>
        <w:pBdr>
          <w:top w:val="none" w:sz="0" w:space="0" w:color="auto"/>
        </w:pBdr>
        <w:rPr>
          <w:w w:val="100"/>
          <w:sz w:val="20"/>
          <w:szCs w:val="20"/>
        </w:rPr>
      </w:pPr>
      <w:r w:rsidRPr="00713C49">
        <w:rPr>
          <w:w w:val="100"/>
          <w:sz w:val="20"/>
          <w:szCs w:val="20"/>
          <w:vertAlign w:val="superscript"/>
        </w:rPr>
        <w:t>3</w:t>
      </w:r>
      <w:r w:rsidRPr="00713C49">
        <w:rPr>
          <w:w w:val="100"/>
          <w:sz w:val="20"/>
          <w:szCs w:val="20"/>
        </w:rPr>
        <w:t xml:space="preserve"> </w:t>
      </w:r>
      <w:r w:rsidRPr="00713C49">
        <w:rPr>
          <w:w w:val="100"/>
          <w:sz w:val="20"/>
          <w:szCs w:val="20"/>
        </w:rPr>
        <w:tab/>
        <w:t>К — коефіцієнт, що становить 0,05. Тимчасово, для розрахунку мінімального податкового зобов’язання за 2022 та 2023 податкові (звітні) роки коефіцієнт «К», визначений у підпунктах 38</w:t>
      </w:r>
      <w:r w:rsidRPr="00713C49">
        <w:rPr>
          <w:w w:val="100"/>
          <w:sz w:val="20"/>
          <w:szCs w:val="20"/>
          <w:vertAlign w:val="superscript"/>
        </w:rPr>
        <w:t>1</w:t>
      </w:r>
      <w:r w:rsidRPr="00713C49">
        <w:rPr>
          <w:w w:val="100"/>
          <w:sz w:val="20"/>
          <w:szCs w:val="20"/>
        </w:rPr>
        <w:t>.1.1 і 38</w:t>
      </w:r>
      <w:r w:rsidRPr="00713C49">
        <w:rPr>
          <w:w w:val="100"/>
          <w:sz w:val="20"/>
          <w:szCs w:val="20"/>
          <w:vertAlign w:val="superscript"/>
        </w:rPr>
        <w:t>1</w:t>
      </w:r>
      <w:r w:rsidRPr="00713C49">
        <w:rPr>
          <w:w w:val="100"/>
          <w:sz w:val="20"/>
          <w:szCs w:val="20"/>
        </w:rPr>
        <w:t>.1.2 пункту 38</w:t>
      </w:r>
      <w:r w:rsidRPr="00713C49">
        <w:rPr>
          <w:w w:val="100"/>
          <w:sz w:val="20"/>
          <w:szCs w:val="20"/>
          <w:vertAlign w:val="superscript"/>
        </w:rPr>
        <w:t>1</w:t>
      </w:r>
      <w:r w:rsidRPr="00713C49">
        <w:rPr>
          <w:w w:val="100"/>
          <w:sz w:val="20"/>
          <w:szCs w:val="20"/>
        </w:rPr>
        <w:t>.1 статті 38</w:t>
      </w:r>
      <w:r w:rsidRPr="00713C49">
        <w:rPr>
          <w:w w:val="100"/>
          <w:sz w:val="20"/>
          <w:szCs w:val="20"/>
          <w:vertAlign w:val="superscript"/>
        </w:rPr>
        <w:t>1</w:t>
      </w:r>
      <w:r w:rsidRPr="00713C49">
        <w:rPr>
          <w:w w:val="100"/>
          <w:sz w:val="20"/>
          <w:szCs w:val="20"/>
        </w:rPr>
        <w:t xml:space="preserve"> розділу І Податкового кодексу України, застосовується із значенням 0,04.</w:t>
      </w:r>
    </w:p>
    <w:p w14:paraId="475F001B" w14:textId="26EEA377" w:rsidR="00713C49" w:rsidRPr="00713C49" w:rsidRDefault="00713C49" w:rsidP="00713C49">
      <w:pPr>
        <w:pStyle w:val="SnoskaSNOSKI"/>
        <w:pBdr>
          <w:top w:val="none" w:sz="0" w:space="0" w:color="auto"/>
        </w:pBdr>
        <w:rPr>
          <w:w w:val="100"/>
          <w:sz w:val="20"/>
          <w:szCs w:val="20"/>
        </w:rPr>
      </w:pPr>
      <w:r w:rsidRPr="00713C49">
        <w:rPr>
          <w:w w:val="100"/>
          <w:sz w:val="20"/>
          <w:szCs w:val="20"/>
          <w:vertAlign w:val="superscript"/>
        </w:rPr>
        <w:t>4</w:t>
      </w:r>
      <w:r w:rsidRPr="00713C49">
        <w:rPr>
          <w:w w:val="100"/>
          <w:sz w:val="20"/>
          <w:szCs w:val="20"/>
        </w:rPr>
        <w:t xml:space="preserve"> </w:t>
      </w:r>
      <w:r w:rsidRPr="00713C49">
        <w:rPr>
          <w:w w:val="100"/>
          <w:sz w:val="20"/>
          <w:szCs w:val="20"/>
        </w:rPr>
        <w:tab/>
        <w:t>Кількість календарних місяців, протягом яких земельна ділянка перебуває у власності платника податків, крім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w:t>
      </w:r>
    </w:p>
    <w:p w14:paraId="2293DB62" w14:textId="2C01D549" w:rsidR="00713C49" w:rsidRPr="00713C49" w:rsidRDefault="00713C49" w:rsidP="00713C49">
      <w:pPr>
        <w:pStyle w:val="SnoskaSNOSKI"/>
        <w:pBdr>
          <w:top w:val="none" w:sz="0" w:space="0" w:color="auto"/>
        </w:pBdr>
        <w:rPr>
          <w:w w:val="100"/>
          <w:sz w:val="20"/>
          <w:szCs w:val="20"/>
        </w:rPr>
      </w:pPr>
      <w:r w:rsidRPr="00713C49">
        <w:rPr>
          <w:w w:val="100"/>
          <w:sz w:val="20"/>
          <w:szCs w:val="20"/>
          <w:vertAlign w:val="superscript"/>
        </w:rPr>
        <w:t xml:space="preserve">5 </w:t>
      </w:r>
      <w:r w:rsidRPr="00713C49">
        <w:rPr>
          <w:w w:val="100"/>
          <w:sz w:val="20"/>
          <w:szCs w:val="20"/>
        </w:rPr>
        <w:tab/>
        <w:t>Мінімальне податкове зобов’язання не визначається для: земельних ділянок, що використовуються дачними (</w:t>
      </w:r>
      <w:proofErr w:type="spellStart"/>
      <w:r w:rsidRPr="00713C49">
        <w:rPr>
          <w:w w:val="100"/>
          <w:sz w:val="20"/>
          <w:szCs w:val="20"/>
        </w:rPr>
        <w:t>дачно</w:t>
      </w:r>
      <w:proofErr w:type="spellEnd"/>
      <w:r w:rsidRPr="00713C49">
        <w:rPr>
          <w:w w:val="100"/>
          <w:sz w:val="20"/>
          <w:szCs w:val="20"/>
        </w:rPr>
        <w:t>-будівельними) та садівничими (городницькими) кооперативами (товариствами), а також набуті у власність / користування членами цих кооперативів (товариств) у результаті приватизації (купівлі / продажу, оренди) у межах земель, що належали цим кооперативам (товариствам) на праві колективної власності чи перебували у їх постійному користуванні; земель запасу;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земельних ділянок зон відчуження та безумовного (обов’язкового) відселення, що зазнали радіоактивного забруднення внаслідок Чорнобильської катастрофи; земельних ділянок, віднесених до сільськогосподарських угідь, які належать фізичним особам на праві власності та/або на праві користування та станом на 1 січня 2022 року знаходилися у межах населених пунктів. На період здійснення заходів із забезпечення проведення операції Об’єднаних сил (ООС) щодо земельних ділянок, віднесених до сільськогосподарських угідь, що розташовані на тимчасово окупованій території та/або території населених пунктів на лінії зіткнення, мінімальне податкове зобов’язання не визначається.</w:t>
      </w:r>
    </w:p>
    <w:p w14:paraId="4C65088F" w14:textId="0C3D7ABC" w:rsidR="00F12C76" w:rsidRDefault="00F12C76" w:rsidP="006C0B77">
      <w:pPr>
        <w:spacing w:after="0"/>
        <w:ind w:firstLine="709"/>
        <w:jc w:val="both"/>
        <w:rPr>
          <w:lang w:val="uk-UA"/>
        </w:rPr>
      </w:pPr>
    </w:p>
    <w:p w14:paraId="2D9A2423" w14:textId="0D692224" w:rsidR="0028124D" w:rsidRDefault="0028124D" w:rsidP="006C0B77">
      <w:pPr>
        <w:spacing w:after="0"/>
        <w:ind w:firstLine="709"/>
        <w:jc w:val="both"/>
        <w:rPr>
          <w:lang w:val="uk-UA"/>
        </w:rPr>
      </w:pPr>
    </w:p>
    <w:p w14:paraId="154F873D" w14:textId="2703DF91" w:rsidR="0028124D" w:rsidRDefault="0028124D" w:rsidP="006C0B77">
      <w:pPr>
        <w:spacing w:after="0"/>
        <w:ind w:firstLine="709"/>
        <w:jc w:val="both"/>
        <w:rPr>
          <w:lang w:val="uk-UA"/>
        </w:rPr>
      </w:pPr>
    </w:p>
    <w:p w14:paraId="5AA47E30" w14:textId="7389E056" w:rsidR="0028124D" w:rsidRDefault="0028124D" w:rsidP="006C0B77">
      <w:pPr>
        <w:spacing w:after="0"/>
        <w:ind w:firstLine="709"/>
        <w:jc w:val="both"/>
        <w:rPr>
          <w:lang w:val="uk-UA"/>
        </w:rPr>
      </w:pPr>
    </w:p>
    <w:p w14:paraId="0B702879" w14:textId="68CD6CB7" w:rsidR="0028124D" w:rsidRDefault="0028124D" w:rsidP="006C0B77">
      <w:pPr>
        <w:spacing w:after="0"/>
        <w:ind w:firstLine="709"/>
        <w:jc w:val="both"/>
        <w:rPr>
          <w:lang w:val="uk-UA"/>
        </w:rPr>
      </w:pPr>
    </w:p>
    <w:p w14:paraId="2BD0A29D" w14:textId="7DFB3DB8" w:rsidR="0028124D" w:rsidRDefault="0028124D" w:rsidP="006C0B77">
      <w:pPr>
        <w:spacing w:after="0"/>
        <w:ind w:firstLine="709"/>
        <w:jc w:val="both"/>
        <w:rPr>
          <w:lang w:val="uk-UA"/>
        </w:rPr>
      </w:pPr>
    </w:p>
    <w:p w14:paraId="2A7BB022" w14:textId="6620DE98" w:rsidR="0028124D" w:rsidRDefault="0028124D" w:rsidP="006C0B77">
      <w:pPr>
        <w:spacing w:after="0"/>
        <w:ind w:firstLine="709"/>
        <w:jc w:val="both"/>
        <w:rPr>
          <w:lang w:val="uk-UA"/>
        </w:rPr>
      </w:pPr>
    </w:p>
    <w:p w14:paraId="160849AF" w14:textId="56FF7798" w:rsidR="0028124D" w:rsidRDefault="0028124D" w:rsidP="006C0B77">
      <w:pPr>
        <w:spacing w:after="0"/>
        <w:ind w:firstLine="709"/>
        <w:jc w:val="both"/>
        <w:rPr>
          <w:lang w:val="uk-UA"/>
        </w:rPr>
      </w:pPr>
    </w:p>
    <w:p w14:paraId="74A64DFD" w14:textId="77777777" w:rsidR="0028124D" w:rsidRPr="001B0B83" w:rsidRDefault="0028124D" w:rsidP="0028124D">
      <w:pPr>
        <w:rPr>
          <w:rFonts w:cs="Times New Roman"/>
          <w:sz w:val="24"/>
          <w:szCs w:val="24"/>
        </w:rPr>
      </w:pPr>
      <w:r w:rsidRPr="001B0B83">
        <w:rPr>
          <w:rStyle w:val="st46"/>
          <w:rFonts w:cs="Times New Roman"/>
          <w:sz w:val="24"/>
          <w:szCs w:val="24"/>
        </w:rPr>
        <w:t>{</w:t>
      </w:r>
      <w:proofErr w:type="spellStart"/>
      <w:r w:rsidRPr="001B0B83">
        <w:rPr>
          <w:rStyle w:val="st46"/>
          <w:rFonts w:cs="Times New Roman"/>
          <w:sz w:val="24"/>
          <w:szCs w:val="24"/>
        </w:rPr>
        <w:t>Додаток</w:t>
      </w:r>
      <w:proofErr w:type="spellEnd"/>
      <w:r w:rsidRPr="001B0B83">
        <w:rPr>
          <w:rStyle w:val="st46"/>
          <w:rFonts w:cs="Times New Roman"/>
          <w:sz w:val="24"/>
          <w:szCs w:val="24"/>
        </w:rPr>
        <w:t xml:space="preserve"> </w:t>
      </w:r>
      <w:r>
        <w:rPr>
          <w:rStyle w:val="st46"/>
          <w:rFonts w:cs="Times New Roman"/>
          <w:sz w:val="24"/>
          <w:szCs w:val="24"/>
        </w:rPr>
        <w:t>30</w:t>
      </w:r>
      <w:r w:rsidRPr="001B0B83">
        <w:rPr>
          <w:rStyle w:val="st46"/>
          <w:rFonts w:cs="Times New Roman"/>
          <w:sz w:val="24"/>
          <w:szCs w:val="24"/>
        </w:rPr>
        <w:t xml:space="preserve"> в </w:t>
      </w:r>
      <w:proofErr w:type="spellStart"/>
      <w:r w:rsidRPr="001B0B83">
        <w:rPr>
          <w:rStyle w:val="st46"/>
          <w:rFonts w:cs="Times New Roman"/>
          <w:sz w:val="24"/>
          <w:szCs w:val="24"/>
        </w:rPr>
        <w:t>редакції</w:t>
      </w:r>
      <w:proofErr w:type="spellEnd"/>
      <w:r w:rsidRPr="001B0B83">
        <w:rPr>
          <w:rStyle w:val="st46"/>
          <w:rFonts w:cs="Times New Roman"/>
          <w:sz w:val="24"/>
          <w:szCs w:val="24"/>
        </w:rPr>
        <w:t xml:space="preserve"> Наказу </w:t>
      </w:r>
      <w:proofErr w:type="spellStart"/>
      <w:r w:rsidRPr="001B0B83">
        <w:rPr>
          <w:rStyle w:val="st46"/>
          <w:rFonts w:cs="Times New Roman"/>
          <w:sz w:val="24"/>
          <w:szCs w:val="24"/>
        </w:rPr>
        <w:t>Міністерства</w:t>
      </w:r>
      <w:proofErr w:type="spellEnd"/>
      <w:r w:rsidRPr="001B0B83">
        <w:rPr>
          <w:rStyle w:val="st46"/>
          <w:rFonts w:cs="Times New Roman"/>
          <w:sz w:val="24"/>
          <w:szCs w:val="24"/>
        </w:rPr>
        <w:t xml:space="preserve"> </w:t>
      </w:r>
      <w:proofErr w:type="spellStart"/>
      <w:r w:rsidRPr="001B0B83">
        <w:rPr>
          <w:rStyle w:val="st46"/>
          <w:rFonts w:cs="Times New Roman"/>
          <w:sz w:val="24"/>
          <w:szCs w:val="24"/>
        </w:rPr>
        <w:t>фінансів</w:t>
      </w:r>
      <w:proofErr w:type="spellEnd"/>
      <w:r w:rsidRPr="001B0B83">
        <w:rPr>
          <w:rStyle w:val="st46"/>
          <w:rFonts w:cs="Times New Roman"/>
          <w:sz w:val="24"/>
          <w:szCs w:val="24"/>
        </w:rPr>
        <w:t xml:space="preserve"> </w:t>
      </w:r>
      <w:r w:rsidRPr="001B0B83">
        <w:rPr>
          <w:rStyle w:val="st121"/>
          <w:rFonts w:cs="Times New Roman"/>
          <w:sz w:val="24"/>
          <w:szCs w:val="24"/>
          <w:lang w:val="x-none"/>
        </w:rPr>
        <w:t>№ 513 від 09.10.2025</w:t>
      </w:r>
      <w:r w:rsidRPr="001B0B83">
        <w:rPr>
          <w:rStyle w:val="st46"/>
          <w:rFonts w:cs="Times New Roman"/>
          <w:sz w:val="24"/>
          <w:szCs w:val="24"/>
          <w:lang w:val="x-none"/>
        </w:rPr>
        <w:t>}</w:t>
      </w:r>
    </w:p>
    <w:p w14:paraId="219BE4D4" w14:textId="77777777" w:rsidR="0028124D" w:rsidRPr="00713C49" w:rsidRDefault="0028124D" w:rsidP="006C0B77">
      <w:pPr>
        <w:spacing w:after="0"/>
        <w:ind w:firstLine="709"/>
        <w:jc w:val="both"/>
        <w:rPr>
          <w:lang w:val="uk-UA"/>
        </w:rPr>
      </w:pPr>
    </w:p>
    <w:sectPr w:rsidR="0028124D" w:rsidRPr="00713C49" w:rsidSect="0017389C">
      <w:pgSz w:w="16838" w:h="11906" w:orient="landscape" w:code="9"/>
      <w:pgMar w:top="567" w:right="567" w:bottom="567" w:left="567" w:header="708" w:footer="708"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EF57" w14:textId="77777777" w:rsidR="00B67E8C" w:rsidRDefault="00B67E8C" w:rsidP="002B1C4B">
      <w:pPr>
        <w:spacing w:after="0"/>
      </w:pPr>
      <w:r>
        <w:separator/>
      </w:r>
    </w:p>
  </w:endnote>
  <w:endnote w:type="continuationSeparator" w:id="0">
    <w:p w14:paraId="68D6FFDB" w14:textId="77777777" w:rsidR="00B67E8C" w:rsidRDefault="00B67E8C" w:rsidP="002B1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5E05" w14:textId="77777777" w:rsidR="00B67E8C" w:rsidRDefault="00B67E8C" w:rsidP="002B1C4B">
      <w:pPr>
        <w:spacing w:after="0"/>
      </w:pPr>
      <w:r>
        <w:separator/>
      </w:r>
    </w:p>
  </w:footnote>
  <w:footnote w:type="continuationSeparator" w:id="0">
    <w:p w14:paraId="79F7914B" w14:textId="77777777" w:rsidR="00B67E8C" w:rsidRDefault="00B67E8C" w:rsidP="002B1C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49"/>
    <w:rsid w:val="000B4994"/>
    <w:rsid w:val="0017389C"/>
    <w:rsid w:val="001C6C60"/>
    <w:rsid w:val="001F00AC"/>
    <w:rsid w:val="0028124D"/>
    <w:rsid w:val="002B1C4B"/>
    <w:rsid w:val="006C0B77"/>
    <w:rsid w:val="00713C49"/>
    <w:rsid w:val="0077611D"/>
    <w:rsid w:val="008242FF"/>
    <w:rsid w:val="00870751"/>
    <w:rsid w:val="00922C48"/>
    <w:rsid w:val="0093753A"/>
    <w:rsid w:val="00B67E8C"/>
    <w:rsid w:val="00B915B7"/>
    <w:rsid w:val="00D26AF2"/>
    <w:rsid w:val="00E976F9"/>
    <w:rsid w:val="00EA59DF"/>
    <w:rsid w:val="00EE4070"/>
    <w:rsid w:val="00F12C76"/>
    <w:rsid w:val="00FF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4F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713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3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3C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13C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13C4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13C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3C4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3C4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3C4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C4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13C4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13C4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13C4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13C4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13C4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13C4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13C4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13C4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13C4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3C4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13C4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713C49"/>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713C49"/>
    <w:pPr>
      <w:spacing w:before="160"/>
      <w:jc w:val="center"/>
    </w:pPr>
    <w:rPr>
      <w:i/>
      <w:iCs/>
      <w:color w:val="404040" w:themeColor="text1" w:themeTint="BF"/>
    </w:rPr>
  </w:style>
  <w:style w:type="character" w:customStyle="1" w:styleId="a8">
    <w:name w:val="Цитата Знак"/>
    <w:basedOn w:val="a0"/>
    <w:link w:val="a7"/>
    <w:uiPriority w:val="29"/>
    <w:rsid w:val="00713C49"/>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713C49"/>
    <w:pPr>
      <w:ind w:left="720"/>
      <w:contextualSpacing/>
    </w:pPr>
  </w:style>
  <w:style w:type="character" w:styleId="aa">
    <w:name w:val="Intense Emphasis"/>
    <w:basedOn w:val="a0"/>
    <w:uiPriority w:val="21"/>
    <w:qFormat/>
    <w:rsid w:val="00713C49"/>
    <w:rPr>
      <w:i/>
      <w:iCs/>
      <w:color w:val="2F5496" w:themeColor="accent1" w:themeShade="BF"/>
    </w:rPr>
  </w:style>
  <w:style w:type="paragraph" w:styleId="ab">
    <w:name w:val="Intense Quote"/>
    <w:basedOn w:val="a"/>
    <w:next w:val="a"/>
    <w:link w:val="ac"/>
    <w:uiPriority w:val="30"/>
    <w:qFormat/>
    <w:rsid w:val="00713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3C49"/>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713C49"/>
    <w:rPr>
      <w:b/>
      <w:bCs/>
      <w:smallCaps/>
      <w:color w:val="2F5496" w:themeColor="accent1" w:themeShade="BF"/>
      <w:spacing w:val="5"/>
    </w:rPr>
  </w:style>
  <w:style w:type="paragraph" w:customStyle="1" w:styleId="Ch6">
    <w:name w:val="Додаток №_горизонт (Ch_6 Міністерства)"/>
    <w:basedOn w:val="a"/>
    <w:uiPriority w:val="99"/>
    <w:rsid w:val="00713C49"/>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 Book" w:eastAsiaTheme="minorEastAsia" w:hAnsi="Pragmatica Book" w:cs="Pragmatica Book"/>
      <w:color w:val="000000"/>
      <w:w w:val="90"/>
      <w:sz w:val="17"/>
      <w:szCs w:val="17"/>
      <w:lang w:val="uk-UA" w:eastAsia="uk-UA"/>
    </w:rPr>
  </w:style>
  <w:style w:type="paragraph" w:customStyle="1" w:styleId="Ch60">
    <w:name w:val="Форма (Ch_6 Міністерства)"/>
    <w:basedOn w:val="a"/>
    <w:uiPriority w:val="99"/>
    <w:rsid w:val="00713C49"/>
    <w:pPr>
      <w:keepNext/>
      <w:keepLines/>
      <w:widowControl w:val="0"/>
      <w:tabs>
        <w:tab w:val="right" w:pos="7710"/>
      </w:tabs>
      <w:suppressAutoHyphens/>
      <w:autoSpaceDE w:val="0"/>
      <w:autoSpaceDN w:val="0"/>
      <w:adjustRightInd w:val="0"/>
      <w:spacing w:before="227" w:after="0" w:line="257" w:lineRule="auto"/>
      <w:ind w:left="4819"/>
      <w:jc w:val="right"/>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SnoskaSNOSKI">
    <w:name w:val="Snoska_цифрагоризонт (SNOSKI)"/>
    <w:basedOn w:val="a"/>
    <w:uiPriority w:val="99"/>
    <w:rsid w:val="00713C49"/>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after="0" w:line="257" w:lineRule="auto"/>
      <w:jc w:val="both"/>
      <w:textAlignment w:val="center"/>
    </w:pPr>
    <w:rPr>
      <w:rFonts w:ascii="Pragmatica Book" w:eastAsiaTheme="minorEastAsia" w:hAnsi="Pragmatica Book" w:cs="Pragmatica Book"/>
      <w:color w:val="000000"/>
      <w:w w:val="90"/>
      <w:sz w:val="15"/>
      <w:szCs w:val="15"/>
      <w:lang w:val="uk-UA" w:eastAsia="uk-UA"/>
    </w:rPr>
  </w:style>
  <w:style w:type="paragraph" w:styleId="ae">
    <w:name w:val="header"/>
    <w:basedOn w:val="a"/>
    <w:link w:val="af"/>
    <w:uiPriority w:val="99"/>
    <w:unhideWhenUsed/>
    <w:rsid w:val="002B1C4B"/>
    <w:pPr>
      <w:tabs>
        <w:tab w:val="center" w:pos="4677"/>
        <w:tab w:val="right" w:pos="9355"/>
      </w:tabs>
      <w:spacing w:after="0"/>
    </w:pPr>
  </w:style>
  <w:style w:type="character" w:customStyle="1" w:styleId="af">
    <w:name w:val="Верхній колонтитул Знак"/>
    <w:basedOn w:val="a0"/>
    <w:link w:val="ae"/>
    <w:uiPriority w:val="99"/>
    <w:rsid w:val="002B1C4B"/>
    <w:rPr>
      <w:rFonts w:ascii="Times New Roman" w:hAnsi="Times New Roman"/>
      <w:kern w:val="0"/>
      <w:sz w:val="28"/>
      <w14:ligatures w14:val="none"/>
    </w:rPr>
  </w:style>
  <w:style w:type="paragraph" w:styleId="af0">
    <w:name w:val="footer"/>
    <w:basedOn w:val="a"/>
    <w:link w:val="af1"/>
    <w:uiPriority w:val="99"/>
    <w:unhideWhenUsed/>
    <w:rsid w:val="002B1C4B"/>
    <w:pPr>
      <w:tabs>
        <w:tab w:val="center" w:pos="4677"/>
        <w:tab w:val="right" w:pos="9355"/>
      </w:tabs>
      <w:spacing w:after="0"/>
    </w:pPr>
  </w:style>
  <w:style w:type="character" w:customStyle="1" w:styleId="af1">
    <w:name w:val="Нижній колонтитул Знак"/>
    <w:basedOn w:val="a0"/>
    <w:link w:val="af0"/>
    <w:uiPriority w:val="99"/>
    <w:rsid w:val="002B1C4B"/>
    <w:rPr>
      <w:rFonts w:ascii="Times New Roman" w:hAnsi="Times New Roman"/>
      <w:kern w:val="0"/>
      <w:sz w:val="28"/>
      <w14:ligatures w14:val="none"/>
    </w:rPr>
  </w:style>
  <w:style w:type="character" w:customStyle="1" w:styleId="st46">
    <w:name w:val="st46"/>
    <w:uiPriority w:val="99"/>
    <w:rsid w:val="0028124D"/>
    <w:rPr>
      <w:i/>
      <w:iCs/>
      <w:color w:val="000000"/>
    </w:rPr>
  </w:style>
  <w:style w:type="character" w:customStyle="1" w:styleId="st121">
    <w:name w:val="st121"/>
    <w:uiPriority w:val="99"/>
    <w:rsid w:val="0028124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1992</Words>
  <Characters>1136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2026-04-16T13:39:00Z</dcterms:created>
  <dcterms:modified xsi:type="dcterms:W3CDTF">2026-04-16T13:39:00Z</dcterms:modified>
</cp:coreProperties>
</file>