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0C" w:rsidRDefault="00442B11">
      <w:pPr>
        <w:pStyle w:val="break"/>
        <w:spacing w:before="150" w:after="150"/>
        <w:rPr>
          <w:lang w:val="uk" w:eastAsia="uk"/>
        </w:rPr>
      </w:pPr>
      <w:r>
        <w:pict>
          <v:rect id="_x0000_i1027" style="width:0;height:.75pt" o:hrpct="0" o:hrstd="t" o:hr="t" fillcolor="gray" stroked="f">
            <v:path strokeok="f"/>
          </v:rect>
        </w:pict>
      </w:r>
      <w:bookmarkStart w:id="0" w:name="n428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98740C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40C" w:rsidRDefault="0098740C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37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40C" w:rsidRDefault="00353CEE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31 </w:t>
            </w:r>
            <w:r>
              <w:rPr>
                <w:lang w:val="uk" w:eastAsia="uk"/>
              </w:rPr>
              <w:br/>
              <w:t xml:space="preserve">до Порядку надіслання </w:t>
            </w:r>
            <w:r>
              <w:rPr>
                <w:lang w:val="uk" w:eastAsia="uk"/>
              </w:rPr>
              <w:br/>
              <w:t xml:space="preserve">контролюючими органами </w:t>
            </w:r>
            <w:r>
              <w:rPr>
                <w:lang w:val="uk" w:eastAsia="uk"/>
              </w:rPr>
              <w:br/>
              <w:t xml:space="preserve">податкових повідомлень-рішень </w:t>
            </w:r>
            <w:r>
              <w:rPr>
                <w:lang w:val="uk" w:eastAsia="uk"/>
              </w:rPr>
              <w:br/>
              <w:t xml:space="preserve">платникам податків </w:t>
            </w:r>
            <w:r>
              <w:rPr>
                <w:lang w:val="uk" w:eastAsia="uk"/>
              </w:rPr>
              <w:br/>
              <w:t>(пункт 1 розділу IV)</w:t>
            </w:r>
          </w:p>
        </w:tc>
      </w:tr>
    </w:tbl>
    <w:p w:rsidR="0098740C" w:rsidRDefault="00353CEE">
      <w:pPr>
        <w:pStyle w:val="rvps7"/>
        <w:spacing w:before="150" w:after="150"/>
        <w:ind w:left="450" w:right="450"/>
        <w:rPr>
          <w:lang w:val="uk" w:eastAsia="uk"/>
        </w:rPr>
      </w:pPr>
      <w:bookmarkStart w:id="2" w:name="n374"/>
      <w:bookmarkEnd w:id="2"/>
      <w:r>
        <w:rPr>
          <w:rStyle w:val="spanrvts15"/>
          <w:lang w:val="uk" w:eastAsia="uk"/>
        </w:rPr>
        <w:t xml:space="preserve">РЕЄСТР </w:t>
      </w:r>
      <w:r>
        <w:rPr>
          <w:rStyle w:val="spanrvts15"/>
          <w:lang w:val="uk" w:eastAsia="uk"/>
        </w:rPr>
        <w:br/>
        <w:t>податкових повідомлень-рішень, надісланих (вручених) платникам податків - юридичним особам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959"/>
        <w:gridCol w:w="2211"/>
        <w:gridCol w:w="1877"/>
        <w:gridCol w:w="1478"/>
        <w:gridCol w:w="1383"/>
        <w:gridCol w:w="1049"/>
      </w:tblGrid>
      <w:tr w:rsidR="0098740C">
        <w:trPr>
          <w:trHeight w:val="60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bookmarkStart w:id="3" w:name="n375"/>
            <w:bookmarkEnd w:id="3"/>
            <w:r>
              <w:rPr>
                <w:rStyle w:val="spanrvts82"/>
                <w:lang w:val="uk" w:eastAsia="uk"/>
              </w:rPr>
              <w:t>Номер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2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Дата складання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Форма податкового повідомлення-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lang w:val="uk" w:eastAsia="uk"/>
              </w:rPr>
              <w:t>рішення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Найменування платника податків</w:t>
            </w:r>
          </w:p>
        </w:tc>
        <w:tc>
          <w:tcPr>
            <w:tcW w:w="1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Податковий номер платника податків</w:t>
            </w:r>
          </w:p>
        </w:tc>
        <w:tc>
          <w:tcPr>
            <w:tcW w:w="9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Код платежу</w:t>
            </w:r>
          </w:p>
        </w:tc>
      </w:tr>
      <w:tr w:rsidR="0098740C">
        <w:trPr>
          <w:trHeight w:val="60"/>
          <w:jc w:val="center"/>
        </w:trPr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1</w:t>
            </w:r>
          </w:p>
        </w:tc>
        <w:tc>
          <w:tcPr>
            <w:tcW w:w="208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2</w:t>
            </w:r>
          </w:p>
        </w:tc>
        <w:tc>
          <w:tcPr>
            <w:tcW w:w="176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3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4</w:t>
            </w:r>
          </w:p>
        </w:tc>
        <w:tc>
          <w:tcPr>
            <w:tcW w:w="130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5</w:t>
            </w:r>
          </w:p>
        </w:tc>
        <w:tc>
          <w:tcPr>
            <w:tcW w:w="98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98740C" w:rsidRDefault="00353CEE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6</w:t>
            </w:r>
          </w:p>
        </w:tc>
      </w:tr>
      <w:tr w:rsidR="0098740C">
        <w:trPr>
          <w:trHeight w:val="60"/>
          <w:jc w:val="center"/>
        </w:trPr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208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76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30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98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</w:tcPr>
          <w:p w:rsidR="0098740C" w:rsidRDefault="0098740C">
            <w:pPr>
              <w:pStyle w:val="rvps12"/>
              <w:spacing w:before="150" w:after="150"/>
              <w:rPr>
                <w:lang w:val="uk" w:eastAsia="uk"/>
              </w:rPr>
            </w:pPr>
          </w:p>
        </w:tc>
      </w:tr>
    </w:tbl>
    <w:p w:rsidR="0098740C" w:rsidRDefault="00353CEE" w:rsidP="00442B11">
      <w:pPr>
        <w:pStyle w:val="rvps2"/>
        <w:spacing w:after="150"/>
        <w:rPr>
          <w:lang w:val="uk" w:eastAsia="uk"/>
        </w:rPr>
      </w:pPr>
      <w:bookmarkStart w:id="4" w:name="n411"/>
      <w:bookmarkEnd w:id="4"/>
      <w:r>
        <w:rPr>
          <w:rStyle w:val="spanrvts46"/>
          <w:lang w:val="uk" w:eastAsia="uk"/>
        </w:rPr>
        <w:t xml:space="preserve">{Додаток в редакції Наказу Міністерства фінансів </w:t>
      </w:r>
      <w:hyperlink r:id="rId5" w:anchor="n190" w:tgtFrame="_blank" w:history="1">
        <w:r>
          <w:rPr>
            <w:rStyle w:val="arvts100"/>
            <w:lang w:val="uk" w:eastAsia="uk"/>
          </w:rPr>
          <w:t>№ 846 від 31.12.2020</w:t>
        </w:r>
      </w:hyperlink>
      <w:r>
        <w:rPr>
          <w:rStyle w:val="spanrvts46"/>
          <w:lang w:val="uk" w:eastAsia="uk"/>
        </w:rPr>
        <w:t>}</w:t>
      </w:r>
      <w:bookmarkStart w:id="5" w:name="_GoBack"/>
      <w:bookmarkEnd w:id="5"/>
      <w:r w:rsidR="00442B11">
        <w:pict>
          <v:rect id="_x0000_i1028" style="width:0;height:.75pt" o:hrpct="0" o:hrstd="t" o:hr="t" fillcolor="gray" stroked="f">
            <v:path strokeok="f"/>
          </v:rect>
        </w:pict>
      </w:r>
      <w:bookmarkStart w:id="6" w:name="n376"/>
      <w:bookmarkEnd w:id="6"/>
    </w:p>
    <w:sectPr w:rsidR="0098740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C960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EE8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48D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F21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D86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B0E0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3CD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34D3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C08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C642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2AC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1A0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4E16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C09F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30E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6ED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DA5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0A4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0C"/>
    <w:rsid w:val="002E7734"/>
    <w:rsid w:val="00353CEE"/>
    <w:rsid w:val="00442B11"/>
    <w:rsid w:val="009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F9A5-6337-462B-A591-571C35A4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1">
    <w:name w:val="a_rvts101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rvps12">
    <w:name w:val="rvps12"/>
    <w:basedOn w:val="a"/>
    <w:pPr>
      <w:jc w:val="center"/>
    </w:pPr>
  </w:style>
  <w:style w:type="character" w:customStyle="1" w:styleId="spanrvts82">
    <w:name w:val="span_rvts82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222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Порядку надіслання контролюючими органами податкових повідомлень-рішень платникам податків | від 28.12.2015 № 1204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надіслання контролюючими органами податкових повідомлень-рішень платникам податків | від 28.12.2015 № 1204</dc:title>
  <dc:creator>User</dc:creator>
  <cp:lastModifiedBy>СТЕЦЮК ОЛЕКСАНДР ІВАНОВИЧ</cp:lastModifiedBy>
  <cp:revision>4</cp:revision>
  <dcterms:created xsi:type="dcterms:W3CDTF">2026-04-15T13:36:00Z</dcterms:created>
  <dcterms:modified xsi:type="dcterms:W3CDTF">2026-04-16T14:03:00Z</dcterms:modified>
</cp:coreProperties>
</file>