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D300" w14:textId="77777777" w:rsidR="00456D58" w:rsidRDefault="00071BBB" w:rsidP="00AF3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186EDA" w14:textId="77777777" w:rsidR="00456D58" w:rsidRDefault="00071BBB">
      <w:pPr>
        <w:pStyle w:val="af1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проєкту постанови Кабінету Міністрів України «Про внесення змін до Порядку зупинення реєстрації податкової накладної / розрахунку коригування в Єдиному реєстрі податкових накладних»</w:t>
      </w:r>
    </w:p>
    <w:p w14:paraId="2E61A8D1" w14:textId="77777777" w:rsidR="00456D58" w:rsidRPr="00AF3721" w:rsidRDefault="00456D58" w:rsidP="00AF3721">
      <w:pPr>
        <w:pStyle w:val="2"/>
        <w:spacing w:before="0" w:beforeAutospacing="0" w:after="0" w:afterAutospacing="0" w:line="240" w:lineRule="auto"/>
        <w:ind w:firstLine="567"/>
        <w:jc w:val="center"/>
        <w:rPr>
          <w:sz w:val="28"/>
          <w:szCs w:val="28"/>
          <w:lang w:val="uk-UA"/>
        </w:rPr>
      </w:pPr>
    </w:p>
    <w:p w14:paraId="73962B12" w14:textId="77777777" w:rsidR="00456D58" w:rsidRDefault="00071BBB" w:rsidP="00AF3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Визначення проблеми</w:t>
      </w:r>
    </w:p>
    <w:p w14:paraId="62FF46E0" w14:textId="77777777" w:rsidR="00456D58" w:rsidRPr="00AF3721" w:rsidRDefault="00456D58" w:rsidP="00AF37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4EEA98" w14:textId="34318B36" w:rsidR="00456D58" w:rsidRDefault="00071BBB">
      <w:pPr>
        <w:pStyle w:val="af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Проєкт постанови</w:t>
      </w:r>
      <w:r>
        <w:rPr>
          <w:sz w:val="28"/>
          <w:szCs w:val="28"/>
        </w:rPr>
        <w:t xml:space="preserve"> Кабінету Міністрів України «</w:t>
      </w:r>
      <w:r>
        <w:rPr>
          <w:rFonts w:eastAsia="SimSun"/>
          <w:sz w:val="28"/>
          <w:szCs w:val="28"/>
        </w:rPr>
        <w:t xml:space="preserve">Про внесення змін до </w:t>
      </w:r>
      <w:r>
        <w:rPr>
          <w:rFonts w:eastAsia="SimSun"/>
          <w:sz w:val="28"/>
          <w:szCs w:val="28"/>
        </w:rPr>
        <w:t>Порядку зупинення реєстрації податкової накладної / розрахунку коригування в Єдиному реєстрі податкових накладних</w:t>
      </w:r>
      <w:r>
        <w:rPr>
          <w:sz w:val="28"/>
          <w:szCs w:val="28"/>
        </w:rPr>
        <w:t>» (далі – проєкт постанови) розроблено з метою</w:t>
      </w:r>
      <w:r w:rsidRPr="00AF3721">
        <w:rPr>
          <w:sz w:val="28"/>
          <w:szCs w:val="28"/>
        </w:rPr>
        <w:t xml:space="preserve"> </w:t>
      </w:r>
      <w:r>
        <w:rPr>
          <w:sz w:val="28"/>
          <w:szCs w:val="28"/>
        </w:rPr>
        <w:t>удосконалення механізму автоматизованого моні</w:t>
      </w:r>
      <w:r>
        <w:rPr>
          <w:sz w:val="28"/>
          <w:szCs w:val="28"/>
        </w:rPr>
        <w:t>торингу відповідності податкової накладної / розрахунку коригування (далі – ПН / РК) критеріям</w:t>
      </w:r>
      <w:r>
        <w:rPr>
          <w:sz w:val="28"/>
          <w:szCs w:val="28"/>
        </w:rPr>
        <w:t>, за якими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оцінюється </w:t>
      </w:r>
      <w:r>
        <w:rPr>
          <w:sz w:val="28"/>
          <w:szCs w:val="28"/>
        </w:rPr>
        <w:t xml:space="preserve">ступінь </w:t>
      </w:r>
      <w:r>
        <w:rPr>
          <w:sz w:val="28"/>
          <w:szCs w:val="28"/>
        </w:rPr>
        <w:t xml:space="preserve">ризику </w:t>
      </w:r>
      <w:r>
        <w:rPr>
          <w:sz w:val="28"/>
          <w:szCs w:val="28"/>
        </w:rPr>
        <w:t>(далі – автоматизований моніторинг)</w:t>
      </w:r>
      <w:r>
        <w:rPr>
          <w:sz w:val="28"/>
          <w:szCs w:val="28"/>
        </w:rPr>
        <w:t>,</w:t>
      </w:r>
      <w:r w:rsidRPr="00AF3721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забезпечення</w:t>
      </w:r>
      <w:r w:rsidRPr="00AF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оптимізації таких механізмів для сумлінних платників податку на додану вартість (далі – ПДВ) </w:t>
      </w:r>
      <w:r>
        <w:rPr>
          <w:sz w:val="28"/>
          <w:szCs w:val="28"/>
        </w:rPr>
        <w:t>під час</w:t>
      </w:r>
      <w:r>
        <w:rPr>
          <w:sz w:val="28"/>
          <w:szCs w:val="28"/>
        </w:rPr>
        <w:t xml:space="preserve"> реєстрації </w:t>
      </w:r>
      <w:r>
        <w:rPr>
          <w:sz w:val="28"/>
          <w:szCs w:val="28"/>
        </w:rPr>
        <w:t>ПН</w:t>
      </w:r>
      <w:r>
        <w:rPr>
          <w:sz w:val="28"/>
          <w:szCs w:val="28"/>
        </w:rPr>
        <w:t> / </w:t>
      </w:r>
      <w:r>
        <w:rPr>
          <w:sz w:val="28"/>
          <w:szCs w:val="28"/>
        </w:rPr>
        <w:t>РК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Єдиному реєстрі податкових накладних (далі – Реєстр).</w:t>
      </w:r>
    </w:p>
    <w:p w14:paraId="4C8AC6A6" w14:textId="55273A55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Згідно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постанови запропоновано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окремих положень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2019 року № 1165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зі  змінами) </w:t>
      </w:r>
      <w:r>
        <w:rPr>
          <w:sz w:val="28"/>
          <w:szCs w:val="28"/>
        </w:rPr>
        <w:t xml:space="preserve">(далі – Порядок зупинення),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частині проведення автоматизованого моніторингу. </w:t>
      </w:r>
    </w:p>
    <w:p w14:paraId="02F3AAD8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Передбачається внесення змін до ознак безумовної реєстрації, зокрема до підпунктів 2, 6 та 7 пункту 3 Порядку зупинення:</w:t>
      </w:r>
    </w:p>
    <w:p w14:paraId="58EDE075" w14:textId="1690F434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збільшення показників загального обсягу </w:t>
      </w:r>
      <w:r>
        <w:rPr>
          <w:sz w:val="28"/>
          <w:szCs w:val="28"/>
        </w:rPr>
        <w:t xml:space="preserve">постачання, зазначеного в </w:t>
      </w:r>
      <w:r>
        <w:rPr>
          <w:sz w:val="28"/>
          <w:szCs w:val="28"/>
        </w:rPr>
        <w:t>ПН </w:t>
      </w:r>
      <w:r>
        <w:rPr>
          <w:sz w:val="28"/>
          <w:szCs w:val="28"/>
        </w:rPr>
        <w:t>/ </w:t>
      </w:r>
      <w:r>
        <w:rPr>
          <w:sz w:val="28"/>
          <w:szCs w:val="28"/>
        </w:rPr>
        <w:t xml:space="preserve">РК, зареєстрованих у поточному місяці, 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 500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1  </w:t>
      </w:r>
      <w:r>
        <w:rPr>
          <w:sz w:val="28"/>
          <w:szCs w:val="28"/>
        </w:rPr>
        <w:t>млн  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, обсягу постачання за одним отримувачем – платником податку </w:t>
      </w:r>
      <w:r>
        <w:rPr>
          <w:sz w:val="28"/>
          <w:szCs w:val="28"/>
        </w:rPr>
        <w:t>з 50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100  </w:t>
      </w:r>
      <w:r>
        <w:rPr>
          <w:sz w:val="28"/>
          <w:szCs w:val="28"/>
        </w:rPr>
        <w:t>тис</w:t>
      </w:r>
      <w:r>
        <w:rPr>
          <w:sz w:val="28"/>
          <w:szCs w:val="28"/>
        </w:rPr>
        <w:t>.  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, сплати ПДВ 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 20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 40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та кількості платників податку, на яких керівник займає аналогічну посаду, 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 трьох до п’яти;</w:t>
      </w:r>
    </w:p>
    <w:p w14:paraId="38C8C6FE" w14:textId="6BB65CD3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збільшення показника обсягу постачання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податковій накладній, яка підлягає наданню отримувачу, та загальної суми абсолютних значень</w:t>
      </w:r>
      <w:r>
        <w:rPr>
          <w:sz w:val="28"/>
          <w:szCs w:val="28"/>
        </w:rPr>
        <w:t xml:space="preserve"> коригування на збільшення та/або зменшення суми компенсації вартості, зазначених у розрахунках коригування, 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з </w:t>
      </w:r>
      <w:r>
        <w:rPr>
          <w:sz w:val="28"/>
          <w:szCs w:val="28"/>
        </w:rPr>
        <w:t>5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до 10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та загального обсягу таких операцій у поточному місяці з 500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 3 млн гривень.</w:t>
      </w:r>
    </w:p>
    <w:p w14:paraId="0986CAA1" w14:textId="4E13EC0F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Пропонується частково змінити ознаки безумовної реєстрації для операцій, відображених у ПН / РК, складених </w:t>
      </w:r>
      <w:r>
        <w:rPr>
          <w:sz w:val="28"/>
          <w:szCs w:val="28"/>
        </w:rPr>
        <w:t xml:space="preserve">відповідно до пункту 97 підрозділу 2 </w:t>
      </w:r>
      <w:r>
        <w:rPr>
          <w:sz w:val="28"/>
          <w:szCs w:val="28"/>
        </w:rPr>
        <w:t>розділу  </w:t>
      </w:r>
      <w:r>
        <w:rPr>
          <w:sz w:val="28"/>
          <w:szCs w:val="28"/>
        </w:rPr>
        <w:t xml:space="preserve">XX «Перехідні положення» Податкового кодексу України, </w:t>
      </w:r>
      <w:r>
        <w:rPr>
          <w:sz w:val="28"/>
          <w:szCs w:val="28"/>
        </w:rPr>
        <w:t xml:space="preserve">стосовно </w:t>
      </w:r>
      <w:r>
        <w:rPr>
          <w:sz w:val="28"/>
          <w:szCs w:val="28"/>
        </w:rPr>
        <w:t>товарів</w:t>
      </w:r>
      <w:r>
        <w:rPr>
          <w:sz w:val="28"/>
          <w:szCs w:val="28"/>
        </w:rPr>
        <w:t xml:space="preserve">, до яких </w:t>
      </w:r>
      <w:r>
        <w:rPr>
          <w:sz w:val="28"/>
          <w:szCs w:val="28"/>
        </w:rPr>
        <w:t>застосовується режим експортного забезпечення, зокрема:</w:t>
      </w:r>
    </w:p>
    <w:p w14:paraId="1318397D" w14:textId="313C78A8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платника податку, зареєстрованого (основне місце обліку) на території, яка наявна в </w:t>
      </w:r>
      <w:r>
        <w:rPr>
          <w:sz w:val="28"/>
          <w:szCs w:val="28"/>
        </w:rPr>
        <w:t xml:space="preserve">Переліку </w:t>
      </w:r>
      <w:r>
        <w:rPr>
          <w:sz w:val="28"/>
          <w:szCs w:val="28"/>
        </w:rPr>
        <w:t xml:space="preserve">територій, на яких ведуться (велися) бойові дії або тимчасово окупованих </w:t>
      </w:r>
      <w:r>
        <w:rPr>
          <w:sz w:val="28"/>
          <w:szCs w:val="28"/>
        </w:rPr>
        <w:t>російською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федерацією</w:t>
      </w:r>
      <w:r>
        <w:rPr>
          <w:sz w:val="28"/>
          <w:szCs w:val="28"/>
        </w:rPr>
        <w:t xml:space="preserve">, затвердженому </w:t>
      </w:r>
      <w:r>
        <w:rPr>
          <w:sz w:val="28"/>
          <w:szCs w:val="28"/>
        </w:rPr>
        <w:t xml:space="preserve">наказом </w:t>
      </w:r>
      <w:r>
        <w:rPr>
          <w:sz w:val="28"/>
          <w:szCs w:val="28"/>
        </w:rPr>
        <w:t>Мін</w:t>
      </w:r>
      <w:r>
        <w:rPr>
          <w:sz w:val="28"/>
          <w:szCs w:val="28"/>
        </w:rPr>
        <w:t>істерств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розвитку громад та територій </w:t>
      </w:r>
      <w:r>
        <w:rPr>
          <w:sz w:val="28"/>
          <w:szCs w:val="28"/>
        </w:rPr>
        <w:t xml:space="preserve">від 28.02.2025 № 376, </w:t>
      </w:r>
      <w:r>
        <w:rPr>
          <w:sz w:val="28"/>
          <w:szCs w:val="28"/>
        </w:rPr>
        <w:lastRenderedPageBreak/>
        <w:t xml:space="preserve">зареєстрованому в Міністерстві юстиції України </w:t>
      </w:r>
      <w:r>
        <w:rPr>
          <w:sz w:val="28"/>
          <w:szCs w:val="28"/>
        </w:rPr>
        <w:t xml:space="preserve">11.03.2025 за № 380/43786 </w:t>
      </w:r>
      <w:r>
        <w:rPr>
          <w:sz w:val="28"/>
          <w:szCs w:val="28"/>
        </w:rPr>
        <w:t>(зі</w:t>
      </w:r>
      <w:r>
        <w:rPr>
          <w:sz w:val="28"/>
          <w:szCs w:val="28"/>
        </w:rPr>
        <w:t>  </w:t>
      </w:r>
      <w:r>
        <w:rPr>
          <w:sz w:val="28"/>
          <w:szCs w:val="28"/>
        </w:rPr>
        <w:t>змінами)</w:t>
      </w:r>
      <w:r>
        <w:rPr>
          <w:sz w:val="28"/>
          <w:szCs w:val="28"/>
        </w:rPr>
        <w:t xml:space="preserve">, зокрема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території можливих бойових дій, </w:t>
      </w:r>
      <w:r>
        <w:rPr>
          <w:sz w:val="28"/>
          <w:szCs w:val="28"/>
        </w:rPr>
        <w:t>виключити умову щодо наявності дати припинення можливості бойових дій на такій території;</w:t>
      </w:r>
    </w:p>
    <w:p w14:paraId="23623053" w14:textId="77ED98F3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доповнити ознакою безумовної реєстрації, яка застосовується до операцій, коди УКТЗЕД яких </w:t>
      </w:r>
      <w:r>
        <w:rPr>
          <w:sz w:val="28"/>
          <w:szCs w:val="28"/>
        </w:rPr>
        <w:t xml:space="preserve">зазначено </w:t>
      </w:r>
      <w:r>
        <w:rPr>
          <w:sz w:val="28"/>
          <w:szCs w:val="28"/>
        </w:rPr>
        <w:t>у врахованій таблиці даних платника податку, за умови ві</w:t>
      </w:r>
      <w:r>
        <w:rPr>
          <w:sz w:val="28"/>
          <w:szCs w:val="28"/>
        </w:rPr>
        <w:t>дсутності стосовно такого платника податку чинного рішення про відповідність платника податку критеріям ризиковості.</w:t>
      </w:r>
    </w:p>
    <w:p w14:paraId="08E4B7AC" w14:textId="71118CE6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Згідно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постанови запропоновано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умов автоматичної реєстрації ПН / РК, реєстрацію яких зупинено, а саме:</w:t>
      </w:r>
    </w:p>
    <w:p w14:paraId="4966FAF4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ПН / РК, які підлягатимуть автоматичній реєстрації у разі виключення платника податку з переліку платників, які відповідають критеріям ризиковості платника податку, пропонується здійснення перевірки на відповідність хоча б одному показнику, за яким виз</w:t>
      </w:r>
      <w:r>
        <w:rPr>
          <w:sz w:val="28"/>
          <w:szCs w:val="28"/>
        </w:rPr>
        <w:t>начається позитивна податкова історія платника ПДВ (далі – позитивна історія), та врахування умови відсутності значного зростання показника суми ПДВ протягом шести послідовних місяців, що передують даті подання платником податку інформації та копій докумен</w:t>
      </w:r>
      <w:r>
        <w:rPr>
          <w:sz w:val="28"/>
          <w:szCs w:val="28"/>
        </w:rPr>
        <w:t>тів, які можуть свідчити про невідповідність платника податку критеріям ризиковості платника податку;</w:t>
      </w:r>
    </w:p>
    <w:p w14:paraId="0EB648B2" w14:textId="49573FAD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ПН / РК, які підлягатимуть автоматичній реєстрації у разі врахування таблиці даних платника податку, доповнено умовою застосування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тому числі </w:t>
      </w:r>
      <w:r>
        <w:rPr>
          <w:sz w:val="28"/>
          <w:szCs w:val="28"/>
        </w:rPr>
        <w:t>таблиць даних платника податку, врахованих в автоматичному режимі.</w:t>
      </w:r>
    </w:p>
    <w:p w14:paraId="020F9748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Запропоновано внесення змін до вимог автоматичного врахування таблиці даних платника податку, зокрема</w:t>
      </w:r>
      <w:r>
        <w:rPr>
          <w:sz w:val="28"/>
          <w:szCs w:val="28"/>
        </w:rPr>
        <w:t xml:space="preserve"> в частин</w:t>
      </w:r>
      <w:r>
        <w:rPr>
          <w:sz w:val="28"/>
          <w:szCs w:val="28"/>
        </w:rPr>
        <w:t>ах</w:t>
      </w:r>
      <w:r>
        <w:rPr>
          <w:sz w:val="28"/>
          <w:szCs w:val="28"/>
        </w:rPr>
        <w:t>:</w:t>
      </w:r>
    </w:p>
    <w:p w14:paraId="2B2B44A1" w14:textId="3332ADE2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одночасного </w:t>
      </w:r>
      <w:r>
        <w:rPr>
          <w:sz w:val="28"/>
          <w:szCs w:val="28"/>
        </w:rPr>
        <w:t>виконання умов:</w:t>
      </w:r>
    </w:p>
    <w:p w14:paraId="35F4930F" w14:textId="3A458F5E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наявності у платника податку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опередньому році земельної ділянки сільськогосподарського призначення площею не менше 200 гектарів;</w:t>
      </w:r>
    </w:p>
    <w:p w14:paraId="02BA6445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платник зареєстрований платником ПДВ не менше 365 днів, що передують даті подання таблиці даних платника податку;</w:t>
      </w:r>
    </w:p>
    <w:p w14:paraId="43A558EC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середньомісячна чисельність працюючих за о</w:t>
      </w:r>
      <w:r>
        <w:rPr>
          <w:sz w:val="28"/>
          <w:szCs w:val="28"/>
        </w:rPr>
        <w:t>станні 12 місяців становить не менше трьох осіб;</w:t>
      </w:r>
    </w:p>
    <w:p w14:paraId="395135DF" w14:textId="3F7D9765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таблиці даних платника податку </w:t>
      </w:r>
      <w:r>
        <w:rPr>
          <w:sz w:val="28"/>
          <w:szCs w:val="28"/>
        </w:rPr>
        <w:t xml:space="preserve">зазначено </w:t>
      </w:r>
      <w:r>
        <w:rPr>
          <w:sz w:val="28"/>
          <w:szCs w:val="28"/>
        </w:rPr>
        <w:t xml:space="preserve">код згідно з УКТЗЕД / Державним класифікатором товару / послуги, обсяг постачання за яким за останні 12 календарних місяців становить більше 25 </w:t>
      </w:r>
      <w:r>
        <w:rPr>
          <w:sz w:val="28"/>
          <w:szCs w:val="28"/>
        </w:rPr>
        <w:t>відсотків від загального обсягу постачання в цьому періоді;</w:t>
      </w:r>
    </w:p>
    <w:p w14:paraId="7B8C7836" w14:textId="53DEEFB4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дату подання таблиці даних платника податку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платника податку відсутній податковий борг </w:t>
      </w:r>
      <w:r>
        <w:rPr>
          <w:sz w:val="28"/>
          <w:szCs w:val="28"/>
        </w:rPr>
        <w:t>з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сплати податків, зборів, обов’язкових платежів, контроль за справлянням яких покладено на ДПС;</w:t>
      </w:r>
    </w:p>
    <w:p w14:paraId="56ECA567" w14:textId="22E33C8A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одночасного </w:t>
      </w:r>
      <w:r>
        <w:rPr>
          <w:sz w:val="28"/>
          <w:szCs w:val="28"/>
        </w:rPr>
        <w:t>виконання таких умов:</w:t>
      </w:r>
    </w:p>
    <w:p w14:paraId="4F924EF0" w14:textId="17386C60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таблиці даних платника податку </w:t>
      </w:r>
      <w:r>
        <w:rPr>
          <w:sz w:val="28"/>
          <w:szCs w:val="28"/>
        </w:rPr>
        <w:t xml:space="preserve">зазначено </w:t>
      </w:r>
      <w:r>
        <w:rPr>
          <w:sz w:val="28"/>
          <w:szCs w:val="28"/>
        </w:rPr>
        <w:t xml:space="preserve">код згідно з УКТЗЕД / </w:t>
      </w:r>
      <w:r>
        <w:rPr>
          <w:sz w:val="28"/>
          <w:szCs w:val="28"/>
        </w:rPr>
        <w:t xml:space="preserve">Державним класифікатором товару / послуги, обсяг постачання за яким за останні 12 календарних місяців становить більше 25 </w:t>
      </w:r>
      <w:r>
        <w:rPr>
          <w:sz w:val="28"/>
          <w:szCs w:val="28"/>
        </w:rPr>
        <w:t>відсотків від загального обсягу постачання в цьому періоді;</w:t>
      </w:r>
    </w:p>
    <w:p w14:paraId="3AEB23F5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платник зареєстрований платником ПДВ не менше 365 днів, що передують даті подання таблиці даних платника податку;</w:t>
      </w:r>
    </w:p>
    <w:p w14:paraId="69CF2E84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середньомісячна чисельність працюючих за останні 12 місяців становить не менше п’я</w:t>
      </w:r>
      <w:r>
        <w:rPr>
          <w:sz w:val="28"/>
          <w:szCs w:val="28"/>
        </w:rPr>
        <w:t>ти осіб;</w:t>
      </w:r>
    </w:p>
    <w:p w14:paraId="4C3866DA" w14:textId="6F1325D1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дату подання таблиці даних платника податку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платника податку відсутній податковий борг </w:t>
      </w:r>
      <w:r>
        <w:rPr>
          <w:sz w:val="28"/>
          <w:szCs w:val="28"/>
        </w:rPr>
        <w:t>з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сплати податків, зборів, обов’язкових платежів, контроль за справлянням яких покладено на ДПС;</w:t>
      </w:r>
    </w:p>
    <w:p w14:paraId="2ACE9E6D" w14:textId="77777777" w:rsidR="00456D58" w:rsidRDefault="00071B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показник D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пдв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 календарного місяця, у якому подано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таблицю даних платника податку, має значення більше 0,02;</w:t>
      </w:r>
    </w:p>
    <w:p w14:paraId="53A07E48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значення показника P</w:t>
      </w:r>
      <w:r>
        <w:rPr>
          <w:sz w:val="28"/>
          <w:szCs w:val="28"/>
          <w:vertAlign w:val="subscript"/>
        </w:rPr>
        <w:t>поточ</w:t>
      </w:r>
      <w:r>
        <w:rPr>
          <w:sz w:val="28"/>
          <w:szCs w:val="28"/>
        </w:rPr>
        <w:t xml:space="preserve"> у календарному місяці, у якому подано таблицю даних платника податку, є меншим ніж значення Р</w:t>
      </w:r>
      <w:r>
        <w:rPr>
          <w:sz w:val="28"/>
          <w:szCs w:val="28"/>
          <w:vertAlign w:val="subscript"/>
        </w:rPr>
        <w:t>макс</w:t>
      </w:r>
      <w:r>
        <w:rPr>
          <w:sz w:val="28"/>
          <w:szCs w:val="28"/>
        </w:rPr>
        <w:t>.</w:t>
      </w:r>
    </w:p>
    <w:p w14:paraId="4F198352" w14:textId="04312EF5" w:rsidR="00456D58" w:rsidRPr="00CF5A0F" w:rsidRDefault="00071BBB">
      <w:pPr>
        <w:pStyle w:val="StyleZakonu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проєкту </w:t>
      </w:r>
      <w:r>
        <w:rPr>
          <w:sz w:val="28"/>
          <w:szCs w:val="28"/>
        </w:rPr>
        <w:t xml:space="preserve">постанови пропонується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окремих показників позитивної історії, визначених у додатку 2 до Порядку зупинення, зокрема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пункті 1 збільшити</w:t>
      </w:r>
      <w:r w:rsidRPr="00CF5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показники загального обсягу постачання, зазначеного </w:t>
      </w:r>
      <w:r>
        <w:rPr>
          <w:sz w:val="28"/>
          <w:szCs w:val="28"/>
        </w:rPr>
        <w:t xml:space="preserve">в ПН / РК, зареєстрованих у поточному місяці, </w:t>
      </w:r>
      <w:r>
        <w:rPr>
          <w:sz w:val="28"/>
          <w:szCs w:val="28"/>
        </w:rPr>
        <w:t>і</w:t>
      </w:r>
      <w:r>
        <w:rPr>
          <w:sz w:val="28"/>
          <w:szCs w:val="28"/>
        </w:rPr>
        <w:t>з 1 млн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  </w:t>
      </w:r>
      <w:r>
        <w:rPr>
          <w:sz w:val="28"/>
          <w:szCs w:val="28"/>
        </w:rPr>
        <w:t>3  </w:t>
      </w:r>
      <w:r>
        <w:rPr>
          <w:sz w:val="28"/>
          <w:szCs w:val="28"/>
        </w:rPr>
        <w:t>млн  </w:t>
      </w:r>
      <w:r>
        <w:rPr>
          <w:sz w:val="28"/>
          <w:szCs w:val="28"/>
        </w:rPr>
        <w:t>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>, обсягу постачання за одним отримувачем – платником податку з 100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до 500 тис. гр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та кількості платників податку, на яких керівник займає аналогічну посаду, 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з трьох до п’яти. Пункт 3 показників </w:t>
      </w:r>
      <w:r>
        <w:rPr>
          <w:sz w:val="28"/>
          <w:szCs w:val="28"/>
        </w:rPr>
        <w:t>позитивної  </w:t>
      </w:r>
      <w:r>
        <w:rPr>
          <w:sz w:val="28"/>
          <w:szCs w:val="28"/>
        </w:rPr>
        <w:t xml:space="preserve">історії запропоновано доповнити положенням щодо врахування </w:t>
      </w:r>
      <w:r>
        <w:rPr>
          <w:sz w:val="28"/>
          <w:szCs w:val="28"/>
        </w:rPr>
        <w:t>показників 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  </w:t>
      </w:r>
      <w:r>
        <w:rPr>
          <w:sz w:val="28"/>
          <w:szCs w:val="28"/>
        </w:rPr>
        <w:t>та  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</w:rPr>
        <w:t>.</w:t>
      </w:r>
      <w:r w:rsidRPr="00CF5A0F">
        <w:rPr>
          <w:sz w:val="28"/>
          <w:szCs w:val="28"/>
        </w:rPr>
        <w:t xml:space="preserve"> </w:t>
      </w:r>
    </w:p>
    <w:p w14:paraId="20CFC199" w14:textId="78A98AFA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Також пропонується внести зміни до окремих критеріїв ризиковості здійснення операцій, визначених у додатку 3 до Порядку зупинення, зокрема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пункті 1 </w:t>
      </w:r>
      <w:r>
        <w:rPr>
          <w:sz w:val="28"/>
          <w:szCs w:val="28"/>
        </w:rPr>
        <w:t xml:space="preserve">зазначеного додатка </w:t>
      </w:r>
      <w:r>
        <w:rPr>
          <w:sz w:val="28"/>
          <w:szCs w:val="28"/>
        </w:rPr>
        <w:t xml:space="preserve">визначити умову щодо врахування </w:t>
      </w:r>
      <w:r>
        <w:rPr>
          <w:sz w:val="28"/>
          <w:szCs w:val="28"/>
        </w:rPr>
        <w:t xml:space="preserve">під час </w:t>
      </w:r>
      <w:r>
        <w:rPr>
          <w:sz w:val="28"/>
          <w:szCs w:val="28"/>
        </w:rPr>
        <w:t>розрахунку величини залишку у платника податку обсягу постачання товарів за межі митної території України. У пункті 6 критеріїв ризиковості здійснення операцій строк подання для реєстрації роз</w:t>
      </w:r>
      <w:r>
        <w:rPr>
          <w:sz w:val="28"/>
          <w:szCs w:val="28"/>
        </w:rPr>
        <w:t xml:space="preserve">рахунку коригування на зменшення податкових зобов’язань до податкової накладної, складеної на неплатника ПДВ, </w:t>
      </w:r>
      <w:r>
        <w:rPr>
          <w:sz w:val="28"/>
          <w:szCs w:val="28"/>
        </w:rPr>
        <w:t xml:space="preserve">пропонується </w:t>
      </w:r>
      <w:r>
        <w:rPr>
          <w:sz w:val="28"/>
          <w:szCs w:val="28"/>
        </w:rPr>
        <w:t>збільшити і</w:t>
      </w:r>
      <w:r>
        <w:rPr>
          <w:sz w:val="28"/>
          <w:szCs w:val="28"/>
        </w:rPr>
        <w:t xml:space="preserve">з 30 днів до 90 днів. </w:t>
      </w:r>
    </w:p>
    <w:p w14:paraId="5D42D822" w14:textId="77777777" w:rsidR="00456D58" w:rsidRDefault="00071BBB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86A6A1D" w14:textId="77777777" w:rsidR="00456D58" w:rsidRDefault="00071BBB" w:rsidP="00CF5A0F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групи (підгрупи), на які проблема має вплив:</w:t>
      </w:r>
    </w:p>
    <w:p w14:paraId="5575CB9A" w14:textId="77777777" w:rsidR="00456D58" w:rsidRDefault="00456D58" w:rsidP="00CF5A0F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9"/>
        <w:gridCol w:w="3198"/>
        <w:gridCol w:w="3191"/>
      </w:tblGrid>
      <w:tr w:rsidR="00456D58" w14:paraId="03C3FD77" w14:textId="77777777">
        <w:tc>
          <w:tcPr>
            <w:tcW w:w="3285" w:type="dxa"/>
          </w:tcPr>
          <w:p w14:paraId="2310B075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Групи (підгрупи)</w:t>
            </w:r>
          </w:p>
        </w:tc>
        <w:tc>
          <w:tcPr>
            <w:tcW w:w="3285" w:type="dxa"/>
          </w:tcPr>
          <w:p w14:paraId="524E465B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Так</w:t>
            </w:r>
          </w:p>
        </w:tc>
        <w:tc>
          <w:tcPr>
            <w:tcW w:w="3285" w:type="dxa"/>
          </w:tcPr>
          <w:p w14:paraId="1FEDE056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Ні</w:t>
            </w:r>
          </w:p>
        </w:tc>
      </w:tr>
      <w:tr w:rsidR="00456D58" w14:paraId="53207A20" w14:textId="77777777">
        <w:tc>
          <w:tcPr>
            <w:tcW w:w="3285" w:type="dxa"/>
          </w:tcPr>
          <w:p w14:paraId="10DF76E1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Громадяни</w:t>
            </w:r>
          </w:p>
        </w:tc>
        <w:tc>
          <w:tcPr>
            <w:tcW w:w="3285" w:type="dxa"/>
          </w:tcPr>
          <w:p w14:paraId="67E05580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</w:t>
            </w:r>
          </w:p>
        </w:tc>
        <w:tc>
          <w:tcPr>
            <w:tcW w:w="3285" w:type="dxa"/>
          </w:tcPr>
          <w:p w14:paraId="243CFF72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</w:tr>
      <w:tr w:rsidR="00456D58" w14:paraId="4314F7F3" w14:textId="77777777">
        <w:tc>
          <w:tcPr>
            <w:tcW w:w="3285" w:type="dxa"/>
          </w:tcPr>
          <w:p w14:paraId="1FFA02EE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Держава</w:t>
            </w:r>
          </w:p>
        </w:tc>
        <w:tc>
          <w:tcPr>
            <w:tcW w:w="3285" w:type="dxa"/>
          </w:tcPr>
          <w:p w14:paraId="554F2E1D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3285" w:type="dxa"/>
          </w:tcPr>
          <w:p w14:paraId="59A8FD94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</w:t>
            </w:r>
          </w:p>
        </w:tc>
      </w:tr>
      <w:tr w:rsidR="00456D58" w14:paraId="43AD8C67" w14:textId="77777777">
        <w:tc>
          <w:tcPr>
            <w:tcW w:w="3285" w:type="dxa"/>
          </w:tcPr>
          <w:p w14:paraId="1678EF4F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Суб’єкти господарювання</w:t>
            </w:r>
          </w:p>
        </w:tc>
        <w:tc>
          <w:tcPr>
            <w:tcW w:w="3285" w:type="dxa"/>
          </w:tcPr>
          <w:p w14:paraId="38816EDC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3285" w:type="dxa"/>
          </w:tcPr>
          <w:p w14:paraId="5886BA7F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</w:t>
            </w:r>
          </w:p>
        </w:tc>
      </w:tr>
      <w:tr w:rsidR="00456D58" w14:paraId="07AEB5F7" w14:textId="77777777">
        <w:tc>
          <w:tcPr>
            <w:tcW w:w="3285" w:type="dxa"/>
          </w:tcPr>
          <w:p w14:paraId="73F02554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3285" w:type="dxa"/>
          </w:tcPr>
          <w:p w14:paraId="5ED50684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3285" w:type="dxa"/>
          </w:tcPr>
          <w:p w14:paraId="2D67F1A9" w14:textId="77777777" w:rsidR="00456D58" w:rsidRDefault="00071BBB" w:rsidP="00CF5A0F">
            <w:pPr>
              <w:pStyle w:val="a4"/>
              <w:spacing w:before="0" w:beforeAutospacing="0" w:after="0" w:afterAutospacing="0"/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–</w:t>
            </w:r>
          </w:p>
        </w:tc>
      </w:tr>
    </w:tbl>
    <w:p w14:paraId="548788D7" w14:textId="77777777" w:rsidR="00456D58" w:rsidRDefault="00456D58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997E36" w14:textId="77777777" w:rsidR="00456D58" w:rsidRDefault="00071BBB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Врегулювання зазначених проблемних питань не може бути здійснено за допомогою:</w:t>
      </w:r>
    </w:p>
    <w:p w14:paraId="118BE338" w14:textId="77777777" w:rsidR="00456D58" w:rsidRDefault="00071BBB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ринкових механізмів, оскільки такі питання регулюються виключно нормат</w:t>
      </w:r>
      <w:r>
        <w:rPr>
          <w:rFonts w:ascii="Times New Roman" w:hAnsi="Times New Roman" w:cs="Times New Roman"/>
          <w:sz w:val="28"/>
          <w:szCs w:val="28"/>
        </w:rPr>
        <w:t>ивно-правовими актами;</w:t>
      </w:r>
    </w:p>
    <w:p w14:paraId="3E9889BA" w14:textId="77777777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чинних регуляторних актів, </w:t>
      </w:r>
      <w:r>
        <w:rPr>
          <w:rFonts w:ascii="Times New Roman" w:hAnsi="Times New Roman" w:cs="Times New Roman"/>
          <w:sz w:val="28"/>
          <w:szCs w:val="28"/>
        </w:rPr>
        <w:t xml:space="preserve">зокрема, </w:t>
      </w:r>
      <w:r>
        <w:rPr>
          <w:rFonts w:ascii="Times New Roman" w:hAnsi="Times New Roman" w:cs="Times New Roman"/>
          <w:sz w:val="28"/>
          <w:szCs w:val="28"/>
        </w:rPr>
        <w:t xml:space="preserve">через відсутність відповідних норм. </w:t>
      </w:r>
    </w:p>
    <w:p w14:paraId="7CE868C0" w14:textId="77777777" w:rsidR="00456D58" w:rsidRDefault="00456D58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079930" w14:textId="77777777" w:rsidR="00456D58" w:rsidRDefault="00071BBB" w:rsidP="00CF5A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Цілі державного регулювання</w:t>
      </w:r>
    </w:p>
    <w:p w14:paraId="6D8CC7FC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110FF" w14:textId="77777777" w:rsidR="00456D58" w:rsidRDefault="00071BBB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Цілями державного регулювання є:</w:t>
      </w:r>
    </w:p>
    <w:p w14:paraId="7155E99D" w14:textId="77777777" w:rsidR="00456D58" w:rsidRDefault="00071BBB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ефективності запобігання порушенням податкового законодавства з ПДВ платниками </w:t>
      </w:r>
      <w:r>
        <w:rPr>
          <w:rFonts w:ascii="Times New Roman" w:hAnsi="Times New Roman" w:cs="Times New Roman"/>
          <w:sz w:val="28"/>
          <w:szCs w:val="28"/>
        </w:rPr>
        <w:t>податків, які реєструють ПН / РК у Реєстрі;</w:t>
      </w:r>
    </w:p>
    <w:p w14:paraId="07F02A38" w14:textId="77777777" w:rsidR="00456D58" w:rsidRDefault="00071BBB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оптимізація автоматизованого моніторингу для реєстрації ПН / РК у Реєстрі платниками податків, які мають низький рівень ризику порушення податкового законодавства.</w:t>
      </w:r>
    </w:p>
    <w:p w14:paraId="23905553" w14:textId="77777777" w:rsidR="00456D58" w:rsidRDefault="00456D58" w:rsidP="00CF5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2626B8" w14:textId="77777777" w:rsidR="00456D58" w:rsidRDefault="00071BBB" w:rsidP="00CF5A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Визначення та оцінка альтернативних способ</w:t>
      </w:r>
      <w:r>
        <w:rPr>
          <w:rFonts w:ascii="Times New Roman" w:hAnsi="Times New Roman" w:cs="Times New Roman"/>
          <w:b/>
          <w:sz w:val="28"/>
          <w:szCs w:val="28"/>
        </w:rPr>
        <w:t>ів досягнення цілей</w:t>
      </w:r>
    </w:p>
    <w:p w14:paraId="19A84B52" w14:textId="77777777" w:rsidR="00456D58" w:rsidRDefault="00456D58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85E409C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Альтернативні способи досягнення цілей державного регулювання</w:t>
      </w:r>
    </w:p>
    <w:p w14:paraId="02E186E1" w14:textId="77777777" w:rsidR="00456D58" w:rsidRDefault="00456D58" w:rsidP="00CF5A0F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4"/>
        <w:gridCol w:w="6724"/>
      </w:tblGrid>
      <w:tr w:rsidR="00456D58" w14:paraId="4A73C09E" w14:textId="77777777">
        <w:trPr>
          <w:trHeight w:val="587"/>
        </w:trPr>
        <w:tc>
          <w:tcPr>
            <w:tcW w:w="2943" w:type="dxa"/>
          </w:tcPr>
          <w:p w14:paraId="21000FED" w14:textId="77777777" w:rsidR="00456D58" w:rsidRDefault="00071BBB">
            <w:pPr>
              <w:pStyle w:val="a4"/>
              <w:spacing w:before="120" w:beforeAutospacing="0" w:after="12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 альтернативи</w:t>
            </w:r>
          </w:p>
        </w:tc>
        <w:tc>
          <w:tcPr>
            <w:tcW w:w="6912" w:type="dxa"/>
          </w:tcPr>
          <w:p w14:paraId="1A6FB4B2" w14:textId="77777777" w:rsidR="00456D58" w:rsidRDefault="00071BBB">
            <w:pPr>
              <w:pStyle w:val="a4"/>
              <w:spacing w:before="120" w:beforeAutospacing="0" w:after="12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Опис альтернативи</w:t>
            </w:r>
          </w:p>
        </w:tc>
      </w:tr>
      <w:tr w:rsidR="00456D58" w14:paraId="7A5576C5" w14:textId="77777777">
        <w:tc>
          <w:tcPr>
            <w:tcW w:w="2943" w:type="dxa"/>
          </w:tcPr>
          <w:p w14:paraId="55B150D4" w14:textId="77777777" w:rsidR="00456D58" w:rsidRDefault="00071BBB">
            <w:pPr>
              <w:pStyle w:val="a4"/>
              <w:spacing w:before="120" w:beforeAutospacing="0" w:after="12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1</w:t>
            </w:r>
          </w:p>
        </w:tc>
        <w:tc>
          <w:tcPr>
            <w:tcW w:w="6912" w:type="dxa"/>
          </w:tcPr>
          <w:p w14:paraId="0E76B048" w14:textId="77777777" w:rsidR="00456D58" w:rsidRDefault="00071BBB">
            <w:pPr>
              <w:pStyle w:val="a4"/>
              <w:spacing w:before="120" w:beforeAutospacing="0" w:after="12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Прийняти проєкт постанови Кабінету Міністрів України</w:t>
            </w:r>
          </w:p>
        </w:tc>
      </w:tr>
      <w:tr w:rsidR="00456D58" w14:paraId="7E632880" w14:textId="77777777">
        <w:tc>
          <w:tcPr>
            <w:tcW w:w="2943" w:type="dxa"/>
          </w:tcPr>
          <w:p w14:paraId="3BBA61BF" w14:textId="77777777" w:rsidR="00456D58" w:rsidRDefault="00071BBB">
            <w:pPr>
              <w:pStyle w:val="a4"/>
              <w:spacing w:before="120" w:beforeAutospacing="0" w:after="12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2</w:t>
            </w:r>
          </w:p>
        </w:tc>
        <w:tc>
          <w:tcPr>
            <w:tcW w:w="6912" w:type="dxa"/>
          </w:tcPr>
          <w:p w14:paraId="7844B1BA" w14:textId="77777777" w:rsidR="00456D58" w:rsidRDefault="00071BBB">
            <w:pPr>
              <w:pStyle w:val="a4"/>
              <w:spacing w:before="120" w:beforeAutospacing="0" w:after="12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Залишити ситуацію без змін</w:t>
            </w:r>
          </w:p>
        </w:tc>
      </w:tr>
    </w:tbl>
    <w:p w14:paraId="3D15A120" w14:textId="77777777" w:rsidR="00456D58" w:rsidRDefault="00456D58" w:rsidP="00CF5A0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D30E63" w14:textId="77777777" w:rsidR="00456D58" w:rsidRDefault="00071BBB" w:rsidP="00CF5A0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Оцінка впливу на </w:t>
      </w:r>
      <w:r>
        <w:rPr>
          <w:rFonts w:ascii="Times New Roman" w:hAnsi="Times New Roman" w:cs="Times New Roman"/>
          <w:sz w:val="28"/>
          <w:szCs w:val="28"/>
        </w:rPr>
        <w:t>сферу інтересів держави</w:t>
      </w:r>
    </w:p>
    <w:p w14:paraId="18DBA390" w14:textId="77777777" w:rsidR="00456D58" w:rsidRDefault="00456D58" w:rsidP="00CF5A0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81"/>
        <w:gridCol w:w="3351"/>
        <w:gridCol w:w="3396"/>
      </w:tblGrid>
      <w:tr w:rsidR="00456D58" w14:paraId="326732AE" w14:textId="77777777" w:rsidTr="00CF5A0F">
        <w:tc>
          <w:tcPr>
            <w:tcW w:w="2881" w:type="dxa"/>
          </w:tcPr>
          <w:p w14:paraId="3D1E9C9D" w14:textId="77777777" w:rsidR="00456D58" w:rsidRDefault="00071BBB">
            <w:pPr>
              <w:pStyle w:val="a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 альтернативи</w:t>
            </w:r>
          </w:p>
        </w:tc>
        <w:tc>
          <w:tcPr>
            <w:tcW w:w="3351" w:type="dxa"/>
          </w:tcPr>
          <w:p w14:paraId="5A6B0096" w14:textId="77777777" w:rsidR="00456D58" w:rsidRDefault="00071BBB">
            <w:pPr>
              <w:pStyle w:val="a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Вигоди</w:t>
            </w:r>
          </w:p>
        </w:tc>
        <w:tc>
          <w:tcPr>
            <w:tcW w:w="3396" w:type="dxa"/>
          </w:tcPr>
          <w:p w14:paraId="56025441" w14:textId="77777777" w:rsidR="00456D58" w:rsidRDefault="00071BBB">
            <w:pPr>
              <w:pStyle w:val="a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Витрати</w:t>
            </w:r>
          </w:p>
        </w:tc>
      </w:tr>
      <w:tr w:rsidR="00456D58" w14:paraId="07A69478" w14:textId="77777777" w:rsidTr="00CF5A0F">
        <w:trPr>
          <w:trHeight w:val="3426"/>
        </w:trPr>
        <w:tc>
          <w:tcPr>
            <w:tcW w:w="2881" w:type="dxa"/>
          </w:tcPr>
          <w:p w14:paraId="3C101AB9" w14:textId="77777777" w:rsidR="00456D58" w:rsidRDefault="00071BB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1</w:t>
            </w:r>
          </w:p>
        </w:tc>
        <w:tc>
          <w:tcPr>
            <w:tcW w:w="3351" w:type="dxa"/>
          </w:tcPr>
          <w:p w14:paraId="50DDF90F" w14:textId="1B45A025" w:rsidR="00456D58" w:rsidRDefault="00071BBB">
            <w:pPr>
              <w:pStyle w:val="a4"/>
              <w:jc w:val="both"/>
              <w:rPr>
                <w:sz w:val="28"/>
                <w:lang w:val="uk-UA"/>
                <w14:numSpacing w14:val="proportional"/>
              </w:rPr>
            </w:pPr>
            <w:r>
              <w:rPr>
                <w:sz w:val="28"/>
                <w:lang w:val="uk-UA"/>
              </w:rPr>
              <w:t xml:space="preserve">Достатній спосіб вирішення проблеми щодо недопущення формування податкового кредиту за рахунок здійснення безтоварних операцій та </w:t>
            </w:r>
            <w:r>
              <w:rPr>
                <w:sz w:val="28"/>
                <w:lang w:val="uk-UA"/>
              </w:rPr>
              <w:t xml:space="preserve">забезпечення справедливих умов для реєстрації </w:t>
            </w:r>
            <w:r>
              <w:rPr>
                <w:sz w:val="28"/>
                <w:szCs w:val="28"/>
              </w:rPr>
              <w:t>ПН / РК</w:t>
            </w:r>
            <w:r>
              <w:rPr>
                <w:sz w:val="28"/>
                <w:lang w:val="uk-UA"/>
              </w:rPr>
              <w:t xml:space="preserve"> у Реєстрі </w:t>
            </w:r>
          </w:p>
        </w:tc>
        <w:tc>
          <w:tcPr>
            <w:tcW w:w="3396" w:type="dxa"/>
          </w:tcPr>
          <w:p w14:paraId="6EA883B9" w14:textId="7777777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Реалізація проєкту постанови не потребує витрат.</w:t>
            </w:r>
          </w:p>
          <w:p w14:paraId="51D230CA" w14:textId="591D60B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Витрати щодо оновлення програмного забезпечення відбуватимуться в межах фінансування ДПС</w:t>
            </w:r>
            <w:r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без залучення додаткових кадрів</w:t>
            </w:r>
          </w:p>
        </w:tc>
      </w:tr>
      <w:tr w:rsidR="00456D58" w14:paraId="0E8A0F37" w14:textId="77777777" w:rsidTr="00CF5A0F">
        <w:tc>
          <w:tcPr>
            <w:tcW w:w="2881" w:type="dxa"/>
          </w:tcPr>
          <w:p w14:paraId="1C9A8654" w14:textId="77777777" w:rsidR="00456D58" w:rsidRDefault="00071BB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351" w:type="dxa"/>
          </w:tcPr>
          <w:p w14:paraId="6F2009F9" w14:textId="77777777" w:rsidR="00456D58" w:rsidRDefault="00071BBB">
            <w:pPr>
              <w:pStyle w:val="a4"/>
              <w:tabs>
                <w:tab w:val="center" w:pos="1534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>
              <w:rPr>
                <w:sz w:val="28"/>
                <w:lang w:val="uk-UA"/>
              </w:rPr>
              <w:t>ідсутні</w:t>
            </w:r>
          </w:p>
        </w:tc>
        <w:tc>
          <w:tcPr>
            <w:tcW w:w="3396" w:type="dxa"/>
          </w:tcPr>
          <w:p w14:paraId="3B2B7DE8" w14:textId="77777777" w:rsidR="00456D58" w:rsidRDefault="00071BBB">
            <w:pPr>
              <w:pStyle w:val="a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неприйнятна, оскільки не забезпечує досягнення поставленої мети</w:t>
            </w:r>
          </w:p>
        </w:tc>
      </w:tr>
    </w:tbl>
    <w:p w14:paraId="617673F7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BB368" w14:textId="77777777" w:rsidR="00456D58" w:rsidRDefault="00071BBB" w:rsidP="00CF5A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Оцінка впливу на сферу інтересів громадян</w:t>
      </w:r>
    </w:p>
    <w:p w14:paraId="2B2E6D1B" w14:textId="77777777" w:rsidR="00456D58" w:rsidRDefault="00071BBB" w:rsidP="00CF5A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постанови не впливає на сферу інтересів громадян.</w:t>
      </w:r>
    </w:p>
    <w:p w14:paraId="2F1C73DC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958A99" w14:textId="77777777" w:rsidR="00456D58" w:rsidRDefault="00071BBB" w:rsidP="00CF5A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Оцінка впливу на сферу інтересів суб’єктів господарювання</w:t>
      </w:r>
    </w:p>
    <w:p w14:paraId="10F2FAF5" w14:textId="77777777" w:rsidR="00456D58" w:rsidRDefault="00456D58" w:rsidP="00CF5A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247B8" w14:textId="77777777" w:rsidR="00456D58" w:rsidRDefault="0007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кількість суб’єктів господарювання, які зареєстровані платниками ПДВ</w:t>
      </w:r>
    </w:p>
    <w:p w14:paraId="0AD638F6" w14:textId="77777777" w:rsidR="00456D58" w:rsidRDefault="00456D58" w:rsidP="00CF5A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2961"/>
        <w:gridCol w:w="3535"/>
      </w:tblGrid>
      <w:tr w:rsidR="00456D58" w14:paraId="4860806B" w14:textId="77777777" w:rsidTr="00CF5A0F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E40C" w14:textId="3BE67FC3" w:rsidR="00456D58" w:rsidRDefault="0007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суб’єктів господарювання – платників ПДВ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01.0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456D58" w14:paraId="56486AF6" w14:textId="77777777" w:rsidTr="00CF5A0F">
        <w:trPr>
          <w:trHeight w:val="5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5D77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7AD7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Юридичних осіб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776D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Фізичних осіб – підприємців</w:t>
            </w:r>
          </w:p>
        </w:tc>
      </w:tr>
      <w:tr w:rsidR="00456D58" w14:paraId="68AC27B7" w14:textId="77777777" w:rsidTr="00CF5A0F">
        <w:trPr>
          <w:trHeight w:val="18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3B75" w14:textId="77777777" w:rsidR="00456D58" w:rsidRDefault="00071BB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B40C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0135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</w:tr>
    </w:tbl>
    <w:p w14:paraId="2F7C930A" w14:textId="77777777" w:rsidR="00456D58" w:rsidRDefault="00456D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14:paraId="5921AE43" w14:textId="2C738A69" w:rsidR="00456D58" w:rsidRDefault="00071B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*</w:t>
      </w:r>
      <w:r>
        <w:rPr>
          <w:rFonts w:ascii="Times New Roman" w:hAnsi="Times New Roman" w:cs="Times New Roman"/>
          <w:sz w:val="18"/>
          <w:szCs w:val="16"/>
        </w:rPr>
        <w:t xml:space="preserve">Показники щодо </w:t>
      </w:r>
      <w:r>
        <w:rPr>
          <w:rFonts w:ascii="Times New Roman" w:hAnsi="Times New Roman" w:cs="Times New Roman"/>
          <w:sz w:val="18"/>
          <w:szCs w:val="16"/>
        </w:rPr>
        <w:t>кількості суб’єктів господарювання, які підпадають під дію регулювання</w:t>
      </w:r>
      <w:r>
        <w:rPr>
          <w:rFonts w:ascii="Times New Roman" w:hAnsi="Times New Roman" w:cs="Times New Roman"/>
          <w:sz w:val="18"/>
          <w:szCs w:val="16"/>
        </w:rPr>
        <w:t>,</w:t>
      </w:r>
      <w:r>
        <w:rPr>
          <w:rFonts w:ascii="Times New Roman" w:hAnsi="Times New Roman" w:cs="Times New Roman"/>
          <w:sz w:val="18"/>
          <w:szCs w:val="16"/>
        </w:rPr>
        <w:t xml:space="preserve"> у розрізі великих, середніх, малих та мікропідприємств, в</w:t>
      </w:r>
      <w:r>
        <w:rPr>
          <w:rFonts w:ascii="Times New Roman" w:hAnsi="Times New Roman" w:cs="Times New Roman"/>
          <w:sz w:val="18"/>
          <w:szCs w:val="16"/>
        </w:rPr>
        <w:t>изначи</w:t>
      </w:r>
      <w:r>
        <w:rPr>
          <w:rFonts w:ascii="Times New Roman" w:hAnsi="Times New Roman" w:cs="Times New Roman"/>
          <w:sz w:val="18"/>
          <w:szCs w:val="16"/>
        </w:rPr>
        <w:t>ти</w:t>
      </w:r>
      <w:r>
        <w:rPr>
          <w:rFonts w:ascii="Times New Roman" w:hAnsi="Times New Roman" w:cs="Times New Roman"/>
          <w:sz w:val="18"/>
          <w:szCs w:val="16"/>
        </w:rPr>
        <w:t xml:space="preserve"> неможливо, оскільки положення проєкту постанови однаково впливають на всіх суб’єктів </w:t>
      </w:r>
      <w:r>
        <w:rPr>
          <w:rFonts w:ascii="Times New Roman" w:hAnsi="Times New Roman" w:cs="Times New Roman"/>
          <w:sz w:val="18"/>
          <w:szCs w:val="16"/>
        </w:rPr>
        <w:t xml:space="preserve">господарювання, </w:t>
      </w:r>
      <w:r>
        <w:rPr>
          <w:rFonts w:ascii="Times New Roman" w:hAnsi="Times New Roman" w:cs="Times New Roman"/>
          <w:sz w:val="18"/>
          <w:szCs w:val="16"/>
        </w:rPr>
        <w:t xml:space="preserve">незалежно </w:t>
      </w:r>
      <w:r>
        <w:rPr>
          <w:rFonts w:ascii="Times New Roman" w:hAnsi="Times New Roman" w:cs="Times New Roman"/>
          <w:sz w:val="18"/>
          <w:szCs w:val="16"/>
        </w:rPr>
        <w:t>від форми власності та рівня доходу</w:t>
      </w:r>
      <w:r>
        <w:rPr>
          <w:rFonts w:ascii="Times New Roman" w:hAnsi="Times New Roman" w:cs="Times New Roman"/>
          <w:sz w:val="18"/>
          <w:szCs w:val="16"/>
        </w:rPr>
        <w:t xml:space="preserve"> таких суб’єктів</w:t>
      </w:r>
      <w:r>
        <w:rPr>
          <w:rFonts w:ascii="Times New Roman" w:hAnsi="Times New Roman" w:cs="Times New Roman"/>
          <w:sz w:val="18"/>
          <w:szCs w:val="16"/>
        </w:rPr>
        <w:t>.</w:t>
      </w:r>
    </w:p>
    <w:p w14:paraId="207F64D8" w14:textId="77777777" w:rsidR="00456D58" w:rsidRDefault="00456D5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24C718F" w14:textId="77777777" w:rsidR="00456D58" w:rsidRDefault="0007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Дані Державної податкової служби України </w:t>
      </w:r>
    </w:p>
    <w:p w14:paraId="59AD528A" w14:textId="6791AE51" w:rsidR="00456D58" w:rsidRDefault="0007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І квартал 2025 року</w:t>
      </w:r>
    </w:p>
    <w:p w14:paraId="69445EEF" w14:textId="77777777" w:rsidR="00456D58" w:rsidRPr="00CF5A0F" w:rsidRDefault="00456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418"/>
        <w:gridCol w:w="1275"/>
        <w:gridCol w:w="1134"/>
        <w:gridCol w:w="1418"/>
        <w:gridCol w:w="1417"/>
        <w:gridCol w:w="1109"/>
        <w:gridCol w:w="1159"/>
      </w:tblGrid>
      <w:tr w:rsidR="00456D58" w14:paraId="10B224B9" w14:textId="77777777" w:rsidTr="00CF5A0F">
        <w:trPr>
          <w:trHeight w:val="477"/>
        </w:trPr>
        <w:tc>
          <w:tcPr>
            <w:tcW w:w="701" w:type="dxa"/>
            <w:vMerge w:val="restart"/>
          </w:tcPr>
          <w:p w14:paraId="7EFAD8C1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9137679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5A4D76" w14:textId="77777777" w:rsidR="00456D58" w:rsidRDefault="0045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5A90B1" w14:textId="77777777" w:rsidR="00456D58" w:rsidRDefault="0045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6DB4A3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</w:t>
            </w:r>
          </w:p>
          <w:p w14:paraId="37B79EFE" w14:textId="77777777" w:rsidR="00456D58" w:rsidRDefault="0045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5B3E95" w14:textId="5020A285" w:rsidR="00456D58" w:rsidRDefault="0045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397C9878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Фактичний показник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7BF2123A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Розрахунковий показник</w:t>
            </w:r>
          </w:p>
        </w:tc>
      </w:tr>
      <w:tr w:rsidR="00456D58" w14:paraId="0E8F3901" w14:textId="77777777" w:rsidTr="00CF5A0F">
        <w:trPr>
          <w:trHeight w:val="491"/>
        </w:trPr>
        <w:tc>
          <w:tcPr>
            <w:tcW w:w="701" w:type="dxa"/>
            <w:vMerge/>
          </w:tcPr>
          <w:p w14:paraId="1D37852E" w14:textId="77777777" w:rsidR="00456D58" w:rsidRDefault="0045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FD037C" w14:textId="77777777" w:rsidR="00456D58" w:rsidRDefault="0045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B9AB8" w14:textId="77777777" w:rsidR="00456D58" w:rsidRDefault="00071BBB" w:rsidP="00CF5A0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платників ПДВ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4342" w14:textId="77777777" w:rsidR="00456D58" w:rsidRDefault="00071BBB" w:rsidP="00CF5A0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ПН / РК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02095" w14:textId="0F07ABAD" w:rsidR="00456D58" w:rsidRDefault="0007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Сума ПДВ, тис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 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EB34A" w14:textId="77777777" w:rsidR="00456D58" w:rsidRDefault="0007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платників ПДВ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E122CE" w14:textId="77777777" w:rsidR="00456D58" w:rsidRDefault="0007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ПН / РК</w:t>
            </w:r>
          </w:p>
        </w:tc>
        <w:tc>
          <w:tcPr>
            <w:tcW w:w="1159" w:type="dxa"/>
            <w:vAlign w:val="center"/>
          </w:tcPr>
          <w:p w14:paraId="5D011BAA" w14:textId="3451B9C8" w:rsidR="00456D58" w:rsidRDefault="0007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Сума ПДВ, тис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 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грн</w:t>
            </w:r>
          </w:p>
        </w:tc>
      </w:tr>
      <w:tr w:rsidR="00456D58" w14:paraId="35D99245" w14:textId="77777777" w:rsidTr="00CF5A0F">
        <w:trPr>
          <w:trHeight w:val="477"/>
        </w:trPr>
        <w:tc>
          <w:tcPr>
            <w:tcW w:w="701" w:type="dxa"/>
          </w:tcPr>
          <w:p w14:paraId="278A9296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129302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265951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 / РК, прийняті для реєстрації в Реєстрі</w:t>
            </w:r>
          </w:p>
        </w:tc>
        <w:tc>
          <w:tcPr>
            <w:tcW w:w="1275" w:type="dxa"/>
            <w:shd w:val="clear" w:color="auto" w:fill="auto"/>
          </w:tcPr>
          <w:p w14:paraId="7C3D1D36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172 419</w:t>
            </w:r>
          </w:p>
        </w:tc>
        <w:tc>
          <w:tcPr>
            <w:tcW w:w="1134" w:type="dxa"/>
            <w:shd w:val="clear" w:color="auto" w:fill="auto"/>
          </w:tcPr>
          <w:p w14:paraId="4F96A7F0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77 915 206</w:t>
            </w:r>
          </w:p>
        </w:tc>
        <w:tc>
          <w:tcPr>
            <w:tcW w:w="1418" w:type="dxa"/>
            <w:shd w:val="clear" w:color="auto" w:fill="auto"/>
          </w:tcPr>
          <w:p w14:paraId="61B57DD3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762 631 994,80</w:t>
            </w:r>
          </w:p>
        </w:tc>
        <w:tc>
          <w:tcPr>
            <w:tcW w:w="1417" w:type="dxa"/>
            <w:shd w:val="clear" w:color="auto" w:fill="auto"/>
          </w:tcPr>
          <w:p w14:paraId="0AA8E71D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172 419</w:t>
            </w:r>
          </w:p>
        </w:tc>
        <w:tc>
          <w:tcPr>
            <w:tcW w:w="1109" w:type="dxa"/>
            <w:shd w:val="clear" w:color="auto" w:fill="auto"/>
          </w:tcPr>
          <w:p w14:paraId="0CB706C0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77 915 206</w:t>
            </w:r>
          </w:p>
        </w:tc>
        <w:tc>
          <w:tcPr>
            <w:tcW w:w="1159" w:type="dxa"/>
          </w:tcPr>
          <w:p w14:paraId="648AA49A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762 631 994,80</w:t>
            </w:r>
          </w:p>
        </w:tc>
      </w:tr>
      <w:tr w:rsidR="00456D58" w14:paraId="15BD8492" w14:textId="77777777" w:rsidTr="00CF5A0F">
        <w:trPr>
          <w:trHeight w:val="477"/>
        </w:trPr>
        <w:tc>
          <w:tcPr>
            <w:tcW w:w="701" w:type="dxa"/>
          </w:tcPr>
          <w:p w14:paraId="76CD313D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8E6D8A3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 / РК, зареєстровані в Реєстрі за результатами автоматизованого моніторингу,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них:</w:t>
            </w:r>
          </w:p>
        </w:tc>
        <w:tc>
          <w:tcPr>
            <w:tcW w:w="1275" w:type="dxa"/>
            <w:shd w:val="clear" w:color="auto" w:fill="auto"/>
          </w:tcPr>
          <w:p w14:paraId="0B11B937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169 036   </w:t>
            </w:r>
          </w:p>
        </w:tc>
        <w:tc>
          <w:tcPr>
            <w:tcW w:w="1134" w:type="dxa"/>
            <w:shd w:val="clear" w:color="auto" w:fill="auto"/>
          </w:tcPr>
          <w:p w14:paraId="41FB17D8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77 573 111   </w:t>
            </w:r>
          </w:p>
        </w:tc>
        <w:tc>
          <w:tcPr>
            <w:tcW w:w="1418" w:type="dxa"/>
            <w:shd w:val="clear" w:color="auto" w:fill="auto"/>
          </w:tcPr>
          <w:p w14:paraId="58CEA165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752 080 411,58   </w:t>
            </w:r>
          </w:p>
        </w:tc>
        <w:tc>
          <w:tcPr>
            <w:tcW w:w="1417" w:type="dxa"/>
            <w:shd w:val="clear" w:color="auto" w:fill="auto"/>
          </w:tcPr>
          <w:p w14:paraId="0A127710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170 676   </w:t>
            </w:r>
          </w:p>
        </w:tc>
        <w:tc>
          <w:tcPr>
            <w:tcW w:w="1109" w:type="dxa"/>
            <w:shd w:val="clear" w:color="auto" w:fill="auto"/>
          </w:tcPr>
          <w:p w14:paraId="016E4C5A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77 583 204   </w:t>
            </w:r>
          </w:p>
        </w:tc>
        <w:tc>
          <w:tcPr>
            <w:tcW w:w="1159" w:type="dxa"/>
          </w:tcPr>
          <w:p w14:paraId="7F73BA42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749 672 048,64   </w:t>
            </w:r>
          </w:p>
        </w:tc>
      </w:tr>
    </w:tbl>
    <w:p w14:paraId="2293872B" w14:textId="77777777" w:rsidR="00456D58" w:rsidRDefault="00071BBB">
      <w:r>
        <w:br w:type="page"/>
      </w: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418"/>
        <w:gridCol w:w="1275"/>
        <w:gridCol w:w="1134"/>
        <w:gridCol w:w="1418"/>
        <w:gridCol w:w="1417"/>
        <w:gridCol w:w="1109"/>
        <w:gridCol w:w="1159"/>
      </w:tblGrid>
      <w:tr w:rsidR="00456D58" w14:paraId="36B46677" w14:textId="77777777" w:rsidTr="00CF5A0F">
        <w:trPr>
          <w:trHeight w:val="477"/>
        </w:trPr>
        <w:tc>
          <w:tcPr>
            <w:tcW w:w="701" w:type="dxa"/>
          </w:tcPr>
          <w:p w14:paraId="10B543F5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shd w:val="clear" w:color="auto" w:fill="auto"/>
          </w:tcPr>
          <w:p w14:paraId="14FCBE7C" w14:textId="2C6DA528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відповідають ознакам безумовної реєстрації згідно 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Порядку зупинення</w:t>
            </w:r>
          </w:p>
        </w:tc>
        <w:tc>
          <w:tcPr>
            <w:tcW w:w="1275" w:type="dxa"/>
            <w:shd w:val="clear" w:color="auto" w:fill="auto"/>
          </w:tcPr>
          <w:p w14:paraId="3F246287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150 563   </w:t>
            </w:r>
          </w:p>
        </w:tc>
        <w:tc>
          <w:tcPr>
            <w:tcW w:w="1134" w:type="dxa"/>
            <w:shd w:val="clear" w:color="auto" w:fill="auto"/>
          </w:tcPr>
          <w:p w14:paraId="71E4B9D2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55 138 653   </w:t>
            </w:r>
          </w:p>
        </w:tc>
        <w:tc>
          <w:tcPr>
            <w:tcW w:w="1418" w:type="dxa"/>
            <w:shd w:val="clear" w:color="auto" w:fill="auto"/>
          </w:tcPr>
          <w:p w14:paraId="6EB992E4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412 780 052,21   </w:t>
            </w:r>
          </w:p>
        </w:tc>
        <w:tc>
          <w:tcPr>
            <w:tcW w:w="1417" w:type="dxa"/>
            <w:shd w:val="clear" w:color="auto" w:fill="auto"/>
          </w:tcPr>
          <w:p w14:paraId="60451A5B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154 781   </w:t>
            </w:r>
          </w:p>
        </w:tc>
        <w:tc>
          <w:tcPr>
            <w:tcW w:w="1109" w:type="dxa"/>
            <w:shd w:val="clear" w:color="auto" w:fill="auto"/>
          </w:tcPr>
          <w:p w14:paraId="5610F3B1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58 133 310   </w:t>
            </w:r>
          </w:p>
        </w:tc>
        <w:tc>
          <w:tcPr>
            <w:tcW w:w="1159" w:type="dxa"/>
          </w:tcPr>
          <w:p w14:paraId="6361B6F3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414 997 033,71   </w:t>
            </w:r>
          </w:p>
        </w:tc>
      </w:tr>
      <w:tr w:rsidR="00456D58" w14:paraId="4ED9CBE8" w14:textId="77777777" w:rsidTr="00CF5A0F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A312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BBA16" w14:textId="29619BEC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відповідають ознакам безумовної реєстрації згідно 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Порядку зупинення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EC1F2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1 203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34699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30 113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7FB5A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-880 390,03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8622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1 267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0B7CB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39 231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C0BC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190 476,37   </w:t>
            </w:r>
          </w:p>
        </w:tc>
      </w:tr>
      <w:tr w:rsidR="00456D58" w14:paraId="2DF65C60" w14:textId="77777777" w:rsidTr="00CF5A0F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546E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3CEF0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відповідають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показникам позитивної історії платника податку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691E5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106 530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7EDAF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17 080 922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63735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203 207 179,29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9D8F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110 128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93E5B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14 604 401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06DF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174 631 192,32   </w:t>
            </w:r>
          </w:p>
        </w:tc>
      </w:tr>
      <w:tr w:rsidR="00456D58" w14:paraId="7936A463" w14:textId="77777777" w:rsidTr="00CF5A0F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8DAA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94D7" w14:textId="20A77FE8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 / РК, зареєстровані в Реєстрі автоматично згідно 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Порядку зупинення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F7CD07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8165FA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1F8E4" w14:textId="54E2B295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843,66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263133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A3A70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E0840D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378,86</w:t>
            </w:r>
          </w:p>
        </w:tc>
      </w:tr>
      <w:tr w:rsidR="00456D58" w14:paraId="0CC0B1A8" w14:textId="77777777" w:rsidTr="00CF5A0F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569C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08732" w14:textId="17E9ED0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 / РК, зареєстровані в Реєстрі автоматично згідно 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унктом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Порядку зупинення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4F71EB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D1F574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C215A4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93 269,55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C51EC0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39946C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FE9FE" w14:textId="77777777" w:rsidR="00456D58" w:rsidRDefault="00071BBB" w:rsidP="00CF5A0F">
            <w:pPr>
              <w:spacing w:after="140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62 793,9</w:t>
            </w:r>
          </w:p>
        </w:tc>
      </w:tr>
      <w:tr w:rsidR="00456D58" w14:paraId="0951E7E9" w14:textId="77777777" w:rsidTr="00CF5A0F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4196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D033D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 / РК, реєстрацію яких в Реєстрі зупинено,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них: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21CA4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36 161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1A58F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342 095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91A98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10 551 583,22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E032C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18 161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C938A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332 002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E5D5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12 959 946,16   </w:t>
            </w:r>
          </w:p>
        </w:tc>
      </w:tr>
      <w:tr w:rsidR="00456D58" w14:paraId="5ABF3F37" w14:textId="77777777" w:rsidTr="00CF5A0F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8CB8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535BA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відповідність платника податку критеріям ризиковості платника податку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AF3F8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83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E2AF0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226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21BB8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33 775,41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E3636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83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2A3AF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226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6A42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33 775,41   </w:t>
            </w:r>
          </w:p>
        </w:tc>
      </w:tr>
      <w:tr w:rsidR="00456D58" w14:paraId="7CE8AC2B" w14:textId="77777777" w:rsidTr="00CF5A0F">
        <w:trPr>
          <w:trHeight w:val="47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07A1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6A5DA" w14:textId="77777777" w:rsidR="00456D58" w:rsidRDefault="0007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через відповідність критеріям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ризиковості здійснення операцій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54122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33 531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0A43E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275 266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9D821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8 299 988,93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562B3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15 479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387A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265 416  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9D26" w14:textId="77777777" w:rsidR="00456D58" w:rsidRDefault="00071BB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10 708 544,83   </w:t>
            </w:r>
          </w:p>
        </w:tc>
      </w:tr>
      <w:bookmarkEnd w:id="0"/>
      <w:bookmarkEnd w:id="1"/>
    </w:tbl>
    <w:p w14:paraId="00A7F519" w14:textId="77777777" w:rsidR="00456D58" w:rsidRDefault="00456D5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993"/>
        <w:gridCol w:w="3088"/>
      </w:tblGrid>
      <w:tr w:rsidR="00456D58" w14:paraId="06341913" w14:textId="77777777" w:rsidTr="00CF5A0F">
        <w:trPr>
          <w:trHeight w:val="397"/>
        </w:trPr>
        <w:tc>
          <w:tcPr>
            <w:tcW w:w="2552" w:type="dxa"/>
          </w:tcPr>
          <w:p w14:paraId="46726A7E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Вид альтернативи</w:t>
            </w:r>
          </w:p>
        </w:tc>
        <w:tc>
          <w:tcPr>
            <w:tcW w:w="3993" w:type="dxa"/>
          </w:tcPr>
          <w:p w14:paraId="2E6C3646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Вигоди</w:t>
            </w:r>
          </w:p>
        </w:tc>
        <w:tc>
          <w:tcPr>
            <w:tcW w:w="3088" w:type="dxa"/>
          </w:tcPr>
          <w:p w14:paraId="086AD9D9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Витрати</w:t>
            </w:r>
          </w:p>
        </w:tc>
      </w:tr>
      <w:tr w:rsidR="00456D58" w14:paraId="6C320A20" w14:textId="77777777" w:rsidTr="00CF5A0F">
        <w:trPr>
          <w:trHeight w:val="1664"/>
        </w:trPr>
        <w:tc>
          <w:tcPr>
            <w:tcW w:w="2552" w:type="dxa"/>
          </w:tcPr>
          <w:p w14:paraId="17B2AD12" w14:textId="77777777" w:rsidR="00456D58" w:rsidRDefault="00071BBB" w:rsidP="00CF5A0F">
            <w:pPr>
              <w:pStyle w:val="a4"/>
              <w:spacing w:before="0" w:beforeAutospacing="0" w:after="0" w:afterAutospacing="0"/>
              <w:rPr>
                <w:sz w:val="28"/>
                <w:highlight w:val="yellow"/>
                <w:lang w:val="uk-UA"/>
              </w:rPr>
            </w:pPr>
            <w:r>
              <w:rPr>
                <w:sz w:val="28"/>
              </w:rPr>
              <w:t>Альтернатива 1</w:t>
            </w:r>
          </w:p>
        </w:tc>
        <w:tc>
          <w:tcPr>
            <w:tcW w:w="3993" w:type="dxa"/>
          </w:tcPr>
          <w:p w14:paraId="3CA643BC" w14:textId="7777777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highlight w:val="yellow"/>
                <w:lang w:val="uk-UA"/>
                <w14:numSpacing w14:val="proportional"/>
              </w:rPr>
            </w:pPr>
            <w:r>
              <w:rPr>
                <w:sz w:val="28"/>
                <w:lang w:val="uk-UA"/>
                <w14:numSpacing w14:val="proportional"/>
              </w:rPr>
              <w:t xml:space="preserve">Реєстрація ПН / РК за ознаками безумовної реєстрації, за ознаками автоматичної реєстрації </w:t>
            </w:r>
            <w:r>
              <w:rPr>
                <w:sz w:val="28"/>
                <w:lang w:val="uk-UA"/>
                <w14:numSpacing w14:val="proportional"/>
              </w:rPr>
              <w:t>після виключення платника податку з переліку платників, які відповідають критеріям ризиковості платника податку, або врахування таблиці даних платника податку у визначених випадках</w:t>
            </w:r>
            <w:r>
              <w:rPr>
                <w:sz w:val="28"/>
                <w:lang w:val="uk-UA"/>
                <w14:numSpacing w14:val="proportional"/>
              </w:rPr>
              <w:t>,</w:t>
            </w:r>
            <w:r>
              <w:rPr>
                <w:sz w:val="28"/>
                <w:lang w:val="uk-UA"/>
                <w14:numSpacing w14:val="proportional"/>
              </w:rPr>
              <w:t xml:space="preserve"> без подання пояснення та копій документів до податкових накладних / розрах</w:t>
            </w:r>
            <w:r>
              <w:rPr>
                <w:sz w:val="28"/>
                <w:lang w:val="uk-UA"/>
                <w14:numSpacing w14:val="proportional"/>
              </w:rPr>
              <w:t>унків коригування, реєстрацію яких зупинено</w:t>
            </w:r>
          </w:p>
        </w:tc>
        <w:tc>
          <w:tcPr>
            <w:tcW w:w="3088" w:type="dxa"/>
          </w:tcPr>
          <w:p w14:paraId="518165FA" w14:textId="0436D26E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highlight w:val="yellow"/>
                <w:lang w:val="uk-UA"/>
              </w:rPr>
            </w:pPr>
            <w:r>
              <w:rPr>
                <w:sz w:val="28"/>
                <w:lang w:val="uk-UA"/>
              </w:rPr>
              <w:t>Оновлення програмного забезпечення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не потребує додаткових витрат </w:t>
            </w:r>
          </w:p>
        </w:tc>
      </w:tr>
      <w:tr w:rsidR="00456D58" w14:paraId="50B82368" w14:textId="77777777" w:rsidTr="00CF5A0F">
        <w:tc>
          <w:tcPr>
            <w:tcW w:w="2552" w:type="dxa"/>
          </w:tcPr>
          <w:p w14:paraId="56BB5374" w14:textId="77777777" w:rsidR="00456D58" w:rsidRDefault="00071BBB" w:rsidP="00CF5A0F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</w:rPr>
              <w:t>Альтернатива 2</w:t>
            </w:r>
          </w:p>
        </w:tc>
        <w:tc>
          <w:tcPr>
            <w:tcW w:w="3993" w:type="dxa"/>
          </w:tcPr>
          <w:p w14:paraId="6B7D5D48" w14:textId="77777777" w:rsidR="00456D58" w:rsidRDefault="00071BBB" w:rsidP="00CF5A0F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</w:rPr>
              <w:t>Відсутні</w:t>
            </w:r>
          </w:p>
        </w:tc>
        <w:tc>
          <w:tcPr>
            <w:tcW w:w="3088" w:type="dxa"/>
          </w:tcPr>
          <w:p w14:paraId="437092AF" w14:textId="77777777" w:rsidR="00456D58" w:rsidRDefault="00071BBB" w:rsidP="00CF5A0F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</w:rPr>
              <w:t>Відсутні</w:t>
            </w:r>
          </w:p>
        </w:tc>
      </w:tr>
    </w:tbl>
    <w:p w14:paraId="433332D5" w14:textId="77777777" w:rsidR="00456D58" w:rsidRPr="00CF5A0F" w:rsidRDefault="00456D58" w:rsidP="00AF3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31FE5B" w14:textId="77777777" w:rsidR="00456D58" w:rsidRDefault="00071BBB" w:rsidP="00CF5A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14:paraId="7EF7AEE3" w14:textId="77777777" w:rsidR="00456D58" w:rsidRPr="00CF5A0F" w:rsidRDefault="00456D58" w:rsidP="00AF372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18"/>
        <w:gridCol w:w="3218"/>
        <w:gridCol w:w="3192"/>
      </w:tblGrid>
      <w:tr w:rsidR="00456D58" w14:paraId="5C4DA0B6" w14:textId="77777777" w:rsidTr="00CF5A0F">
        <w:trPr>
          <w:trHeight w:val="1705"/>
        </w:trPr>
        <w:tc>
          <w:tcPr>
            <w:tcW w:w="3285" w:type="dxa"/>
          </w:tcPr>
          <w:p w14:paraId="7EFD45C1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Рейтинг результативності </w:t>
            </w:r>
            <w:r>
              <w:rPr>
                <w:sz w:val="28"/>
                <w:lang w:val="uk-UA"/>
              </w:rPr>
              <w:t>(досягнення цілей під час вирішення проблеми)</w:t>
            </w:r>
          </w:p>
        </w:tc>
        <w:tc>
          <w:tcPr>
            <w:tcW w:w="3285" w:type="dxa"/>
          </w:tcPr>
          <w:p w14:paraId="5569F0BA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 результативності (за чотирибальною системою оцінювання)</w:t>
            </w:r>
          </w:p>
        </w:tc>
        <w:tc>
          <w:tcPr>
            <w:tcW w:w="3285" w:type="dxa"/>
          </w:tcPr>
          <w:p w14:paraId="5C44F3E6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Коментарі щодо присвоєння відповідного бала</w:t>
            </w:r>
          </w:p>
        </w:tc>
      </w:tr>
      <w:tr w:rsidR="00456D58" w14:paraId="4ADBBE1D" w14:textId="77777777" w:rsidTr="00CF5A0F">
        <w:trPr>
          <w:trHeight w:val="1972"/>
        </w:trPr>
        <w:tc>
          <w:tcPr>
            <w:tcW w:w="3285" w:type="dxa"/>
          </w:tcPr>
          <w:p w14:paraId="291B3E03" w14:textId="77777777" w:rsidR="00456D58" w:rsidRDefault="00071BBB" w:rsidP="00CF5A0F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1</w:t>
            </w:r>
          </w:p>
        </w:tc>
        <w:tc>
          <w:tcPr>
            <w:tcW w:w="3285" w:type="dxa"/>
          </w:tcPr>
          <w:p w14:paraId="1526AF0B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285" w:type="dxa"/>
          </w:tcPr>
          <w:p w14:paraId="0815E415" w14:textId="7777777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Альтернатива 1 дає змогу досягнути поставлених цілей державного регулювання без </w:t>
            </w:r>
            <w:r>
              <w:rPr>
                <w:sz w:val="28"/>
                <w:lang w:val="uk-UA"/>
              </w:rPr>
              <w:t>додаткових витрат</w:t>
            </w:r>
          </w:p>
        </w:tc>
      </w:tr>
      <w:tr w:rsidR="00456D58" w14:paraId="39D17781" w14:textId="77777777" w:rsidTr="00CF5A0F">
        <w:trPr>
          <w:trHeight w:val="1919"/>
        </w:trPr>
        <w:tc>
          <w:tcPr>
            <w:tcW w:w="3285" w:type="dxa"/>
          </w:tcPr>
          <w:p w14:paraId="6B19391F" w14:textId="77777777" w:rsidR="00456D58" w:rsidRDefault="00071BBB" w:rsidP="00CF5A0F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2</w:t>
            </w:r>
          </w:p>
        </w:tc>
        <w:tc>
          <w:tcPr>
            <w:tcW w:w="3285" w:type="dxa"/>
          </w:tcPr>
          <w:p w14:paraId="41B14B41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285" w:type="dxa"/>
          </w:tcPr>
          <w:p w14:paraId="49A0D328" w14:textId="7777777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2 залишає ситуацію без змін, що надалі призведе до зниження рівня надходжень ПДВ до державного бюджету</w:t>
            </w:r>
          </w:p>
        </w:tc>
      </w:tr>
    </w:tbl>
    <w:p w14:paraId="33E25EC4" w14:textId="77777777" w:rsidR="00456D58" w:rsidRPr="00CF5A0F" w:rsidRDefault="00456D58" w:rsidP="00AF37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386"/>
        <w:gridCol w:w="2293"/>
        <w:gridCol w:w="2542"/>
      </w:tblGrid>
      <w:tr w:rsidR="00456D58" w14:paraId="6D9DD84D" w14:textId="77777777">
        <w:tc>
          <w:tcPr>
            <w:tcW w:w="2463" w:type="dxa"/>
          </w:tcPr>
          <w:p w14:paraId="0E5A42F3" w14:textId="77777777" w:rsidR="00456D58" w:rsidRDefault="00071BBB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2464" w:type="dxa"/>
          </w:tcPr>
          <w:p w14:paraId="37C70B2A" w14:textId="77777777" w:rsidR="00456D58" w:rsidRDefault="00071BBB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Вигоди (підсумок)</w:t>
            </w:r>
          </w:p>
        </w:tc>
        <w:tc>
          <w:tcPr>
            <w:tcW w:w="2464" w:type="dxa"/>
          </w:tcPr>
          <w:p w14:paraId="6A042E82" w14:textId="77777777" w:rsidR="00456D58" w:rsidRDefault="00071BBB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Витрати (підсумок)</w:t>
            </w:r>
          </w:p>
        </w:tc>
        <w:tc>
          <w:tcPr>
            <w:tcW w:w="2464" w:type="dxa"/>
          </w:tcPr>
          <w:p w14:paraId="3D7932C7" w14:textId="463371DE" w:rsidR="00456D58" w:rsidRDefault="00071BBB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Обґрунтування відповідного місця альтерн</w:t>
            </w:r>
            <w:r>
              <w:rPr>
                <w:sz w:val="28"/>
                <w:lang w:val="uk-UA"/>
              </w:rPr>
              <w:t xml:space="preserve">ативи </w:t>
            </w:r>
            <w:r>
              <w:rPr>
                <w:sz w:val="28"/>
                <w:lang w:val="uk-UA"/>
              </w:rPr>
              <w:t xml:space="preserve">в </w:t>
            </w:r>
            <w:r>
              <w:rPr>
                <w:sz w:val="28"/>
                <w:lang w:val="uk-UA"/>
              </w:rPr>
              <w:t>рейтингу</w:t>
            </w:r>
          </w:p>
        </w:tc>
      </w:tr>
      <w:tr w:rsidR="00456D58" w14:paraId="592415DF" w14:textId="77777777">
        <w:tc>
          <w:tcPr>
            <w:tcW w:w="2463" w:type="dxa"/>
          </w:tcPr>
          <w:p w14:paraId="5B800446" w14:textId="77777777" w:rsidR="00456D58" w:rsidRDefault="00071BBB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1</w:t>
            </w:r>
          </w:p>
        </w:tc>
        <w:tc>
          <w:tcPr>
            <w:tcW w:w="2464" w:type="dxa"/>
          </w:tcPr>
          <w:p w14:paraId="5930C679" w14:textId="11F93C4B" w:rsidR="00456D58" w:rsidRDefault="00071BB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Запобіга</w:t>
            </w:r>
            <w:r>
              <w:rPr>
                <w:sz w:val="28"/>
                <w:lang w:val="uk-UA"/>
              </w:rPr>
              <w:t xml:space="preserve">ння </w:t>
            </w:r>
            <w:r>
              <w:rPr>
                <w:sz w:val="28"/>
                <w:lang w:val="uk-UA"/>
              </w:rPr>
              <w:t xml:space="preserve">ухиленню </w:t>
            </w:r>
            <w:r>
              <w:rPr>
                <w:sz w:val="28"/>
                <w:lang w:val="uk-UA"/>
              </w:rPr>
              <w:t xml:space="preserve">платників </w:t>
            </w:r>
            <w:r>
              <w:rPr>
                <w:sz w:val="28"/>
                <w:lang w:val="uk-UA"/>
              </w:rPr>
              <w:t xml:space="preserve">від сплати податків </w:t>
            </w:r>
            <w:r>
              <w:rPr>
                <w:sz w:val="28"/>
                <w:lang w:val="uk-UA"/>
              </w:rPr>
              <w:t>та  </w:t>
            </w:r>
            <w:r>
              <w:rPr>
                <w:sz w:val="28"/>
                <w:lang w:val="uk-UA"/>
              </w:rPr>
              <w:t>забезпечення справедливих умов для реєстрації ПН / РК у Реєстрі</w:t>
            </w:r>
          </w:p>
        </w:tc>
        <w:tc>
          <w:tcPr>
            <w:tcW w:w="2464" w:type="dxa"/>
          </w:tcPr>
          <w:p w14:paraId="3F3AF004" w14:textId="77777777" w:rsidR="00456D58" w:rsidRDefault="00071BBB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Витрати відсутні.</w:t>
            </w:r>
          </w:p>
          <w:p w14:paraId="53169E0C" w14:textId="77777777" w:rsidR="00456D58" w:rsidRDefault="00071BBB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Оновлення програмного забезпечення </w:t>
            </w:r>
            <w:r>
              <w:rPr>
                <w:sz w:val="28"/>
                <w:lang w:val="uk-UA"/>
              </w:rPr>
              <w:t>здійснюється в межах фінансування ДПС</w:t>
            </w:r>
            <w:r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без необхідності залучення </w:t>
            </w:r>
            <w:r>
              <w:rPr>
                <w:sz w:val="28"/>
                <w:lang w:val="uk-UA"/>
              </w:rPr>
              <w:t xml:space="preserve">додаткових </w:t>
            </w:r>
            <w:r>
              <w:rPr>
                <w:sz w:val="28"/>
                <w:lang w:val="uk-UA"/>
              </w:rPr>
              <w:t xml:space="preserve">кадрів </w:t>
            </w:r>
          </w:p>
        </w:tc>
        <w:tc>
          <w:tcPr>
            <w:tcW w:w="2464" w:type="dxa"/>
          </w:tcPr>
          <w:p w14:paraId="25BA0EF9" w14:textId="7777777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Є найоптимальнішим серед запропонованих альтернатив, оскільки відповідає вимогам регуляторної політики і досягає цілей державного регулювання.</w:t>
            </w:r>
          </w:p>
          <w:p w14:paraId="6DDD2D69" w14:textId="77777777" w:rsidR="00456D58" w:rsidRDefault="00071BBB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Є вигідною для держави та </w:t>
            </w:r>
            <w:r>
              <w:rPr>
                <w:sz w:val="28"/>
                <w:lang w:val="uk-UA"/>
              </w:rPr>
              <w:t>суб</w:t>
            </w:r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єктів господарювання</w:t>
            </w:r>
            <w:r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без додаткових витрат</w:t>
            </w:r>
          </w:p>
        </w:tc>
      </w:tr>
      <w:tr w:rsidR="00456D58" w14:paraId="06FC977C" w14:textId="77777777">
        <w:tc>
          <w:tcPr>
            <w:tcW w:w="2463" w:type="dxa"/>
          </w:tcPr>
          <w:p w14:paraId="5867E83F" w14:textId="77777777" w:rsidR="00456D58" w:rsidRDefault="00071BBB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2</w:t>
            </w:r>
          </w:p>
        </w:tc>
        <w:tc>
          <w:tcPr>
            <w:tcW w:w="2464" w:type="dxa"/>
          </w:tcPr>
          <w:p w14:paraId="2545A9BB" w14:textId="77777777" w:rsidR="00456D58" w:rsidRDefault="00071BBB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Відсутні</w:t>
            </w:r>
          </w:p>
        </w:tc>
        <w:tc>
          <w:tcPr>
            <w:tcW w:w="2464" w:type="dxa"/>
          </w:tcPr>
          <w:p w14:paraId="7C8D3389" w14:textId="77777777" w:rsidR="00456D58" w:rsidRDefault="00071BBB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Відсутні</w:t>
            </w:r>
          </w:p>
        </w:tc>
        <w:tc>
          <w:tcPr>
            <w:tcW w:w="2464" w:type="dxa"/>
          </w:tcPr>
          <w:p w14:paraId="4FFF0F59" w14:textId="77777777" w:rsidR="00456D58" w:rsidRDefault="00071BBB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 дає змоги досягнути поставлених цілей державного регулювання</w:t>
            </w:r>
          </w:p>
        </w:tc>
      </w:tr>
    </w:tbl>
    <w:p w14:paraId="234C34D5" w14:textId="77777777" w:rsidR="00456D58" w:rsidRDefault="00456D58">
      <w:pPr>
        <w:pStyle w:val="a4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202"/>
        <w:gridCol w:w="3089"/>
        <w:gridCol w:w="3343"/>
      </w:tblGrid>
      <w:tr w:rsidR="00456D58" w14:paraId="52AA8F55" w14:textId="77777777">
        <w:trPr>
          <w:trHeight w:val="633"/>
        </w:trPr>
        <w:tc>
          <w:tcPr>
            <w:tcW w:w="3202" w:type="dxa"/>
          </w:tcPr>
          <w:p w14:paraId="3D939F7A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Рейтинг</w:t>
            </w:r>
          </w:p>
        </w:tc>
        <w:tc>
          <w:tcPr>
            <w:tcW w:w="3089" w:type="dxa"/>
          </w:tcPr>
          <w:p w14:paraId="6359EBD3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3343" w:type="dxa"/>
          </w:tcPr>
          <w:p w14:paraId="0BB8FC0F" w14:textId="77777777" w:rsidR="00456D58" w:rsidRDefault="00071BBB" w:rsidP="00CF5A0F">
            <w:pPr>
              <w:pStyle w:val="a4"/>
              <w:spacing w:before="0" w:beforeAutospacing="0" w:after="0" w:afterAutospacing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Оцінка ризику </w:t>
            </w:r>
            <w:r>
              <w:rPr>
                <w:sz w:val="28"/>
                <w:lang w:val="uk-UA"/>
              </w:rPr>
              <w:t>зовнішніх чинників на дію запропонованого регуляторного акта</w:t>
            </w:r>
          </w:p>
        </w:tc>
      </w:tr>
      <w:tr w:rsidR="00456D58" w14:paraId="6E4F86FE" w14:textId="77777777">
        <w:trPr>
          <w:trHeight w:val="1686"/>
        </w:trPr>
        <w:tc>
          <w:tcPr>
            <w:tcW w:w="3202" w:type="dxa"/>
          </w:tcPr>
          <w:p w14:paraId="74499F72" w14:textId="77777777" w:rsidR="00456D58" w:rsidRDefault="00071BBB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1</w:t>
            </w:r>
          </w:p>
        </w:tc>
        <w:tc>
          <w:tcPr>
            <w:tcW w:w="3089" w:type="dxa"/>
          </w:tcPr>
          <w:p w14:paraId="4776C403" w14:textId="7777777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Прийняття акта забезпечить баланс інтересів держави та суб’єктів господарювання</w:t>
            </w:r>
          </w:p>
        </w:tc>
        <w:tc>
          <w:tcPr>
            <w:tcW w:w="3343" w:type="dxa"/>
          </w:tcPr>
          <w:p w14:paraId="324A7AA3" w14:textId="77777777" w:rsidR="00456D58" w:rsidRDefault="00071BBB">
            <w:pPr>
              <w:widowControl w:val="0"/>
              <w:tabs>
                <w:tab w:val="left" w:pos="-3686"/>
              </w:tabs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val="uk-UA" w:eastAsia="uk-UA"/>
              </w:rPr>
              <w:t>Вплив зовнішніх чинників вбачається незначним, ризики низькі</w:t>
            </w:r>
          </w:p>
        </w:tc>
      </w:tr>
      <w:tr w:rsidR="00456D58" w14:paraId="5F836EF6" w14:textId="77777777">
        <w:trPr>
          <w:trHeight w:val="310"/>
        </w:trPr>
        <w:tc>
          <w:tcPr>
            <w:tcW w:w="3202" w:type="dxa"/>
          </w:tcPr>
          <w:p w14:paraId="7BFABEEC" w14:textId="77777777" w:rsidR="00456D58" w:rsidRDefault="00071BBB">
            <w:pPr>
              <w:pStyle w:val="a4"/>
              <w:spacing w:before="0" w:beforeAutospacing="0" w:after="0" w:afterAutospacing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Альтернатива 2</w:t>
            </w:r>
          </w:p>
        </w:tc>
        <w:tc>
          <w:tcPr>
            <w:tcW w:w="3089" w:type="dxa"/>
          </w:tcPr>
          <w:p w14:paraId="5D7B5F4A" w14:textId="77777777" w:rsidR="00456D58" w:rsidRDefault="00071BBB" w:rsidP="00CF5A0F">
            <w:pPr>
              <w:pStyle w:val="a4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Переваги обраної альте</w:t>
            </w:r>
            <w:r>
              <w:rPr>
                <w:sz w:val="28"/>
                <w:lang w:val="uk-UA"/>
              </w:rPr>
              <w:t>рнативи відсутні</w:t>
            </w:r>
          </w:p>
        </w:tc>
        <w:tc>
          <w:tcPr>
            <w:tcW w:w="3343" w:type="dxa"/>
          </w:tcPr>
          <w:p w14:paraId="610387F3" w14:textId="77777777" w:rsidR="00456D58" w:rsidRDefault="00071BBB">
            <w:pPr>
              <w:widowControl w:val="0"/>
              <w:rPr>
                <w:rFonts w:ascii="Times New Roman" w:eastAsia="SimSun" w:hAnsi="Times New Roman" w:cs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val="uk-UA" w:eastAsia="uk-UA"/>
              </w:rPr>
              <w:t>Вплив зовнішніх чинників вбачається значним, ризики високі</w:t>
            </w:r>
          </w:p>
        </w:tc>
      </w:tr>
    </w:tbl>
    <w:p w14:paraId="5044AC9B" w14:textId="77777777" w:rsidR="00456D58" w:rsidRPr="00CF5A0F" w:rsidRDefault="00456D58" w:rsidP="00AF372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59E9CF5" w14:textId="77777777" w:rsidR="00456D58" w:rsidRDefault="00071BBB" w:rsidP="00CF5A0F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Механізм та заходи, які забезпечать розв’язання визначеної проблеми</w:t>
      </w:r>
    </w:p>
    <w:p w14:paraId="60F85D5C" w14:textId="77777777" w:rsidR="00456D58" w:rsidRPr="00CF5A0F" w:rsidRDefault="00456D5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228417" w14:textId="77777777" w:rsidR="00456D58" w:rsidRPr="00CF5A0F" w:rsidRDefault="00071BBB" w:rsidP="00CF5A0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5A0F">
        <w:rPr>
          <w:sz w:val="28"/>
          <w:szCs w:val="28"/>
        </w:rPr>
        <w:t>1. Механізм дії регуляторного акта</w:t>
      </w:r>
    </w:p>
    <w:p w14:paraId="4E322EE3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 механізмом для розв’язання визначених проблемних питань є </w:t>
      </w:r>
      <w:r>
        <w:rPr>
          <w:sz w:val="28"/>
          <w:szCs w:val="28"/>
        </w:rPr>
        <w:t>прийняття проєкту постанови та фактична реалізація її положень.</w:t>
      </w:r>
    </w:p>
    <w:p w14:paraId="763D8DB5" w14:textId="66032E03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7"/>
          <w:shd w:val="clear" w:color="auto" w:fill="FFFFFF"/>
          <w:lang w:eastAsia="en-US"/>
        </w:rPr>
      </w:pPr>
      <w:r>
        <w:rPr>
          <w:sz w:val="28"/>
          <w:szCs w:val="28"/>
        </w:rPr>
        <w:t xml:space="preserve">Згідно з </w:t>
      </w:r>
      <w:proofErr w:type="spellStart"/>
      <w:r>
        <w:rPr>
          <w:sz w:val="28"/>
          <w:szCs w:val="28"/>
        </w:rPr>
        <w:t>проєкт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постанови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передбачено </w:t>
      </w:r>
      <w:r>
        <w:rPr>
          <w:sz w:val="28"/>
          <w:szCs w:val="28"/>
        </w:rPr>
        <w:t xml:space="preserve">внесення змін до автоматизованого моніторингу відповідності ПН / РК критеріям оцінки ризиків, за результатами якого може бути </w:t>
      </w:r>
      <w:r>
        <w:rPr>
          <w:sz w:val="28"/>
          <w:szCs w:val="28"/>
        </w:rPr>
        <w:t>зупинено реєстрацію ПН / РК у Реєстрі.</w:t>
      </w:r>
    </w:p>
    <w:p w14:paraId="32725164" w14:textId="6A5D1EB5" w:rsidR="00456D58" w:rsidRDefault="00071BB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У разі зупинення реєстрації </w:t>
      </w:r>
      <w:r>
        <w:rPr>
          <w:sz w:val="28"/>
          <w:szCs w:val="28"/>
        </w:rPr>
        <w:t>ПН / РК</w:t>
      </w:r>
      <w:r>
        <w:rPr>
          <w:sz w:val="28"/>
          <w:szCs w:val="27"/>
          <w:shd w:val="clear" w:color="auto" w:fill="FFFFFF"/>
        </w:rPr>
        <w:t xml:space="preserve"> прийняття рішення про реєстрацію </w:t>
      </w:r>
      <w:r>
        <w:rPr>
          <w:sz w:val="28"/>
          <w:szCs w:val="28"/>
        </w:rPr>
        <w:t>ПН  </w:t>
      </w:r>
      <w:r>
        <w:rPr>
          <w:sz w:val="28"/>
          <w:szCs w:val="28"/>
        </w:rPr>
        <w:t>/  </w:t>
      </w:r>
      <w:r>
        <w:rPr>
          <w:sz w:val="28"/>
          <w:szCs w:val="28"/>
        </w:rPr>
        <w:t xml:space="preserve">РК </w:t>
      </w:r>
      <w:r>
        <w:rPr>
          <w:sz w:val="28"/>
          <w:szCs w:val="27"/>
          <w:shd w:val="clear" w:color="auto" w:fill="FFFFFF"/>
        </w:rPr>
        <w:t xml:space="preserve">у Реєстрі або відмова в такій реєстрації буде здійснюватися </w:t>
      </w:r>
      <w:r>
        <w:rPr>
          <w:bCs/>
          <w:sz w:val="28"/>
          <w:szCs w:val="27"/>
          <w:shd w:val="clear" w:color="auto" w:fill="FFFFFF"/>
        </w:rPr>
        <w:t xml:space="preserve">комісією з питань зупинення реєстрації </w:t>
      </w:r>
      <w:r>
        <w:rPr>
          <w:sz w:val="28"/>
          <w:szCs w:val="28"/>
        </w:rPr>
        <w:t xml:space="preserve">податкової накладної / розрахунку </w:t>
      </w:r>
      <w:r>
        <w:rPr>
          <w:sz w:val="28"/>
          <w:szCs w:val="28"/>
        </w:rPr>
        <w:t>коригування</w:t>
      </w:r>
      <w:r>
        <w:rPr>
          <w:bCs/>
          <w:sz w:val="28"/>
          <w:szCs w:val="27"/>
          <w:shd w:val="clear" w:color="auto" w:fill="FFFFFF"/>
        </w:rPr>
        <w:t xml:space="preserve"> в Реєстрі </w:t>
      </w:r>
      <w:r>
        <w:rPr>
          <w:bCs/>
          <w:sz w:val="28"/>
          <w:szCs w:val="27"/>
          <w:shd w:val="clear" w:color="auto" w:fill="FFFFFF"/>
        </w:rPr>
        <w:t xml:space="preserve">в </w:t>
      </w:r>
      <w:r>
        <w:rPr>
          <w:bCs/>
          <w:sz w:val="28"/>
          <w:szCs w:val="27"/>
          <w:shd w:val="clear" w:color="auto" w:fill="FFFFFF"/>
        </w:rPr>
        <w:t xml:space="preserve">порядку, визначеному центральним органом виконавчої влади, що забезпечує формування та реалізує державну фінансову політику, або </w:t>
      </w:r>
      <w:r>
        <w:rPr>
          <w:sz w:val="28"/>
          <w:szCs w:val="28"/>
        </w:rPr>
        <w:t xml:space="preserve">ПН / РК </w:t>
      </w:r>
      <w:r>
        <w:rPr>
          <w:bCs/>
          <w:sz w:val="28"/>
          <w:szCs w:val="27"/>
          <w:shd w:val="clear" w:color="auto" w:fill="FFFFFF"/>
        </w:rPr>
        <w:t xml:space="preserve">підлягатимуть автоматичній реєстрації </w:t>
      </w:r>
      <w:r>
        <w:rPr>
          <w:bCs/>
          <w:sz w:val="28"/>
          <w:szCs w:val="27"/>
          <w:shd w:val="clear" w:color="auto" w:fill="FFFFFF"/>
        </w:rPr>
        <w:t xml:space="preserve">в </w:t>
      </w:r>
      <w:r>
        <w:rPr>
          <w:bCs/>
          <w:sz w:val="28"/>
          <w:szCs w:val="27"/>
          <w:shd w:val="clear" w:color="auto" w:fill="FFFFFF"/>
        </w:rPr>
        <w:t xml:space="preserve">порядку, визначеному </w:t>
      </w:r>
      <w:r>
        <w:rPr>
          <w:bCs/>
          <w:sz w:val="28"/>
          <w:szCs w:val="27"/>
          <w:shd w:val="clear" w:color="auto" w:fill="FFFFFF"/>
        </w:rPr>
        <w:t xml:space="preserve">згідно з </w:t>
      </w:r>
      <w:r>
        <w:rPr>
          <w:bCs/>
          <w:sz w:val="28"/>
          <w:szCs w:val="27"/>
          <w:shd w:val="clear" w:color="auto" w:fill="FFFFFF"/>
        </w:rPr>
        <w:t>проєктом постанови.</w:t>
      </w:r>
    </w:p>
    <w:p w14:paraId="66A92DE3" w14:textId="77777777" w:rsidR="00456D58" w:rsidRDefault="00456D5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523F07" w14:textId="77777777" w:rsidR="00456D58" w:rsidRPr="00CF5A0F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5A0F">
        <w:rPr>
          <w:sz w:val="28"/>
          <w:szCs w:val="28"/>
        </w:rPr>
        <w:t>2. Організаційні заходи впровадження регуляторного акта в дію</w:t>
      </w:r>
    </w:p>
    <w:p w14:paraId="4BBD29DB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впровадження цього регуляторного акта необхідно забезпечити:</w:t>
      </w:r>
    </w:p>
    <w:p w14:paraId="32FB9C01" w14:textId="116FF720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інформування громадськості про вимоги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, зокрема</w:t>
      </w:r>
      <w:r>
        <w:rPr>
          <w:sz w:val="28"/>
          <w:szCs w:val="28"/>
        </w:rPr>
        <w:t xml:space="preserve"> шляхом </w:t>
      </w:r>
      <w:r>
        <w:rPr>
          <w:sz w:val="28"/>
          <w:szCs w:val="28"/>
        </w:rPr>
        <w:t xml:space="preserve">оприлюднення </w:t>
      </w:r>
      <w:r>
        <w:rPr>
          <w:sz w:val="28"/>
          <w:szCs w:val="28"/>
        </w:rPr>
        <w:t xml:space="preserve">цього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вебпорталі</w:t>
      </w:r>
      <w:r>
        <w:rPr>
          <w:sz w:val="28"/>
          <w:szCs w:val="28"/>
        </w:rPr>
        <w:t xml:space="preserve"> Державної податкової служби України;</w:t>
      </w:r>
    </w:p>
    <w:p w14:paraId="799C9AAA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погодження проєкту регуляторного акта із заінтересованими органами;</w:t>
      </w:r>
    </w:p>
    <w:p w14:paraId="07E676D4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виконання вимог регулювання.</w:t>
      </w:r>
    </w:p>
    <w:p w14:paraId="2F695B4A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Суб’єктам господарювання для впровадження вимог регулювання необхідно:</w:t>
      </w:r>
    </w:p>
    <w:p w14:paraId="77DFE92A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ознайомитися з вимогами регулювання;</w:t>
      </w:r>
    </w:p>
    <w:p w14:paraId="6400F4CE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рганізувати виконання вимог регулювання.</w:t>
      </w:r>
    </w:p>
    <w:p w14:paraId="13BC691E" w14:textId="77777777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Ризику впливу зовнішніх факторів на дію регуляторного акта немає.</w:t>
      </w:r>
    </w:p>
    <w:p w14:paraId="3E19550D" w14:textId="0F683349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Можлива шкода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разі очікуваних наслідків дії акта не прогнозується.</w:t>
      </w:r>
    </w:p>
    <w:p w14:paraId="6CE0B38E" w14:textId="77777777" w:rsidR="00456D58" w:rsidRDefault="00456D5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5534A4" w14:textId="77777777" w:rsidR="00456D58" w:rsidRDefault="00071BBB" w:rsidP="00CF5A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проваджувати або виконувати ці вимоги</w:t>
      </w:r>
    </w:p>
    <w:p w14:paraId="76D13A56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7EF60" w14:textId="77777777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проєкту</w:t>
      </w:r>
      <w:r>
        <w:rPr>
          <w:rFonts w:ascii="Times New Roman" w:hAnsi="Times New Roman" w:cs="Times New Roman"/>
          <w:sz w:val="28"/>
          <w:szCs w:val="28"/>
        </w:rPr>
        <w:t xml:space="preserve"> постанови не передбачає фінансових витрат </w:t>
      </w:r>
      <w:r>
        <w:rPr>
          <w:rFonts w:ascii="Times New Roman" w:hAnsi="Times New Roman" w:cs="Times New Roman"/>
          <w:sz w:val="28"/>
          <w:szCs w:val="28"/>
        </w:rPr>
        <w:t xml:space="preserve">із боку </w:t>
      </w:r>
      <w:r>
        <w:rPr>
          <w:rFonts w:ascii="Times New Roman" w:hAnsi="Times New Roman" w:cs="Times New Roman"/>
          <w:sz w:val="28"/>
          <w:szCs w:val="28"/>
        </w:rPr>
        <w:t>органів виконавчої влади та платників податків.</w:t>
      </w:r>
    </w:p>
    <w:p w14:paraId="526729A3" w14:textId="2B8434E3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для </w:t>
      </w:r>
      <w:r>
        <w:rPr>
          <w:rFonts w:ascii="Times New Roman" w:hAnsi="Times New Roman" w:cs="Times New Roman"/>
          <w:sz w:val="28"/>
          <w:szCs w:val="28"/>
        </w:rPr>
        <w:t xml:space="preserve">розроблення </w:t>
      </w:r>
      <w:r>
        <w:rPr>
          <w:rFonts w:ascii="Times New Roman" w:hAnsi="Times New Roman" w:cs="Times New Roman"/>
          <w:sz w:val="28"/>
          <w:szCs w:val="28"/>
        </w:rPr>
        <w:t>програмного забезпечення здійснюється в межах фінансування ДПС.</w:t>
      </w:r>
    </w:p>
    <w:p w14:paraId="5AB54467" w14:textId="08DFA559" w:rsidR="00456D58" w:rsidRDefault="00071B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Оскільки сфера державного регулювання, визначена регуля</w:t>
      </w:r>
      <w:r>
        <w:rPr>
          <w:sz w:val="28"/>
          <w:szCs w:val="28"/>
        </w:rPr>
        <w:t>торним актом, діятиме для всіх суб’єктів господарювання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незалежно від</w:t>
      </w:r>
      <w:r>
        <w:rPr>
          <w:sz w:val="28"/>
        </w:rPr>
        <w:t xml:space="preserve"> рівня доходу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то це</w:t>
      </w:r>
      <w:r>
        <w:rPr>
          <w:sz w:val="28"/>
        </w:rPr>
        <w:t xml:space="preserve"> не передбачатиме </w:t>
      </w:r>
      <w:r>
        <w:rPr>
          <w:bCs/>
          <w:sz w:val="28"/>
          <w:szCs w:val="28"/>
        </w:rPr>
        <w:t xml:space="preserve">додаткових витрат для </w:t>
      </w:r>
      <w:r>
        <w:rPr>
          <w:bCs/>
          <w:sz w:val="28"/>
          <w:szCs w:val="28"/>
        </w:rPr>
        <w:t>виконання</w:t>
      </w:r>
      <w:r>
        <w:rPr>
          <w:bCs/>
          <w:sz w:val="28"/>
          <w:szCs w:val="28"/>
        </w:rPr>
        <w:t xml:space="preserve"> положень проєкту постанови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тому </w:t>
      </w:r>
      <w:r>
        <w:rPr>
          <w:sz w:val="28"/>
          <w:szCs w:val="28"/>
        </w:rPr>
        <w:t>М-Тест не проводився.</w:t>
      </w:r>
    </w:p>
    <w:p w14:paraId="770E1CB9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0E854" w14:textId="77777777" w:rsidR="00456D58" w:rsidRDefault="00071BBB" w:rsidP="00CF5A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Обґрунтування запропонованого строку </w:t>
      </w:r>
      <w:r>
        <w:rPr>
          <w:rFonts w:ascii="Times New Roman" w:hAnsi="Times New Roman" w:cs="Times New Roman"/>
          <w:b/>
          <w:sz w:val="28"/>
          <w:szCs w:val="28"/>
        </w:rPr>
        <w:t>дії регуляторного акта</w:t>
      </w:r>
    </w:p>
    <w:p w14:paraId="4D8DD9EC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EE12DE" w14:textId="77777777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 дії проєкту є необмеженим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>до можливих змін податкового законодавства.</w:t>
      </w:r>
    </w:p>
    <w:p w14:paraId="2956AA36" w14:textId="77777777" w:rsidR="00456D58" w:rsidRDefault="00456D58" w:rsidP="00CF5A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CB21B" w14:textId="77777777" w:rsidR="00456D58" w:rsidRDefault="00071BBB" w:rsidP="00CF5A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Визначення показників результативності дії регуляторного акта</w:t>
      </w:r>
    </w:p>
    <w:p w14:paraId="53D9A381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0637424"/>
    </w:p>
    <w:p w14:paraId="5F6262B4" w14:textId="3FA18F2C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</w:t>
      </w:r>
      <w:r>
        <w:rPr>
          <w:rFonts w:ascii="Times New Roman" w:hAnsi="Times New Roman" w:cs="Times New Roman"/>
          <w:sz w:val="28"/>
          <w:szCs w:val="28"/>
        </w:rPr>
        <w:t xml:space="preserve">; кількість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сума ПДВ.</w:t>
      </w:r>
    </w:p>
    <w:p w14:paraId="5C71813C" w14:textId="01A1233D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</w:t>
      </w:r>
      <w:r>
        <w:rPr>
          <w:rFonts w:ascii="Times New Roman" w:hAnsi="Times New Roman" w:cs="Times New Roman"/>
          <w:sz w:val="28"/>
          <w:szCs w:val="28"/>
        </w:rPr>
        <w:t xml:space="preserve">; кількість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>для 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сума ПДВ,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зареєстровані </w:t>
      </w:r>
      <w:r>
        <w:rPr>
          <w:rFonts w:ascii="Times New Roman" w:hAnsi="Times New Roman" w:cs="Times New Roman"/>
          <w:sz w:val="28"/>
          <w:szCs w:val="28"/>
        </w:rPr>
        <w:t>за результатами автоматизованого моніторингу, та з яких:</w:t>
      </w:r>
    </w:p>
    <w:p w14:paraId="0977BF94" w14:textId="5323F2B8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</w:t>
      </w:r>
      <w:r>
        <w:rPr>
          <w:rFonts w:ascii="Times New Roman" w:hAnsi="Times New Roman" w:cs="Times New Roman"/>
          <w:sz w:val="28"/>
          <w:szCs w:val="28"/>
        </w:rPr>
        <w:t xml:space="preserve">; кількість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>для 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сума ПДВ у ПН / РК,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відповідають ознакам безумовної реєстрації згідно з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Порядку зупинення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FD5001" w14:textId="0B49586D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</w:t>
      </w:r>
      <w:r>
        <w:rPr>
          <w:rFonts w:ascii="Times New Roman" w:hAnsi="Times New Roman" w:cs="Times New Roman"/>
          <w:sz w:val="28"/>
          <w:szCs w:val="28"/>
        </w:rPr>
        <w:t xml:space="preserve">; кількість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>для 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сума ПДВ у ПН / РК, які відповідають ознакам безумовної реєстрації згідно з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зупинення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F31BE3" w14:textId="356FE2A6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ПН / РК</w:t>
      </w:r>
      <w:r>
        <w:rPr>
          <w:rFonts w:ascii="Times New Roman" w:hAnsi="Times New Roman" w:cs="Times New Roman"/>
          <w:sz w:val="28"/>
          <w:szCs w:val="28"/>
        </w:rPr>
        <w:t>; кільк</w:t>
      </w:r>
      <w:r>
        <w:rPr>
          <w:rFonts w:ascii="Times New Roman" w:hAnsi="Times New Roman" w:cs="Times New Roman"/>
          <w:sz w:val="28"/>
          <w:szCs w:val="28"/>
        </w:rPr>
        <w:t xml:space="preserve">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>для 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сума ПДВ у ПН / РК, які відповідають показникам позитивної історії;</w:t>
      </w:r>
    </w:p>
    <w:p w14:paraId="7281D863" w14:textId="49E5459F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кількість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ПН / РК</w:t>
      </w:r>
      <w:r>
        <w:rPr>
          <w:rFonts w:ascii="Times New Roman" w:hAnsi="Times New Roman" w:cs="Times New Roman"/>
          <w:sz w:val="28"/>
          <w:szCs w:val="28"/>
        </w:rPr>
        <w:t xml:space="preserve">; кількість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>для 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сума ПДВ у ПН / РК, зареєстрованих автоматично згідно з вимогами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Порядку зупинення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F7CC0F" w14:textId="2FB29AFF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ПН / РК</w:t>
      </w:r>
      <w:r>
        <w:rPr>
          <w:rFonts w:ascii="Times New Roman" w:hAnsi="Times New Roman" w:cs="Times New Roman"/>
          <w:sz w:val="28"/>
          <w:szCs w:val="28"/>
        </w:rPr>
        <w:t xml:space="preserve">; кількість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>для 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сума ПДВ у ПН / РК, зареєстрованих автоматично згідно з вимогами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Порядку зупинення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2D4CB" w14:textId="6F2ACD37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>ПН / РК</w:t>
      </w:r>
      <w:r>
        <w:rPr>
          <w:rFonts w:ascii="Times New Roman" w:hAnsi="Times New Roman" w:cs="Times New Roman"/>
          <w:sz w:val="28"/>
          <w:szCs w:val="28"/>
        </w:rPr>
        <w:t xml:space="preserve">; кількість </w:t>
      </w:r>
      <w:r>
        <w:rPr>
          <w:rFonts w:ascii="Times New Roman" w:hAnsi="Times New Roman" w:cs="Times New Roman"/>
          <w:sz w:val="28"/>
          <w:szCs w:val="28"/>
        </w:rPr>
        <w:t xml:space="preserve">платників податку, </w:t>
      </w:r>
      <w:r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подали </w:t>
      </w:r>
      <w:r>
        <w:rPr>
          <w:rFonts w:ascii="Times New Roman" w:hAnsi="Times New Roman" w:cs="Times New Roman"/>
          <w:sz w:val="28"/>
          <w:szCs w:val="28"/>
        </w:rPr>
        <w:t>для реєстрації в Реєстрі ПН / РК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сума </w:t>
      </w:r>
      <w:r>
        <w:rPr>
          <w:rFonts w:ascii="Times New Roman" w:hAnsi="Times New Roman" w:cs="Times New Roman"/>
          <w:sz w:val="28"/>
          <w:szCs w:val="28"/>
        </w:rPr>
        <w:t>ПДВ</w:t>
      </w:r>
      <w:r>
        <w:rPr>
          <w:rFonts w:ascii="Times New Roman" w:hAnsi="Times New Roman" w:cs="Times New Roman"/>
          <w:sz w:val="28"/>
          <w:szCs w:val="28"/>
        </w:rPr>
        <w:t xml:space="preserve"> у ПН / РК, реєстрацію яких зупинено в Реєстрі,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них:</w:t>
      </w:r>
    </w:p>
    <w:p w14:paraId="656E04F3" w14:textId="580FB289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відповідність платника податку критеріям ризиковості платника податку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C0C860" w14:textId="6D411FD6" w:rsidR="00456D58" w:rsidRDefault="00071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відповідність критеріям ризиковості здійснення операцій. </w:t>
      </w:r>
    </w:p>
    <w:p w14:paraId="26D3EC82" w14:textId="77777777" w:rsidR="00456D58" w:rsidRDefault="004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B2504B4" w14:textId="77777777" w:rsidR="00456D58" w:rsidRDefault="00071BBB" w:rsidP="00AF37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IX. Визначення заходів, за допомогою яких </w:t>
      </w:r>
      <w:r>
        <w:rPr>
          <w:rFonts w:ascii="Times New Roman" w:hAnsi="Times New Roman" w:cs="Times New Roman"/>
          <w:b/>
          <w:sz w:val="28"/>
          <w:szCs w:val="28"/>
        </w:rPr>
        <w:t>здійснюватиметься відстеження результативності дії регуляторного акта</w:t>
      </w:r>
    </w:p>
    <w:p w14:paraId="46324030" w14:textId="77777777" w:rsidR="00456D58" w:rsidRPr="00AF3721" w:rsidRDefault="00456D58" w:rsidP="00AF37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D54044" w14:textId="2594EC79" w:rsidR="00456D58" w:rsidRDefault="00071BBB" w:rsidP="00AF372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регуляторного акта </w:t>
      </w:r>
      <w:r>
        <w:rPr>
          <w:rFonts w:ascii="Times New Roman" w:hAnsi="Times New Roman" w:cs="Times New Roman"/>
          <w:sz w:val="28"/>
          <w:szCs w:val="28"/>
        </w:rPr>
        <w:t xml:space="preserve">Державна податкова служба України </w:t>
      </w:r>
      <w:r>
        <w:rPr>
          <w:rFonts w:ascii="Times New Roman" w:hAnsi="Times New Roman" w:cs="Times New Roman"/>
          <w:sz w:val="28"/>
          <w:szCs w:val="28"/>
        </w:rPr>
        <w:t>здійснюватиме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статистичним методом шляхом базового, повторного</w:t>
      </w:r>
      <w:r>
        <w:rPr>
          <w:rFonts w:ascii="Times New Roman" w:hAnsi="Times New Roman" w:cs="Times New Roman"/>
          <w:sz w:val="28"/>
          <w:szCs w:val="28"/>
        </w:rPr>
        <w:t xml:space="preserve"> та періодичного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відстежень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показників результативності цього акта, визначених під час проведення аналізу впливу регуляторного акта.</w:t>
      </w:r>
    </w:p>
    <w:p w14:paraId="600F2779" w14:textId="77777777" w:rsidR="00456D58" w:rsidRDefault="00071BBB" w:rsidP="00AF372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Базове відстеження результативності регуляторного 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здійснюватиметься до набрання чинності акт</w:t>
      </w:r>
      <w:bookmarkStart w:id="3" w:name="bookmark=kix.2n40hl7vwfwj"/>
      <w:bookmarkEnd w:id="3"/>
      <w:r>
        <w:rPr>
          <w:rFonts w:ascii="Times New Roman" w:hAnsi="Times New Roman" w:cs="Times New Roman"/>
          <w:sz w:val="28"/>
          <w:szCs w:val="28"/>
        </w:rPr>
        <w:t>ом.</w:t>
      </w:r>
    </w:p>
    <w:p w14:paraId="406A44B1" w14:textId="5D40928E" w:rsidR="00456D58" w:rsidRDefault="00071BBB" w:rsidP="00AF372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 в</w:t>
      </w:r>
      <w:r>
        <w:rPr>
          <w:rFonts w:ascii="Times New Roman" w:hAnsi="Times New Roman" w:cs="Times New Roman"/>
          <w:sz w:val="28"/>
          <w:szCs w:val="28"/>
        </w:rPr>
        <w:t xml:space="preserve">ідстеження результативності буде здійснено не пізніше ніж через рік після набрання </w:t>
      </w:r>
      <w:r>
        <w:rPr>
          <w:rFonts w:ascii="Times New Roman" w:hAnsi="Times New Roman" w:cs="Times New Roman"/>
          <w:sz w:val="28"/>
          <w:szCs w:val="28"/>
        </w:rPr>
        <w:t>чинності</w:t>
      </w:r>
      <w:r>
        <w:rPr>
          <w:rFonts w:ascii="Times New Roman" w:hAnsi="Times New Roman" w:cs="Times New Roman"/>
          <w:sz w:val="28"/>
          <w:szCs w:val="28"/>
        </w:rPr>
        <w:t xml:space="preserve"> актом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bookmark=kix.qli0kvupslba"/>
      <w:bookmarkEnd w:id="4"/>
    </w:p>
    <w:p w14:paraId="47DA1E2E" w14:textId="77777777" w:rsidR="00456D58" w:rsidRDefault="00071BBB" w:rsidP="00AF372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Періодичне відстеження результативності буде здійснено не пізніше ніж через три роки з дня виконання заходів із повторного відстеження.</w:t>
      </w:r>
    </w:p>
    <w:p w14:paraId="15C4A96C" w14:textId="77777777" w:rsidR="00456D58" w:rsidRDefault="00456D58">
      <w:pPr>
        <w:pStyle w:val="a8"/>
        <w:spacing w:after="0"/>
        <w:rPr>
          <w:bCs/>
          <w:sz w:val="28"/>
          <w:szCs w:val="28"/>
          <w:highlight w:val="yellow"/>
          <w:lang w:val="uk-UA"/>
        </w:rPr>
      </w:pPr>
      <w:bookmarkStart w:id="5" w:name="_heading=h.tyjcwt"/>
      <w:bookmarkEnd w:id="5"/>
    </w:p>
    <w:p w14:paraId="34A45E7D" w14:textId="77777777" w:rsidR="00456D58" w:rsidRPr="00AF3721" w:rsidRDefault="00456D58">
      <w:pPr>
        <w:pStyle w:val="a8"/>
        <w:spacing w:after="0"/>
        <w:rPr>
          <w:bCs/>
          <w:sz w:val="28"/>
          <w:szCs w:val="28"/>
          <w:highlight w:val="yellow"/>
          <w:lang w:val="uk-UA"/>
        </w:rPr>
      </w:pPr>
    </w:p>
    <w:p w14:paraId="20C9BB7A" w14:textId="77777777" w:rsidR="00456D58" w:rsidRPr="00071BBB" w:rsidRDefault="00071BBB">
      <w:pPr>
        <w:pStyle w:val="a8"/>
        <w:spacing w:after="0"/>
        <w:rPr>
          <w:b/>
          <w:bCs/>
          <w:sz w:val="28"/>
          <w:szCs w:val="28"/>
          <w:highlight w:val="yellow"/>
          <w:lang w:val="uk-UA"/>
          <w:rPrChange w:id="6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</w:pPr>
      <w:bookmarkStart w:id="7" w:name="_GoBack"/>
      <w:bookmarkEnd w:id="7"/>
      <w:r w:rsidRPr="00071BBB">
        <w:rPr>
          <w:b/>
          <w:bCs/>
          <w:sz w:val="28"/>
          <w:szCs w:val="28"/>
          <w:highlight w:val="yellow"/>
          <w:lang w:val="uk-UA"/>
          <w:rPrChange w:id="8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  <w:t xml:space="preserve">Голова Державної податкової </w:t>
      </w:r>
    </w:p>
    <w:p w14:paraId="7629F788" w14:textId="11433F0F" w:rsidR="00456D58" w:rsidRDefault="00071BBB">
      <w:pPr>
        <w:pStyle w:val="a8"/>
        <w:spacing w:after="0"/>
        <w:rPr>
          <w:b/>
          <w:bCs/>
          <w:sz w:val="28"/>
          <w:szCs w:val="28"/>
          <w:lang w:val="uk-UA"/>
        </w:rPr>
      </w:pPr>
      <w:r w:rsidRPr="00071BBB">
        <w:rPr>
          <w:b/>
          <w:bCs/>
          <w:sz w:val="28"/>
          <w:szCs w:val="28"/>
          <w:highlight w:val="yellow"/>
          <w:lang w:val="uk-UA"/>
          <w:rPrChange w:id="9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  <w:t>служби України</w:t>
      </w:r>
      <w:r w:rsidRPr="00071BBB">
        <w:rPr>
          <w:b/>
          <w:bCs/>
          <w:sz w:val="28"/>
          <w:szCs w:val="28"/>
          <w:highlight w:val="yellow"/>
          <w:lang w:val="uk-UA"/>
          <w:rPrChange w:id="10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  <w:tab/>
      </w:r>
      <w:r w:rsidRPr="00071BBB">
        <w:rPr>
          <w:b/>
          <w:bCs/>
          <w:sz w:val="28"/>
          <w:szCs w:val="28"/>
          <w:highlight w:val="yellow"/>
          <w:lang w:val="uk-UA"/>
          <w:rPrChange w:id="11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  <w:tab/>
      </w:r>
      <w:r w:rsidRPr="00071BBB">
        <w:rPr>
          <w:b/>
          <w:bCs/>
          <w:sz w:val="28"/>
          <w:szCs w:val="28"/>
          <w:highlight w:val="yellow"/>
          <w:lang w:val="uk-UA"/>
          <w:rPrChange w:id="12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  <w:tab/>
      </w:r>
      <w:r w:rsidRPr="00071BBB">
        <w:rPr>
          <w:b/>
          <w:bCs/>
          <w:sz w:val="28"/>
          <w:szCs w:val="28"/>
          <w:highlight w:val="yellow"/>
          <w:lang w:val="uk-UA"/>
          <w:rPrChange w:id="13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  <w:tab/>
      </w:r>
      <w:r w:rsidRPr="00071BBB">
        <w:rPr>
          <w:b/>
          <w:bCs/>
          <w:sz w:val="28"/>
          <w:szCs w:val="28"/>
          <w:highlight w:val="yellow"/>
          <w:lang w:val="uk-UA"/>
          <w:rPrChange w:id="14" w:author="ЗАЙЦЕВА ГАННА ЛЕОНІДІВНА" w:date="2025-06-23T10:31:00Z">
            <w:rPr>
              <w:b/>
              <w:bCs/>
              <w:sz w:val="28"/>
              <w:szCs w:val="28"/>
              <w:lang w:val="uk-UA"/>
            </w:rPr>
          </w:rPrChange>
        </w:rPr>
        <w:tab/>
        <w:t xml:space="preserve">                           Руслан</w:t>
      </w:r>
      <w:r>
        <w:rPr>
          <w:b/>
          <w:bCs/>
          <w:sz w:val="28"/>
          <w:szCs w:val="28"/>
          <w:lang w:val="uk-UA"/>
        </w:rPr>
        <w:t xml:space="preserve"> КРАВЧЕНКО</w:t>
      </w:r>
    </w:p>
    <w:sectPr w:rsidR="00456D58">
      <w:headerReference w:type="default" r:id="rId9"/>
      <w:pgSz w:w="11906" w:h="16838"/>
      <w:pgMar w:top="1134" w:right="567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402B2" w14:textId="77777777" w:rsidR="00000000" w:rsidRDefault="00071BBB">
      <w:pPr>
        <w:spacing w:after="0" w:line="240" w:lineRule="auto"/>
      </w:pPr>
      <w:r>
        <w:separator/>
      </w:r>
    </w:p>
  </w:endnote>
  <w:endnote w:type="continuationSeparator" w:id="0">
    <w:p w14:paraId="216CC4E7" w14:textId="77777777" w:rsidR="00000000" w:rsidRDefault="0007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51B4" w14:textId="77777777" w:rsidR="00000000" w:rsidRDefault="00071BBB">
      <w:pPr>
        <w:spacing w:after="0" w:line="240" w:lineRule="auto"/>
      </w:pPr>
      <w:r>
        <w:separator/>
      </w:r>
    </w:p>
  </w:footnote>
  <w:footnote w:type="continuationSeparator" w:id="0">
    <w:p w14:paraId="423D3522" w14:textId="77777777" w:rsidR="00000000" w:rsidRDefault="0007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D057" w14:textId="77777777" w:rsidR="00456D58" w:rsidRDefault="00071BBB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  <w:lang w:val="ru-RU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19737159" w14:textId="77777777" w:rsidR="00456D58" w:rsidRDefault="00456D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0000001"/>
    <w:multiLevelType w:val="hybridMultilevel"/>
    <w:tmpl w:val="38687814"/>
    <w:lvl w:ilvl="0" w:tplc="61B8338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02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0000003"/>
    <w:multiLevelType w:val="hybridMultilevel"/>
    <w:tmpl w:val="25741BE6"/>
    <w:lvl w:ilvl="0" w:tplc="CA98CD3A">
      <w:start w:val="1"/>
      <w:numFmt w:val="decimal"/>
      <w:lvlText w:val="%1."/>
      <w:lvlJc w:val="left"/>
      <w:pPr>
        <w:ind w:left="284" w:hanging="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0000004"/>
    <w:multiLevelType w:val="hybridMultilevel"/>
    <w:tmpl w:val="CC382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DDA6CF0A"/>
    <w:lvl w:ilvl="0" w:tplc="BDB2ED4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93C921C"/>
    <w:lvl w:ilvl="0" w:tplc="E15288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0000007"/>
    <w:multiLevelType w:val="hybridMultilevel"/>
    <w:tmpl w:val="398286A2"/>
    <w:lvl w:ilvl="0" w:tplc="4CB667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ЗАЙЦЕВА ГАННА ЛЕОНІДІВНА">
    <w15:presenceInfo w15:providerId="AD" w15:userId="S-1-5-21-3550438679-4074488784-3769675378-179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8"/>
    <w:rsid w:val="00071BBB"/>
    <w:rsid w:val="00456D58"/>
    <w:rsid w:val="00AF3721"/>
    <w:rsid w:val="00C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F8E9D-19D6-48CE-89DB-696990A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spacing w:before="100" w:beforeAutospacing="1" w:after="100" w:afterAutospacing="1" w:line="276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link w:val="a5"/>
    <w:qFormat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ий текст Знак"/>
    <w:basedOn w:val="a0"/>
    <w:link w:val="a8"/>
    <w:uiPriority w:val="99"/>
    <w:rPr>
      <w:rFonts w:ascii="Times New Roman" w:eastAsia="Calibri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</w:style>
  <w:style w:type="paragraph" w:styleId="ab">
    <w:name w:val="header"/>
    <w:basedOn w:val="a"/>
    <w:link w:val="ac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styleId="af">
    <w:name w:val="Placeholder Text"/>
    <w:basedOn w:val="a0"/>
    <w:uiPriority w:val="99"/>
    <w:rPr>
      <w:color w:val="808080"/>
    </w:rPr>
  </w:style>
  <w:style w:type="paragraph" w:customStyle="1" w:styleId="af0">
    <w:name w:val="Шапка документу"/>
    <w:basedOn w:val="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1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rPr>
      <w:sz w:val="16"/>
      <w:szCs w:val="16"/>
    </w:rPr>
  </w:style>
  <w:style w:type="paragraph" w:styleId="af3">
    <w:name w:val="annotation text"/>
    <w:basedOn w:val="a"/>
    <w:link w:val="af4"/>
    <w:uiPriority w:val="99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rPr>
      <w:b/>
      <w:bCs/>
      <w:sz w:val="20"/>
      <w:szCs w:val="20"/>
    </w:rPr>
  </w:style>
  <w:style w:type="paragraph" w:styleId="af7">
    <w:name w:val="Revision"/>
    <w:uiPriority w:val="99"/>
    <w:pPr>
      <w:spacing w:after="0" w:line="240" w:lineRule="auto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rPr>
      <w:rFonts w:ascii="Times New Roman" w:eastAsia="SimSun" w:hAnsi="Times New Roman" w:cs="Times New Roman"/>
      <w:sz w:val="24"/>
      <w:szCs w:val="24"/>
      <w:lang w:eastAsia="uk-UA"/>
    </w:rPr>
  </w:style>
  <w:style w:type="paragraph" w:customStyle="1" w:styleId="1">
    <w:name w:val="Знак Знак Знак Знак Знак Знак Знак Знак1"/>
    <w:basedOn w:val="a"/>
    <w:pPr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47E9-6B2F-4451-B177-A2BB3982D72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6A0DB29-C7BC-4ACB-9741-ABE9F9FC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11</Pages>
  <Words>11594</Words>
  <Characters>6610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g.zayceva</dc:creator>
  <cp:lastModifiedBy>ЗАЙЦЕВА ГАННА ЛЕОНІДІВНА</cp:lastModifiedBy>
  <cp:revision>33</cp:revision>
  <cp:lastPrinted>2025-02-25T10:05:00Z</cp:lastPrinted>
  <dcterms:created xsi:type="dcterms:W3CDTF">2025-03-04T10:57:00Z</dcterms:created>
  <dcterms:modified xsi:type="dcterms:W3CDTF">2025-06-23T07:31:00Z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1f149de6e67b45c08d8298ed980f79b9</vt:lpwstr>
  </property>
</Properties>
</file>