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A05765" w:rsidRPr="00F2690C" w:rsidTr="00282187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765" w:rsidRPr="00F2690C" w:rsidRDefault="00A05765" w:rsidP="00282187">
            <w:pPr>
              <w:pStyle w:val="rvps14"/>
              <w:spacing w:before="150" w:after="150"/>
              <w:rPr>
                <w:lang w:val="uk" w:eastAsia="uk"/>
              </w:rPr>
            </w:pPr>
            <w:bookmarkStart w:id="0" w:name="n201"/>
            <w:bookmarkStart w:id="1" w:name="n105"/>
            <w:bookmarkStart w:id="2" w:name="n106"/>
            <w:bookmarkEnd w:id="0"/>
            <w:bookmarkEnd w:id="1"/>
            <w:bookmarkEnd w:id="2"/>
            <w:r>
              <w:pict>
                <v:rect id="_x0000_i1032" style="width:0;height:.75pt" o:hrpct="0" o:hrstd="t" o:hr="t" fillcolor="gray" stroked="f">
                  <v:path strokeok="f"/>
                </v:rect>
              </w:pict>
            </w:r>
            <w:bookmarkStart w:id="3" w:name="n202"/>
            <w:bookmarkStart w:id="4" w:name="n107"/>
            <w:bookmarkEnd w:id="3"/>
            <w:bookmarkEnd w:id="4"/>
            <w:r>
              <w:pict>
                <v:rect id="_x0000_i1033" style="width:0;height:.75pt" o:hrpct="0" o:hrstd="t" o:hr="t" fillcolor="gray" stroked="f">
                  <v:path strokeok="f"/>
                </v:rect>
              </w:pict>
            </w:r>
            <w:bookmarkStart w:id="5" w:name="n203"/>
            <w:bookmarkStart w:id="6" w:name="n132"/>
            <w:bookmarkEnd w:id="5"/>
            <w:bookmarkEnd w:id="6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5765" w:rsidRPr="00F2690C" w:rsidRDefault="00A05765" w:rsidP="00282187">
            <w:pPr>
              <w:pStyle w:val="rvps12"/>
              <w:spacing w:before="150" w:after="150"/>
              <w:rPr>
                <w:lang w:val="uk" w:eastAsia="uk"/>
              </w:rPr>
            </w:pPr>
            <w:r w:rsidRPr="00F2690C">
              <w:rPr>
                <w:rStyle w:val="spanrvts9"/>
                <w:lang w:val="uk" w:eastAsia="uk"/>
              </w:rPr>
              <w:t xml:space="preserve">ЗАТВЕРДЖЕНО </w:t>
            </w:r>
            <w:r w:rsidRPr="00F2690C"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 w:rsidRPr="00F2690C">
              <w:rPr>
                <w:rStyle w:val="spanrvts9"/>
                <w:lang w:val="uk" w:eastAsia="uk"/>
              </w:rPr>
              <w:br/>
              <w:t>від 17 грудня 2025 р. № 1745</w:t>
            </w:r>
          </w:p>
        </w:tc>
      </w:tr>
    </w:tbl>
    <w:p w:rsidR="00A05765" w:rsidRPr="00F2690C" w:rsidRDefault="00A05765" w:rsidP="00A05765">
      <w:pPr>
        <w:pStyle w:val="rvps6"/>
        <w:spacing w:before="300" w:after="450"/>
        <w:ind w:left="450" w:right="450"/>
        <w:rPr>
          <w:lang w:val="uk" w:eastAsia="uk"/>
        </w:rPr>
      </w:pPr>
      <w:bookmarkStart w:id="7" w:name="n133"/>
      <w:bookmarkStart w:id="8" w:name="_GoBack"/>
      <w:bookmarkEnd w:id="7"/>
      <w:r w:rsidRPr="00F2690C">
        <w:rPr>
          <w:rStyle w:val="spanrvts23"/>
          <w:lang w:val="uk" w:eastAsia="uk"/>
        </w:rPr>
        <w:t>МЕТОДИКА розрахунку кваліфікованого доходу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9" w:name="n134"/>
      <w:bookmarkEnd w:id="9"/>
      <w:bookmarkEnd w:id="8"/>
      <w:r w:rsidRPr="00F2690C">
        <w:rPr>
          <w:lang w:val="uk" w:eastAsia="uk"/>
        </w:rPr>
        <w:t xml:space="preserve">1. Ця Методика визначає порядок обчислення частки кваліфікованого доходу в загальному доході юридичної особи, яка має намір отримати статус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або підтверджує перебування в такому статусі.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0" w:name="n135"/>
      <w:bookmarkEnd w:id="10"/>
      <w:r w:rsidRPr="00F2690C">
        <w:rPr>
          <w:lang w:val="uk" w:eastAsia="uk"/>
        </w:rPr>
        <w:t xml:space="preserve">Ця Методика застосовується Міноборони під час розгляду документів заявників та резидентів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1" w:name="n136"/>
      <w:bookmarkEnd w:id="11"/>
      <w:r w:rsidRPr="00F2690C">
        <w:rPr>
          <w:lang w:val="uk" w:eastAsia="uk"/>
        </w:rPr>
        <w:t xml:space="preserve">2. У цій Методиці терміни вживаються у значенні, наведеному в </w:t>
      </w:r>
      <w:hyperlink r:id="rId5" w:tgtFrame="_blank" w:history="1">
        <w:r w:rsidRPr="00F2690C">
          <w:rPr>
            <w:rStyle w:val="arvts96"/>
            <w:color w:val="auto"/>
            <w:lang w:val="uk" w:eastAsia="uk"/>
          </w:rPr>
          <w:t>Законі України</w:t>
        </w:r>
      </w:hyperlink>
      <w:r w:rsidRPr="00F2690C">
        <w:rPr>
          <w:lang w:val="uk" w:eastAsia="uk"/>
        </w:rPr>
        <w:t xml:space="preserve"> “Про національну безпеку України”.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2" w:name="n137"/>
      <w:bookmarkEnd w:id="12"/>
      <w:r w:rsidRPr="00F2690C">
        <w:rPr>
          <w:lang w:val="uk" w:eastAsia="uk"/>
        </w:rPr>
        <w:t>3. Кваліфікований дохід включає: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3" w:name="n138"/>
      <w:bookmarkEnd w:id="13"/>
      <w:r w:rsidRPr="00F2690C">
        <w:rPr>
          <w:lang w:val="uk" w:eastAsia="uk"/>
        </w:rPr>
        <w:t>дохід від реалізації (постачання) оборонних товарів власного виробництва;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4" w:name="n139"/>
      <w:bookmarkEnd w:id="14"/>
      <w:r w:rsidRPr="00F2690C">
        <w:rPr>
          <w:lang w:val="uk" w:eastAsia="uk"/>
        </w:rPr>
        <w:t>дохід від виконання робіт та/або надання послуг з розроблення, виготовлення, ремонту, модернізації або утилізації оборонних товарів;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5" w:name="n140"/>
      <w:bookmarkEnd w:id="15"/>
      <w:r w:rsidRPr="00F2690C">
        <w:rPr>
          <w:lang w:val="uk" w:eastAsia="uk"/>
        </w:rPr>
        <w:t>інші доходи, отримані у грошовій формі як благодійна допомога і використані для виробництва та постачання оборонних товарів;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6" w:name="n141"/>
      <w:bookmarkEnd w:id="16"/>
      <w:r w:rsidRPr="00F2690C">
        <w:rPr>
          <w:lang w:val="uk" w:eastAsia="uk"/>
        </w:rPr>
        <w:t xml:space="preserve">дохід (за даними бухгалтерського обліку) від реалізації матеріалів, компонентів та складових частин, що були поставлені (відвантажені) на користь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для безпосереднього виготовлення оборонних товарів власного виробництва за відповідним державним контрактом (договором) з оборонних </w:t>
      </w:r>
      <w:proofErr w:type="spellStart"/>
      <w:r w:rsidRPr="00F2690C">
        <w:rPr>
          <w:lang w:val="uk" w:eastAsia="uk"/>
        </w:rPr>
        <w:t>закупівель</w:t>
      </w:r>
      <w:proofErr w:type="spellEnd"/>
      <w:r w:rsidRPr="00F2690C">
        <w:rPr>
          <w:lang w:val="uk" w:eastAsia="uk"/>
        </w:rPr>
        <w:t xml:space="preserve"> (для юридичної особи, яка була залучена до виконання державного контракту (договору) з оборонних </w:t>
      </w:r>
      <w:proofErr w:type="spellStart"/>
      <w:r w:rsidRPr="00F2690C">
        <w:rPr>
          <w:lang w:val="uk" w:eastAsia="uk"/>
        </w:rPr>
        <w:t>закупівель</w:t>
      </w:r>
      <w:proofErr w:type="spellEnd"/>
      <w:r w:rsidRPr="00F2690C">
        <w:rPr>
          <w:lang w:val="uk" w:eastAsia="uk"/>
        </w:rPr>
        <w:t xml:space="preserve"> на умовах співвиконавця/субпідрядника).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7" w:name="n142"/>
      <w:bookmarkEnd w:id="17"/>
      <w:r w:rsidRPr="00F2690C">
        <w:rPr>
          <w:lang w:val="uk" w:eastAsia="uk"/>
        </w:rPr>
        <w:t>Загальним доходом юридичної особи є доходи юридичної особи, визначені за правилами бухгалтерського обліку.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18" w:name="n143"/>
      <w:bookmarkEnd w:id="18"/>
      <w:r w:rsidRPr="00F2690C">
        <w:rPr>
          <w:lang w:val="uk" w:eastAsia="uk"/>
        </w:rPr>
        <w:t>Частка кваліфікованого доходу юридичної особи визначається за такою формулою:</w:t>
      </w:r>
    </w:p>
    <w:p w:rsidR="00A05765" w:rsidRPr="00F2690C" w:rsidRDefault="00A05765" w:rsidP="00A05765">
      <w:pPr>
        <w:pStyle w:val="rvps3"/>
        <w:spacing w:after="150"/>
        <w:ind w:left="450" w:right="450"/>
        <w:rPr>
          <w:lang w:val="uk" w:eastAsia="uk"/>
        </w:rPr>
      </w:pPr>
      <w:bookmarkStart w:id="19" w:name="n144"/>
      <w:bookmarkEnd w:id="19"/>
      <w:proofErr w:type="spellStart"/>
      <w:r w:rsidRPr="00F2690C">
        <w:rPr>
          <w:lang w:val="uk" w:eastAsia="uk"/>
        </w:rPr>
        <w:t>Чкв</w:t>
      </w:r>
      <w:proofErr w:type="spellEnd"/>
      <w:r w:rsidRPr="00F2690C">
        <w:rPr>
          <w:lang w:val="uk" w:eastAsia="uk"/>
        </w:rPr>
        <w:t xml:space="preserve"> = </w:t>
      </w:r>
      <w:proofErr w:type="spellStart"/>
      <w:r w:rsidRPr="00F2690C">
        <w:rPr>
          <w:lang w:val="uk" w:eastAsia="uk"/>
        </w:rPr>
        <w:t>Дкв</w:t>
      </w:r>
      <w:proofErr w:type="spellEnd"/>
      <w:r w:rsidRPr="00F2690C">
        <w:rPr>
          <w:lang w:val="uk" w:eastAsia="uk"/>
        </w:rPr>
        <w:t>/</w:t>
      </w:r>
      <w:proofErr w:type="spellStart"/>
      <w:r w:rsidRPr="00F2690C">
        <w:rPr>
          <w:lang w:val="uk" w:eastAsia="uk"/>
        </w:rPr>
        <w:t>Дзаг</w:t>
      </w:r>
      <w:proofErr w:type="spellEnd"/>
      <w:r w:rsidRPr="00F2690C">
        <w:rPr>
          <w:lang w:val="uk" w:eastAsia="uk"/>
        </w:rPr>
        <w:t xml:space="preserve"> </w:t>
      </w:r>
      <w:r w:rsidRPr="00F2690C">
        <w:rPr>
          <w:rStyle w:val="spanrvts80"/>
          <w:lang w:val="uk" w:eastAsia="uk"/>
        </w:rPr>
        <w:t>×</w:t>
      </w:r>
      <w:r w:rsidRPr="00F2690C">
        <w:rPr>
          <w:lang w:val="uk" w:eastAsia="uk"/>
        </w:rPr>
        <w:t xml:space="preserve"> 100 %,</w:t>
      </w:r>
    </w:p>
    <w:p w:rsidR="00A05765" w:rsidRPr="00F2690C" w:rsidRDefault="00A05765" w:rsidP="00A05765">
      <w:pPr>
        <w:pStyle w:val="rvps14"/>
        <w:spacing w:before="150" w:after="150"/>
        <w:rPr>
          <w:lang w:val="uk" w:eastAsia="uk"/>
        </w:rPr>
      </w:pPr>
      <w:bookmarkStart w:id="20" w:name="n145"/>
      <w:bookmarkEnd w:id="20"/>
      <w:r w:rsidRPr="00F2690C">
        <w:rPr>
          <w:lang w:val="uk" w:eastAsia="uk"/>
        </w:rPr>
        <w:t xml:space="preserve">де </w:t>
      </w:r>
      <w:proofErr w:type="spellStart"/>
      <w:r w:rsidRPr="00F2690C">
        <w:rPr>
          <w:lang w:val="uk" w:eastAsia="uk"/>
        </w:rPr>
        <w:t>Чкв</w:t>
      </w:r>
      <w:proofErr w:type="spellEnd"/>
      <w:r w:rsidRPr="00F2690C">
        <w:rPr>
          <w:lang w:val="uk" w:eastAsia="uk"/>
        </w:rPr>
        <w:t xml:space="preserve"> - частка кваліфікованого доходу;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21" w:name="n146"/>
      <w:bookmarkEnd w:id="21"/>
      <w:proofErr w:type="spellStart"/>
      <w:r w:rsidRPr="00F2690C">
        <w:rPr>
          <w:lang w:val="uk" w:eastAsia="uk"/>
        </w:rPr>
        <w:t>Дкв</w:t>
      </w:r>
      <w:proofErr w:type="spellEnd"/>
      <w:r w:rsidRPr="00F2690C">
        <w:rPr>
          <w:lang w:val="uk" w:eastAsia="uk"/>
        </w:rPr>
        <w:t xml:space="preserve"> - кваліфікований дохід;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22" w:name="n147"/>
      <w:bookmarkEnd w:id="22"/>
      <w:proofErr w:type="spellStart"/>
      <w:r w:rsidRPr="00F2690C">
        <w:rPr>
          <w:lang w:val="uk" w:eastAsia="uk"/>
        </w:rPr>
        <w:t>Дзаг</w:t>
      </w:r>
      <w:proofErr w:type="spellEnd"/>
      <w:r w:rsidRPr="00F2690C">
        <w:rPr>
          <w:lang w:val="uk" w:eastAsia="uk"/>
        </w:rPr>
        <w:t xml:space="preserve"> - загальний дохід.</w:t>
      </w:r>
    </w:p>
    <w:p w:rsidR="00A05765" w:rsidRPr="00F2690C" w:rsidRDefault="00A05765" w:rsidP="00A05765">
      <w:pPr>
        <w:pStyle w:val="rvps2"/>
        <w:spacing w:after="150"/>
        <w:rPr>
          <w:lang w:val="uk" w:eastAsia="uk"/>
        </w:rPr>
      </w:pPr>
      <w:bookmarkStart w:id="23" w:name="n148"/>
      <w:bookmarkEnd w:id="23"/>
      <w:r w:rsidRPr="00F2690C">
        <w:rPr>
          <w:lang w:val="uk" w:eastAsia="uk"/>
        </w:rPr>
        <w:t xml:space="preserve">4. Для підтвердження кваліфікованого доходу юридична особа повинна подати звіт про відповідність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за попередній рік за формою, визначеною </w:t>
      </w:r>
      <w:hyperlink w:anchor="n176" w:history="1">
        <w:r w:rsidRPr="00F2690C">
          <w:rPr>
            <w:rStyle w:val="arvts99"/>
            <w:color w:val="auto"/>
            <w:lang w:val="uk" w:eastAsia="uk"/>
          </w:rPr>
          <w:t xml:space="preserve">Порядком подання та розгляду звіту про відповідність резидента </w:t>
        </w:r>
        <w:proofErr w:type="spellStart"/>
        <w:r w:rsidRPr="00F2690C">
          <w:rPr>
            <w:rStyle w:val="arvts99"/>
            <w:color w:val="auto"/>
            <w:lang w:val="uk" w:eastAsia="uk"/>
          </w:rPr>
          <w:t>Дефенс</w:t>
        </w:r>
        <w:proofErr w:type="spellEnd"/>
        <w:r w:rsidRPr="00F2690C">
          <w:rPr>
            <w:rStyle w:val="arvts99"/>
            <w:color w:val="auto"/>
            <w:lang w:val="uk" w:eastAsia="uk"/>
          </w:rPr>
          <w:t xml:space="preserve"> Сіті</w:t>
        </w:r>
      </w:hyperlink>
      <w:r w:rsidRPr="00F2690C">
        <w:rPr>
          <w:lang w:val="uk" w:eastAsia="uk"/>
        </w:rPr>
        <w:t>, затвердженим постановою Кабінету Міністрів України від 17 грудня 2025 р. № 1745.</w:t>
      </w:r>
    </w:p>
    <w:p w:rsidR="00BD1888" w:rsidRPr="00A05765" w:rsidRDefault="00A05765" w:rsidP="00A05765">
      <w:r>
        <w:pict>
          <v:rect id="_x0000_i1034" style="width:0;height:.75pt" o:hrpct="0" o:hrstd="t" o:hr="t" fillcolor="gray" stroked="f">
            <v:path strokeok="f"/>
          </v:rect>
        </w:pict>
      </w:r>
    </w:p>
    <w:sectPr w:rsidR="00BD1888" w:rsidRPr="00A05765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79E6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9C6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44C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E691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04A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9A9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F2A9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186E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94F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DDAC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42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6A3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C27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2E22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E2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70B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CE21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7E8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88"/>
    <w:rsid w:val="00021D9E"/>
    <w:rsid w:val="002E530A"/>
    <w:rsid w:val="004944D6"/>
    <w:rsid w:val="005B0E3C"/>
    <w:rsid w:val="00843284"/>
    <w:rsid w:val="008C6BFF"/>
    <w:rsid w:val="00A05765"/>
    <w:rsid w:val="00BD1888"/>
    <w:rsid w:val="00F2690C"/>
    <w:rsid w:val="00F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34270-C6B0-4E48-9ED2-375129A2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3">
    <w:name w:val="rvps3"/>
    <w:basedOn w:val="a"/>
    <w:pPr>
      <w:jc w:val="center"/>
    </w:pPr>
  </w:style>
  <w:style w:type="character" w:customStyle="1" w:styleId="spanrvts80">
    <w:name w:val="span_rvts80"/>
    <w:basedOn w:val="a0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6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Деякі питання правового режиму Дефенс Сіті | від 17.12.2025 № 1745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Деякі питання правового режиму Дефенс Сіті | від 17.12.2025 № 1745</dc:title>
  <dc:creator>КОВАЛЬ ЮЛІЯ ОЛЕКСАНДРІВНА</dc:creator>
  <cp:lastModifiedBy>КОВАЛЬ ЮЛІЯ ОЛЕКСАНДРІВНА</cp:lastModifiedBy>
  <cp:revision>2</cp:revision>
  <dcterms:created xsi:type="dcterms:W3CDTF">2026-01-23T12:07:00Z</dcterms:created>
  <dcterms:modified xsi:type="dcterms:W3CDTF">2026-01-23T12:07:00Z</dcterms:modified>
</cp:coreProperties>
</file>