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888" w:rsidRPr="00F2690C" w:rsidRDefault="00F802C9">
      <w:pPr>
        <w:pStyle w:val="break"/>
        <w:spacing w:after="150"/>
        <w:jc w:val="both"/>
        <w:rPr>
          <w:lang w:val="uk" w:eastAsia="uk"/>
        </w:rPr>
      </w:pPr>
      <w:r>
        <w:pict>
          <v:rect id="_x0000_i1025" style="width:0;height:.75pt" o:hrpct="0" o:hrstd="t" o:hr="t" fillcolor="gray" stroked="f">
            <v:path strokeok="f"/>
          </v:rect>
        </w:pict>
      </w:r>
      <w:bookmarkStart w:id="0" w:name="n199"/>
      <w:bookmarkEnd w:id="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989"/>
        <w:gridCol w:w="5984"/>
      </w:tblGrid>
      <w:tr w:rsidR="00F2690C" w:rsidRPr="00F2690C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D1888" w:rsidRPr="00F2690C" w:rsidRDefault="00BD1888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14"/>
            <w:bookmarkEnd w:id="1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1888" w:rsidRPr="00F2690C" w:rsidRDefault="004944D6">
            <w:pPr>
              <w:pStyle w:val="rvps12"/>
              <w:spacing w:before="150" w:after="150"/>
              <w:rPr>
                <w:lang w:val="uk" w:eastAsia="uk"/>
              </w:rPr>
            </w:pPr>
            <w:r w:rsidRPr="00F2690C">
              <w:rPr>
                <w:rStyle w:val="spanrvts9"/>
                <w:lang w:val="uk" w:eastAsia="uk"/>
              </w:rPr>
              <w:t xml:space="preserve">ЗАТВЕРДЖЕНО </w:t>
            </w:r>
            <w:r w:rsidRPr="00F2690C">
              <w:rPr>
                <w:rStyle w:val="spanrvts9"/>
                <w:lang w:val="uk" w:eastAsia="uk"/>
              </w:rPr>
              <w:br/>
              <w:t xml:space="preserve">постановою Кабінету Міністрів України </w:t>
            </w:r>
            <w:r w:rsidRPr="00F2690C">
              <w:rPr>
                <w:rStyle w:val="spanrvts9"/>
                <w:lang w:val="uk" w:eastAsia="uk"/>
              </w:rPr>
              <w:br/>
              <w:t>від 17 грудня 2025 р. № 1745</w:t>
            </w:r>
          </w:p>
        </w:tc>
      </w:tr>
    </w:tbl>
    <w:p w:rsidR="00BD1888" w:rsidRPr="00F2690C" w:rsidRDefault="004944D6"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15"/>
      <w:bookmarkStart w:id="3" w:name="_GoBack"/>
      <w:bookmarkEnd w:id="2"/>
      <w:r w:rsidRPr="00F2690C">
        <w:rPr>
          <w:rStyle w:val="spanrvts23"/>
          <w:lang w:val="uk" w:eastAsia="uk"/>
        </w:rPr>
        <w:t xml:space="preserve">ПОРЯДОК ведення реєстру </w:t>
      </w:r>
      <w:proofErr w:type="spellStart"/>
      <w:r w:rsidRPr="00F2690C">
        <w:rPr>
          <w:rStyle w:val="spanrvts23"/>
          <w:lang w:val="uk" w:eastAsia="uk"/>
        </w:rPr>
        <w:t>Дефенс</w:t>
      </w:r>
      <w:proofErr w:type="spellEnd"/>
      <w:r w:rsidRPr="00F2690C">
        <w:rPr>
          <w:rStyle w:val="spanrvts23"/>
          <w:lang w:val="uk" w:eastAsia="uk"/>
        </w:rPr>
        <w:t xml:space="preserve"> Сіті</w:t>
      </w:r>
      <w:bookmarkEnd w:id="3"/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4" w:name="n16"/>
      <w:bookmarkEnd w:id="4"/>
      <w:r w:rsidRPr="00F2690C">
        <w:rPr>
          <w:lang w:val="uk" w:eastAsia="uk"/>
        </w:rPr>
        <w:t xml:space="preserve">1. Цей Порядок визначає правові та організаційні засади функціонування реєстру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(далі - реєстр), процедури внесення, обробки, зберігання та надання інформації про юридичних осіб, які перебувають або перебували у статусі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5" w:name="n17"/>
      <w:bookmarkEnd w:id="5"/>
      <w:r w:rsidRPr="00F2690C">
        <w:rPr>
          <w:lang w:val="uk" w:eastAsia="uk"/>
        </w:rPr>
        <w:t xml:space="preserve">2. У цьому Порядку терміни вживаються у значенні, наведеному в Законах України </w:t>
      </w:r>
      <w:hyperlink r:id="rId5" w:tgtFrame="_blank" w:history="1">
        <w:r w:rsidRPr="00F2690C">
          <w:rPr>
            <w:rStyle w:val="arvts96"/>
            <w:color w:val="auto"/>
            <w:lang w:val="uk" w:eastAsia="uk"/>
          </w:rPr>
          <w:t>“Про національну безпеку України”</w:t>
        </w:r>
      </w:hyperlink>
      <w:r w:rsidRPr="00F2690C">
        <w:rPr>
          <w:lang w:val="uk" w:eastAsia="uk"/>
        </w:rPr>
        <w:t xml:space="preserve">, </w:t>
      </w:r>
      <w:hyperlink r:id="rId6" w:tgtFrame="_blank" w:history="1">
        <w:r w:rsidRPr="00F2690C">
          <w:rPr>
            <w:rStyle w:val="arvts96"/>
            <w:color w:val="auto"/>
            <w:lang w:val="uk" w:eastAsia="uk"/>
          </w:rPr>
          <w:t>“Про публічні електронні реєстри”</w:t>
        </w:r>
      </w:hyperlink>
      <w:r w:rsidRPr="00F2690C">
        <w:rPr>
          <w:lang w:val="uk" w:eastAsia="uk"/>
        </w:rPr>
        <w:t xml:space="preserve">, </w:t>
      </w:r>
      <w:hyperlink r:id="rId7" w:tgtFrame="_blank" w:history="1">
        <w:r w:rsidRPr="00F2690C">
          <w:rPr>
            <w:rStyle w:val="arvts96"/>
            <w:color w:val="auto"/>
            <w:lang w:val="uk" w:eastAsia="uk"/>
          </w:rPr>
          <w:t>“Про електронну ідентифікацію та електронні довірчі послуги”</w:t>
        </w:r>
      </w:hyperlink>
      <w:r w:rsidRPr="00F2690C">
        <w:rPr>
          <w:lang w:val="uk" w:eastAsia="uk"/>
        </w:rPr>
        <w:t xml:space="preserve">, </w:t>
      </w:r>
      <w:hyperlink r:id="rId8" w:tgtFrame="_blank" w:history="1">
        <w:r w:rsidRPr="00F2690C">
          <w:rPr>
            <w:rStyle w:val="arvts96"/>
            <w:color w:val="auto"/>
            <w:lang w:val="uk" w:eastAsia="uk"/>
          </w:rPr>
          <w:t>“Про захист інформації в інформаційно-комунікаційних системах”</w:t>
        </w:r>
      </w:hyperlink>
      <w:r w:rsidRPr="00F2690C">
        <w:rPr>
          <w:lang w:val="uk" w:eastAsia="uk"/>
        </w:rPr>
        <w:t>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6" w:name="n18"/>
      <w:bookmarkEnd w:id="6"/>
      <w:r w:rsidRPr="00F2690C">
        <w:rPr>
          <w:lang w:val="uk" w:eastAsia="uk"/>
        </w:rPr>
        <w:t xml:space="preserve">3. Реєстр є системою накопичення, обробки, ведення обліку, захисту та надання інформації про юридичних осіб, які перебувають або перебували у статусі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7" w:name="n19"/>
      <w:bookmarkEnd w:id="7"/>
      <w:r w:rsidRPr="00F2690C">
        <w:rPr>
          <w:lang w:val="uk" w:eastAsia="uk"/>
        </w:rPr>
        <w:t>4. Внесена до реєстру інформація є службовою інформацією. Інформація з обмеженим доступом вноситься до реєстру з дотриманням вимог законодавства у сфері захисту інформації з обмеженим доступом.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8" w:name="n20"/>
      <w:bookmarkEnd w:id="8"/>
      <w:r w:rsidRPr="00F2690C">
        <w:rPr>
          <w:lang w:val="uk" w:eastAsia="uk"/>
        </w:rPr>
        <w:t xml:space="preserve">5. Фінансування створення, впровадження, ведення та адміністрування реєстру здійснюється за рахунок і в межах коштів державного бюджету, передбачених для Міноборони, а також інших джерел, не заборонених законодавством. 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9" w:name="n21"/>
      <w:bookmarkEnd w:id="9"/>
      <w:r w:rsidRPr="00F2690C">
        <w:rPr>
          <w:lang w:val="uk" w:eastAsia="uk"/>
        </w:rPr>
        <w:t>6. Суб’єктами реєстру є держатель реєстру, адміністратор реєстру, технічний адміністратор реєстру, створювачі, публічні реєстратори та користувачі реєстрової інформації.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10" w:name="n22"/>
      <w:bookmarkEnd w:id="10"/>
      <w:r w:rsidRPr="00F2690C">
        <w:rPr>
          <w:lang w:val="uk" w:eastAsia="uk"/>
        </w:rPr>
        <w:t>7. Держателем і адміністратором реєстру є Міноборони.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11" w:name="n23"/>
      <w:bookmarkEnd w:id="11"/>
      <w:r w:rsidRPr="00F2690C">
        <w:rPr>
          <w:lang w:val="uk" w:eastAsia="uk"/>
        </w:rPr>
        <w:t xml:space="preserve">8. Створювачами та публічними реєстраторами є уповноважені відповідальні посадові особи, визначені Міноборони, які здійснюють у межах повноважень такі реєстраційні дії з накладенням кваліфікованого електронного підпису, як внесення, зміна і актуалізація даних у реєстрі, а також оформлення витягів з нього, що підтверджують статус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12" w:name="n24"/>
      <w:bookmarkEnd w:id="12"/>
      <w:r w:rsidRPr="00F2690C">
        <w:rPr>
          <w:lang w:val="uk" w:eastAsia="uk"/>
        </w:rPr>
        <w:t xml:space="preserve">9. Держатель реєстру визначає технічного адміністратора реєстру, а також відповідальних посадових осіб, які виконують дії, пов’язані з розглядом заяв про надання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та прийняттям рішень про надання, припинення або втрату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13" w:name="n25"/>
      <w:bookmarkEnd w:id="13"/>
      <w:r w:rsidRPr="00F2690C">
        <w:rPr>
          <w:lang w:val="uk" w:eastAsia="uk"/>
        </w:rPr>
        <w:t xml:space="preserve">10. Користувачами реєстрової інформації реєстру є юридичні особи, які перебувають або перебували у статусі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Сіті, а також органи державної влади.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14" w:name="n26"/>
      <w:bookmarkEnd w:id="14"/>
      <w:r w:rsidRPr="00F2690C">
        <w:rPr>
          <w:lang w:val="uk" w:eastAsia="uk"/>
        </w:rPr>
        <w:t xml:space="preserve">11. Реєстр містить інформацію (відомості) про юридичних осіб, які перебувають або перебували у статусі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15" w:name="n27"/>
      <w:bookmarkEnd w:id="15"/>
      <w:r w:rsidRPr="00F2690C">
        <w:rPr>
          <w:lang w:val="uk" w:eastAsia="uk"/>
        </w:rPr>
        <w:t>Для кожного резидента у реєстрі формується реєстровий запис, що містить реєстрові дані, визначені цим Порядком.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16" w:name="n28"/>
      <w:bookmarkEnd w:id="16"/>
      <w:r w:rsidRPr="00F2690C">
        <w:rPr>
          <w:lang w:val="uk" w:eastAsia="uk"/>
        </w:rPr>
        <w:t>12. До складу реєстрових даних про об’єкти реєстру включаються такі відомості: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17" w:name="n29"/>
      <w:bookmarkEnd w:id="17"/>
      <w:r w:rsidRPr="00F2690C">
        <w:rPr>
          <w:lang w:val="uk" w:eastAsia="uk"/>
        </w:rPr>
        <w:t>1) повне та скорочене (за наявності) найменування юридичної особи;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18" w:name="n30"/>
      <w:bookmarkEnd w:id="18"/>
      <w:r w:rsidRPr="00F2690C">
        <w:rPr>
          <w:lang w:val="uk" w:eastAsia="uk"/>
        </w:rPr>
        <w:lastRenderedPageBreak/>
        <w:t>2) ідентифікаційний код згідно з ЄДРПОУ;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19" w:name="n31"/>
      <w:bookmarkEnd w:id="19"/>
      <w:r w:rsidRPr="00F2690C">
        <w:rPr>
          <w:lang w:val="uk" w:eastAsia="uk"/>
        </w:rPr>
        <w:t>3) місцезнаходження юридичної особи (адреса, за якою забезпечується зв’язок, зокрема надходження документів від органів державної влади та органів місцевого самоврядування);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20" w:name="n32"/>
      <w:bookmarkEnd w:id="20"/>
      <w:r w:rsidRPr="00F2690C">
        <w:rPr>
          <w:lang w:val="uk" w:eastAsia="uk"/>
        </w:rPr>
        <w:t>4) контактні дані юридичної особи - адреса електронної пошти та контактний номер телефону;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21" w:name="n33"/>
      <w:bookmarkEnd w:id="21"/>
      <w:r w:rsidRPr="00F2690C">
        <w:rPr>
          <w:lang w:val="uk" w:eastAsia="uk"/>
        </w:rPr>
        <w:t xml:space="preserve">5) дата і номер рішення Міноборони про надання, припинення або втрату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Сіті;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22" w:name="n34"/>
      <w:bookmarkEnd w:id="22"/>
      <w:r w:rsidRPr="00F2690C">
        <w:rPr>
          <w:lang w:val="uk" w:eastAsia="uk"/>
        </w:rPr>
        <w:t xml:space="preserve">6) дата внесення запису про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до реєстру;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23" w:name="n35"/>
      <w:bookmarkEnd w:id="23"/>
      <w:r w:rsidRPr="00F2690C">
        <w:rPr>
          <w:lang w:val="uk" w:eastAsia="uk"/>
        </w:rPr>
        <w:t xml:space="preserve">7) статус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Сіті;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24" w:name="n36"/>
      <w:bookmarkEnd w:id="24"/>
      <w:r w:rsidRPr="00F2690C">
        <w:rPr>
          <w:lang w:val="uk" w:eastAsia="uk"/>
        </w:rPr>
        <w:t xml:space="preserve">8) дата та підстава для зміни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Сіті;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25" w:name="n37"/>
      <w:bookmarkEnd w:id="25"/>
      <w:r w:rsidRPr="00F2690C">
        <w:rPr>
          <w:lang w:val="uk" w:eastAsia="uk"/>
        </w:rPr>
        <w:t xml:space="preserve">9) короткий виклад підстави для припинення або втрати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26" w:name="n38"/>
      <w:bookmarkEnd w:id="26"/>
      <w:r w:rsidRPr="00F2690C">
        <w:rPr>
          <w:lang w:val="uk" w:eastAsia="uk"/>
        </w:rPr>
        <w:t xml:space="preserve">13. У реєстрі зберігаються реєстрові дані про діючих резидентів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Сіті, а також відомості про рішення Міноборони, передбачені </w:t>
      </w:r>
      <w:hyperlink r:id="rId9" w:anchor="n488" w:tgtFrame="_blank" w:history="1">
        <w:r w:rsidRPr="00F2690C">
          <w:rPr>
            <w:rStyle w:val="arvts96"/>
            <w:color w:val="auto"/>
            <w:lang w:val="uk" w:eastAsia="uk"/>
          </w:rPr>
          <w:t>статтями 38</w:t>
        </w:r>
      </w:hyperlink>
      <w:r w:rsidRPr="00F2690C">
        <w:rPr>
          <w:lang w:val="uk" w:eastAsia="uk"/>
        </w:rPr>
        <w:t xml:space="preserve"> і </w:t>
      </w:r>
      <w:hyperlink r:id="rId10" w:anchor="n517" w:tgtFrame="_blank" w:history="1">
        <w:r w:rsidRPr="00F2690C">
          <w:rPr>
            <w:rStyle w:val="arvts96"/>
            <w:color w:val="auto"/>
            <w:lang w:val="uk" w:eastAsia="uk"/>
          </w:rPr>
          <w:t>39</w:t>
        </w:r>
      </w:hyperlink>
      <w:r w:rsidRPr="00F2690C">
        <w:rPr>
          <w:lang w:val="uk" w:eastAsia="uk"/>
        </w:rPr>
        <w:t xml:space="preserve"> Закону України “Про національну безпеку України”.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27" w:name="n39"/>
      <w:bookmarkEnd w:id="27"/>
      <w:r w:rsidRPr="00F2690C">
        <w:rPr>
          <w:lang w:val="uk" w:eastAsia="uk"/>
        </w:rPr>
        <w:t xml:space="preserve">14. Підставою для внесення та зміни реєстрових даних у реєстрі є рішення Міноборони про надання, припинення або втрату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Сіті, а також зміна реєстрових даних, передбачених </w:t>
      </w:r>
      <w:hyperlink w:anchor="n29" w:history="1">
        <w:r w:rsidRPr="00F2690C">
          <w:rPr>
            <w:rStyle w:val="arvts99"/>
            <w:color w:val="auto"/>
            <w:lang w:val="uk" w:eastAsia="uk"/>
          </w:rPr>
          <w:t>підпунктами 1-4</w:t>
        </w:r>
      </w:hyperlink>
      <w:r w:rsidRPr="00F2690C">
        <w:rPr>
          <w:lang w:val="uk" w:eastAsia="uk"/>
        </w:rPr>
        <w:t xml:space="preserve"> пункту 12 цього Порядку.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28" w:name="n40"/>
      <w:bookmarkEnd w:id="28"/>
      <w:r w:rsidRPr="00F2690C">
        <w:rPr>
          <w:lang w:val="uk" w:eastAsia="uk"/>
        </w:rPr>
        <w:t xml:space="preserve">15. Створення реєстрового запису про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здійснюється створювачами невідкладно, але не пізніше двох робочих днів з дня прийняття Міноборони рішення про надання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29" w:name="n41"/>
      <w:bookmarkEnd w:id="29"/>
      <w:r w:rsidRPr="00F2690C">
        <w:rPr>
          <w:lang w:val="uk" w:eastAsia="uk"/>
        </w:rPr>
        <w:t xml:space="preserve">16. Зміна реєстрових даних (усунення недоліків, оновлення інформації тощо) у реєстрі здійснюється створювачем за зверненням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або шляхом електронної інформаційної взаємодії з державними електронними інформаційними ресурсами.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30" w:name="n42"/>
      <w:bookmarkEnd w:id="30"/>
      <w:r w:rsidRPr="00F2690C">
        <w:rPr>
          <w:lang w:val="uk" w:eastAsia="uk"/>
        </w:rPr>
        <w:t xml:space="preserve">У разі зміни реєстрових даних, передбачених </w:t>
      </w:r>
      <w:hyperlink w:anchor="n29" w:history="1">
        <w:r w:rsidRPr="00F2690C">
          <w:rPr>
            <w:rStyle w:val="arvts99"/>
            <w:color w:val="auto"/>
            <w:lang w:val="uk" w:eastAsia="uk"/>
          </w:rPr>
          <w:t>підпунктами 1-4</w:t>
        </w:r>
      </w:hyperlink>
      <w:r w:rsidRPr="00F2690C">
        <w:rPr>
          <w:lang w:val="uk" w:eastAsia="uk"/>
        </w:rPr>
        <w:t xml:space="preserve"> пункту 12 цього Порядку, резидент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повідомляє Міноборони про такі зміни протягом п’яти робочих днів з дня їх настання.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31" w:name="n43"/>
      <w:bookmarkEnd w:id="31"/>
      <w:r w:rsidRPr="00F2690C">
        <w:rPr>
          <w:lang w:val="uk" w:eastAsia="uk"/>
        </w:rPr>
        <w:t xml:space="preserve">Розгляд повідомлення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та внесення відповідних змін (за потреби) здійснюються протягом п’яти робочих днів з дня надходження повідомлення.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32" w:name="n44"/>
      <w:bookmarkEnd w:id="32"/>
      <w:r w:rsidRPr="00F2690C">
        <w:rPr>
          <w:lang w:val="uk" w:eastAsia="uk"/>
        </w:rPr>
        <w:t>Подання документів, обмін інформацією та отримання витягів можуть здійснюватися через технічні засоби електронних комунікації, визначені Міноборони.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33" w:name="n45"/>
      <w:bookmarkEnd w:id="33"/>
      <w:r w:rsidRPr="00F2690C">
        <w:rPr>
          <w:lang w:val="uk" w:eastAsia="uk"/>
        </w:rPr>
        <w:t xml:space="preserve">17. Резидент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має право звернутися за одержанням інформації про його включення до реєстру та відомостей про нього, внесених до реєстру, шляхом надіслання письмового запиту до Міноборони.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34" w:name="n46"/>
      <w:bookmarkEnd w:id="34"/>
      <w:r w:rsidRPr="00F2690C">
        <w:rPr>
          <w:lang w:val="uk" w:eastAsia="uk"/>
        </w:rPr>
        <w:t xml:space="preserve">Витяг із реєстру, що підтверджує статус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Сіті, формується на підставі внесеного до реєстру запису та надсилається заявнику в письмовій або електронній формі разом з рішенням про надання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35" w:name="n47"/>
      <w:bookmarkEnd w:id="35"/>
      <w:r w:rsidRPr="00F2690C">
        <w:rPr>
          <w:lang w:val="uk" w:eastAsia="uk"/>
        </w:rPr>
        <w:t xml:space="preserve">18. У разі припинення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до реєстру вноситься короткий виклад підстави для припинення, передбаченої </w:t>
      </w:r>
      <w:hyperlink r:id="rId11" w:anchor="n518" w:tgtFrame="_blank" w:history="1">
        <w:r w:rsidRPr="00F2690C">
          <w:rPr>
            <w:rStyle w:val="arvts96"/>
            <w:color w:val="auto"/>
            <w:lang w:val="uk" w:eastAsia="uk"/>
          </w:rPr>
          <w:t>частиною першою</w:t>
        </w:r>
      </w:hyperlink>
      <w:r w:rsidRPr="00F2690C">
        <w:rPr>
          <w:lang w:val="uk" w:eastAsia="uk"/>
        </w:rPr>
        <w:t xml:space="preserve"> статті 39 Закону України “Про національну безпеку України”.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36" w:name="n48"/>
      <w:bookmarkEnd w:id="36"/>
      <w:r w:rsidRPr="00F2690C">
        <w:rPr>
          <w:lang w:val="uk" w:eastAsia="uk"/>
        </w:rPr>
        <w:lastRenderedPageBreak/>
        <w:t xml:space="preserve">У разі втрати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до реєстру вноситься короткий виклад підстави для втрати, передбаченої </w:t>
      </w:r>
      <w:hyperlink r:id="rId12" w:anchor="n524" w:tgtFrame="_blank" w:history="1">
        <w:r w:rsidRPr="00F2690C">
          <w:rPr>
            <w:rStyle w:val="arvts96"/>
            <w:color w:val="auto"/>
            <w:lang w:val="uk" w:eastAsia="uk"/>
          </w:rPr>
          <w:t>частиною четвертою</w:t>
        </w:r>
      </w:hyperlink>
      <w:r w:rsidRPr="00F2690C">
        <w:rPr>
          <w:lang w:val="uk" w:eastAsia="uk"/>
        </w:rPr>
        <w:t xml:space="preserve"> статті 39 Закону України “Про національну безпеку України”.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37" w:name="n49"/>
      <w:bookmarkEnd w:id="37"/>
      <w:r w:rsidRPr="00F2690C">
        <w:rPr>
          <w:lang w:val="uk" w:eastAsia="uk"/>
        </w:rPr>
        <w:t xml:space="preserve">19. Заходи із створення, впровадження та супроводження реєстру, збереження та захисту даних реєстру здійснюються адміністратором реєстру відповідно до Законів України </w:t>
      </w:r>
      <w:hyperlink r:id="rId13" w:tgtFrame="_blank" w:history="1">
        <w:r w:rsidRPr="00F2690C">
          <w:rPr>
            <w:rStyle w:val="arvts96"/>
            <w:color w:val="auto"/>
            <w:lang w:val="uk" w:eastAsia="uk"/>
          </w:rPr>
          <w:t>“Про захист персональних даних”</w:t>
        </w:r>
      </w:hyperlink>
      <w:r w:rsidRPr="00F2690C">
        <w:rPr>
          <w:lang w:val="uk" w:eastAsia="uk"/>
        </w:rPr>
        <w:t xml:space="preserve">, </w:t>
      </w:r>
      <w:hyperlink r:id="rId14" w:tgtFrame="_blank" w:history="1">
        <w:r w:rsidRPr="00F2690C">
          <w:rPr>
            <w:rStyle w:val="arvts96"/>
            <w:color w:val="auto"/>
            <w:lang w:val="uk" w:eastAsia="uk"/>
          </w:rPr>
          <w:t>“Про захист інформації в інформаційно-комунікаційних системах”</w:t>
        </w:r>
      </w:hyperlink>
      <w:r w:rsidRPr="00F2690C">
        <w:rPr>
          <w:lang w:val="uk" w:eastAsia="uk"/>
        </w:rPr>
        <w:t xml:space="preserve">, </w:t>
      </w:r>
      <w:hyperlink r:id="rId15" w:tgtFrame="_blank" w:history="1">
        <w:r w:rsidRPr="00F2690C">
          <w:rPr>
            <w:rStyle w:val="arvts96"/>
            <w:color w:val="auto"/>
            <w:lang w:val="uk" w:eastAsia="uk"/>
          </w:rPr>
          <w:t xml:space="preserve">“Про основні засади забезпечення </w:t>
        </w:r>
        <w:proofErr w:type="spellStart"/>
        <w:r w:rsidRPr="00F2690C">
          <w:rPr>
            <w:rStyle w:val="arvts96"/>
            <w:color w:val="auto"/>
            <w:lang w:val="uk" w:eastAsia="uk"/>
          </w:rPr>
          <w:t>кібербезпеки</w:t>
        </w:r>
        <w:proofErr w:type="spellEnd"/>
        <w:r w:rsidRPr="00F2690C">
          <w:rPr>
            <w:rStyle w:val="arvts96"/>
            <w:color w:val="auto"/>
            <w:lang w:val="uk" w:eastAsia="uk"/>
          </w:rPr>
          <w:t xml:space="preserve"> України”</w:t>
        </w:r>
      </w:hyperlink>
      <w:r w:rsidRPr="00F2690C">
        <w:rPr>
          <w:lang w:val="uk" w:eastAsia="uk"/>
        </w:rPr>
        <w:t xml:space="preserve">, </w:t>
      </w:r>
      <w:hyperlink r:id="rId16" w:tgtFrame="_blank" w:history="1">
        <w:r w:rsidRPr="00F2690C">
          <w:rPr>
            <w:rStyle w:val="arvts96"/>
            <w:color w:val="auto"/>
            <w:lang w:val="uk" w:eastAsia="uk"/>
          </w:rPr>
          <w:t>“Про державну таємницю”</w:t>
        </w:r>
      </w:hyperlink>
      <w:r w:rsidRPr="00F2690C">
        <w:rPr>
          <w:lang w:val="uk" w:eastAsia="uk"/>
        </w:rPr>
        <w:t>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38" w:name="n50"/>
      <w:bookmarkEnd w:id="38"/>
      <w:r w:rsidRPr="00F2690C">
        <w:rPr>
          <w:lang w:val="uk" w:eastAsia="uk"/>
        </w:rPr>
        <w:t>Технічний адміністратор реєстру здійснює заходи із створення, доопрацювання та супроводження програмного забезпечення реєстру, відповідає за його технічне і технологічне забезпечення.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39" w:name="n51"/>
      <w:bookmarkEnd w:id="39"/>
      <w:r w:rsidRPr="00F2690C">
        <w:rPr>
          <w:lang w:val="uk" w:eastAsia="uk"/>
        </w:rPr>
        <w:t>20. Держатель реєстру є володільцем інформації, обробка якої здійснюється за допомогою засобів реєстру, та забезпечує виконання вимог законодавства про захист персональних даних. Права власності на програмно-технічні засоби реєстру належать держателю реєстру.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40" w:name="n52"/>
      <w:bookmarkEnd w:id="40"/>
      <w:r w:rsidRPr="00F2690C">
        <w:rPr>
          <w:lang w:val="uk" w:eastAsia="uk"/>
        </w:rPr>
        <w:t>21. Об’єкти реєстру ідентифікуються за ідентифікаційним кодом згідно з ЄДРПОУ. Створення, внесення, зміна, актуалізація, зберігання, ведення обліку та видалення реєстрової інформації здійснюються Міноборони на підставі рішень Міноборони шляхом формування реєстрових записів з використанням інформаційно-комунікаційної системи реєстру.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41" w:name="n53"/>
      <w:bookmarkEnd w:id="41"/>
      <w:r w:rsidRPr="00F2690C">
        <w:rPr>
          <w:lang w:val="uk" w:eastAsia="uk"/>
        </w:rPr>
        <w:t xml:space="preserve">22. Під час ведення реєстру створюються та обліковуються електронні документи у складі реєстрових записів, а ведення і адміністрування реєстру здійснюється з дотриманням вимог щодо інтеграції із системою електронної взаємодії державних електронних інформаційних ресурсів відповідно до законодавства, забезпечення захисту та цілісності реєстрової інформації, а також функціонування системи управління ризиками та інформування </w:t>
      </w:r>
      <w:proofErr w:type="spellStart"/>
      <w:r w:rsidRPr="00F2690C">
        <w:rPr>
          <w:lang w:val="uk" w:eastAsia="uk"/>
        </w:rPr>
        <w:t>правоволодільців</w:t>
      </w:r>
      <w:proofErr w:type="spellEnd"/>
      <w:r w:rsidRPr="00F2690C">
        <w:rPr>
          <w:lang w:val="uk" w:eastAsia="uk"/>
        </w:rPr>
        <w:t xml:space="preserve"> у разі порушення цілісності або несанкціонованої обробки реєстрової інформації.</w:t>
      </w:r>
    </w:p>
    <w:p w:rsidR="00BD1888" w:rsidRPr="00F2690C" w:rsidRDefault="004944D6">
      <w:pPr>
        <w:pStyle w:val="rvps2"/>
        <w:spacing w:after="150"/>
        <w:rPr>
          <w:lang w:val="uk" w:eastAsia="uk"/>
        </w:rPr>
      </w:pPr>
      <w:bookmarkStart w:id="42" w:name="n54"/>
      <w:bookmarkEnd w:id="42"/>
      <w:r w:rsidRPr="00F2690C">
        <w:rPr>
          <w:lang w:val="uk" w:eastAsia="uk"/>
        </w:rPr>
        <w:t xml:space="preserve">23. Інформаційні послуги реєстру, пов’язані з підтвердженням статусу резидента </w:t>
      </w:r>
      <w:proofErr w:type="spellStart"/>
      <w:r w:rsidRPr="00F2690C">
        <w:rPr>
          <w:lang w:val="uk" w:eastAsia="uk"/>
        </w:rPr>
        <w:t>Дефенс</w:t>
      </w:r>
      <w:proofErr w:type="spellEnd"/>
      <w:r w:rsidRPr="00F2690C">
        <w:rPr>
          <w:lang w:val="uk" w:eastAsia="uk"/>
        </w:rPr>
        <w:t xml:space="preserve"> Сіті та отриманням відомостей з реєстру, надаються безоплатно, а </w:t>
      </w:r>
      <w:proofErr w:type="spellStart"/>
      <w:r w:rsidRPr="00F2690C">
        <w:rPr>
          <w:lang w:val="uk" w:eastAsia="uk"/>
        </w:rPr>
        <w:t>правоволоділець</w:t>
      </w:r>
      <w:proofErr w:type="spellEnd"/>
      <w:r w:rsidRPr="00F2690C">
        <w:rPr>
          <w:lang w:val="uk" w:eastAsia="uk"/>
        </w:rPr>
        <w:t xml:space="preserve"> підлягає обов’язковому інформуванню про запити будь-яких осіб щодо інформації про нього, а також про внесення до реєстру відповідної інформації, її зміну або видалення з реєстру.</w:t>
      </w:r>
    </w:p>
    <w:p w:rsidR="00BD1888" w:rsidRPr="00F2690C" w:rsidRDefault="004944D6" w:rsidP="008C6BFF">
      <w:pPr>
        <w:pStyle w:val="rvps2"/>
        <w:spacing w:after="150"/>
        <w:rPr>
          <w:lang w:val="uk" w:eastAsia="uk"/>
        </w:rPr>
      </w:pPr>
      <w:bookmarkStart w:id="43" w:name="n55"/>
      <w:bookmarkEnd w:id="43"/>
      <w:r w:rsidRPr="00F2690C">
        <w:rPr>
          <w:lang w:val="uk" w:eastAsia="uk"/>
        </w:rPr>
        <w:t>24. Реєстр починає функціонувати з дати набрання чинності цим Порядком.</w:t>
      </w:r>
      <w:r w:rsidR="00F802C9">
        <w:pict>
          <v:rect id="_x0000_i1026" style="width:0;height:.75pt" o:hrpct="0" o:hrstd="t" o:hr="t" fillcolor="gray" stroked="f">
            <v:path strokeok="f"/>
          </v:rect>
        </w:pict>
      </w:r>
      <w:bookmarkStart w:id="44" w:name="n200"/>
      <w:bookmarkEnd w:id="44"/>
    </w:p>
    <w:sectPr w:rsidR="00BD1888" w:rsidRPr="00F2690C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E79E6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9C6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44CD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E691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04A2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9A9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F2A9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186E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94F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DDAC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42A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6A3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C276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2E22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CE22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70B0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CE21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7E8A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88"/>
    <w:rsid w:val="00021D9E"/>
    <w:rsid w:val="004944D6"/>
    <w:rsid w:val="00843284"/>
    <w:rsid w:val="008C6BFF"/>
    <w:rsid w:val="00BD1888"/>
    <w:rsid w:val="00F2690C"/>
    <w:rsid w:val="00F8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F591"/>
  <w15:docId w15:val="{53F34270-C6B0-4E48-9ED2-375129A2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paragraph" w:customStyle="1" w:styleId="rvps12">
    <w:name w:val="rvps12"/>
    <w:basedOn w:val="a"/>
    <w:pPr>
      <w:jc w:val="center"/>
    </w:p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3">
    <w:name w:val="rvps3"/>
    <w:basedOn w:val="a"/>
    <w:pPr>
      <w:jc w:val="center"/>
    </w:pPr>
  </w:style>
  <w:style w:type="character" w:customStyle="1" w:styleId="spanrvts80">
    <w:name w:val="span_rvts80"/>
    <w:basedOn w:val="a0"/>
    <w:rPr>
      <w:rFonts w:ascii="Lucida Sans Unicode" w:eastAsia="Lucida Sans Unicode" w:hAnsi="Lucida Sans Unicode" w:cs="Lucida Sans Unicode"/>
      <w:b/>
      <w:bCs/>
      <w:i w:val="0"/>
      <w:iCs w:val="0"/>
      <w:sz w:val="24"/>
      <w:szCs w:val="24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/94-%D0%B2%D1%80" TargetMode="External"/><Relationship Id="rId13" Type="http://schemas.openxmlformats.org/officeDocument/2006/relationships/hyperlink" Target="https://zakon.rada.gov.ua/laws/show/2297-1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55-19" TargetMode="External"/><Relationship Id="rId12" Type="http://schemas.openxmlformats.org/officeDocument/2006/relationships/hyperlink" Target="https://zakon.rada.gov.ua/laws/show/2469-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3855-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07-20" TargetMode="External"/><Relationship Id="rId11" Type="http://schemas.openxmlformats.org/officeDocument/2006/relationships/hyperlink" Target="https://zakon.rada.gov.ua/laws/show/2469-19" TargetMode="External"/><Relationship Id="rId5" Type="http://schemas.openxmlformats.org/officeDocument/2006/relationships/hyperlink" Target="https://zakon.rada.gov.ua/laws/show/2469-19" TargetMode="External"/><Relationship Id="rId15" Type="http://schemas.openxmlformats.org/officeDocument/2006/relationships/hyperlink" Target="https://zakon.rada.gov.ua/laws/show/2163-19" TargetMode="External"/><Relationship Id="rId10" Type="http://schemas.openxmlformats.org/officeDocument/2006/relationships/hyperlink" Target="https://zakon.rada.gov.ua/laws/show/2469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69-19" TargetMode="External"/><Relationship Id="rId14" Type="http://schemas.openxmlformats.org/officeDocument/2006/relationships/hyperlink" Target="https://zakon.rada.gov.ua/laws/show/80/94-%D0%B2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5438</Words>
  <Characters>3100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Деякі питання правового режиму Дефенс Сіті | від 17.12.2025 № 1745</vt:lpstr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Деякі питання правового режиму Дефенс Сіті | від 17.12.2025 № 1745</dc:title>
  <dc:creator/>
  <cp:lastModifiedBy>КОВАЛЬ ЮЛІЯ ОЛЕКСАНДРІВНА</cp:lastModifiedBy>
  <cp:revision>3</cp:revision>
  <dcterms:created xsi:type="dcterms:W3CDTF">2026-01-23T12:05:00Z</dcterms:created>
  <dcterms:modified xsi:type="dcterms:W3CDTF">2026-01-23T12:05:00Z</dcterms:modified>
</cp:coreProperties>
</file>