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7D" w:rsidRPr="004942AC" w:rsidRDefault="00AB7D7D" w:rsidP="00F67AB1">
      <w:pPr>
        <w:jc w:val="center"/>
        <w:rPr>
          <w:rFonts w:cs="Times New Roman"/>
          <w:b/>
          <w:szCs w:val="28"/>
        </w:rPr>
      </w:pPr>
      <w:r w:rsidRPr="004942AC">
        <w:rPr>
          <w:rFonts w:cs="Times New Roman"/>
          <w:b/>
          <w:szCs w:val="28"/>
        </w:rPr>
        <w:t>ПОЯСНЮВАЛЬНА ЗАПИСКА</w:t>
      </w:r>
    </w:p>
    <w:p w:rsidR="00AB7D7D" w:rsidRPr="0093009C" w:rsidRDefault="00F67AB1" w:rsidP="00F67AB1">
      <w:pPr>
        <w:jc w:val="center"/>
        <w:rPr>
          <w:rFonts w:cs="Times New Roman"/>
          <w:b/>
          <w:szCs w:val="28"/>
        </w:rPr>
      </w:pPr>
      <w:r w:rsidRPr="0093009C">
        <w:rPr>
          <w:rFonts w:cs="Times New Roman"/>
          <w:b/>
          <w:szCs w:val="28"/>
        </w:rPr>
        <w:t>до проє</w:t>
      </w:r>
      <w:r w:rsidR="00AB7D7D" w:rsidRPr="0093009C">
        <w:rPr>
          <w:rFonts w:cs="Times New Roman"/>
          <w:b/>
          <w:szCs w:val="28"/>
        </w:rPr>
        <w:t xml:space="preserve">кту </w:t>
      </w:r>
      <w:r w:rsidR="00CC76E6" w:rsidRPr="0093009C">
        <w:rPr>
          <w:b/>
          <w:szCs w:val="28"/>
        </w:rPr>
        <w:t>наказу Міністерства фінансів України</w:t>
      </w:r>
      <w:r w:rsidR="00AC7076" w:rsidRPr="0093009C">
        <w:rPr>
          <w:b/>
          <w:szCs w:val="28"/>
        </w:rPr>
        <w:t xml:space="preserve"> «</w:t>
      </w:r>
      <w:r w:rsidR="0022277B" w:rsidRPr="0093009C">
        <w:rPr>
          <w:rFonts w:eastAsia="Times New Roman" w:cs="Times New Roman"/>
          <w:b/>
          <w:bCs/>
          <w:szCs w:val="28"/>
          <w:lang w:eastAsia="uk-UA"/>
        </w:rPr>
        <w:t>Про затвердження Порядку прийняття рішення посадовою особою п</w:t>
      </w:r>
      <w:bookmarkStart w:id="0" w:name="_GoBack"/>
      <w:bookmarkEnd w:id="0"/>
      <w:r w:rsidR="0022277B" w:rsidRPr="0093009C">
        <w:rPr>
          <w:rFonts w:eastAsia="Times New Roman" w:cs="Times New Roman"/>
          <w:b/>
          <w:bCs/>
          <w:szCs w:val="28"/>
          <w:lang w:eastAsia="uk-UA"/>
        </w:rPr>
        <w:t>одаткового органу про нарахування пені та накладення штрафу на платників внеску на підтримку працевлаштування осіб з інвалідністю</w:t>
      </w:r>
      <w:r w:rsidR="00BF3DD8" w:rsidRPr="0093009C">
        <w:rPr>
          <w:rFonts w:eastAsia="Times New Roman" w:cs="Times New Roman"/>
          <w:b/>
          <w:szCs w:val="28"/>
          <w:lang w:eastAsia="uk-UA"/>
        </w:rPr>
        <w:t>»</w:t>
      </w:r>
    </w:p>
    <w:p w:rsidR="00F67AB1" w:rsidRPr="0093009C" w:rsidRDefault="00F67AB1" w:rsidP="00F67AB1">
      <w:pPr>
        <w:rPr>
          <w:rFonts w:cs="Times New Roman"/>
          <w:b/>
          <w:szCs w:val="28"/>
        </w:rPr>
      </w:pPr>
    </w:p>
    <w:p w:rsidR="00AB7D7D" w:rsidRPr="00182969" w:rsidRDefault="00AB7D7D" w:rsidP="00ED4770">
      <w:pPr>
        <w:ind w:firstLine="567"/>
        <w:rPr>
          <w:rFonts w:cs="Times New Roman"/>
          <w:b/>
          <w:szCs w:val="28"/>
        </w:rPr>
      </w:pPr>
      <w:r w:rsidRPr="000660BE">
        <w:rPr>
          <w:rFonts w:cs="Times New Roman"/>
          <w:b/>
          <w:szCs w:val="28"/>
        </w:rPr>
        <w:t>1. Мета</w:t>
      </w:r>
    </w:p>
    <w:p w:rsidR="005D0515" w:rsidRDefault="00AC7076" w:rsidP="00ED4770">
      <w:pPr>
        <w:ind w:firstLine="567"/>
        <w:rPr>
          <w:szCs w:val="28"/>
          <w:lang w:eastAsia="uk-UA"/>
        </w:rPr>
      </w:pPr>
      <w:r>
        <w:rPr>
          <w:rFonts w:cs="Times New Roman"/>
          <w:szCs w:val="28"/>
        </w:rPr>
        <w:t xml:space="preserve">Метою прийняття проєкту </w:t>
      </w:r>
      <w:r w:rsidR="00CC76E6">
        <w:rPr>
          <w:szCs w:val="28"/>
        </w:rPr>
        <w:t>наказу Міністерства фінансів України</w:t>
      </w:r>
      <w:r w:rsidR="00CC76E6" w:rsidRPr="00003AAA">
        <w:rPr>
          <w:szCs w:val="28"/>
        </w:rPr>
        <w:t xml:space="preserve"> </w:t>
      </w:r>
      <w:r w:rsidR="00BF3DD8" w:rsidRPr="0022277B">
        <w:rPr>
          <w:szCs w:val="28"/>
        </w:rPr>
        <w:t>«</w:t>
      </w:r>
      <w:r w:rsidR="0022277B" w:rsidRPr="0022277B">
        <w:rPr>
          <w:rFonts w:eastAsia="Times New Roman" w:cs="Times New Roman"/>
          <w:bCs/>
          <w:szCs w:val="28"/>
          <w:lang w:eastAsia="uk-UA"/>
        </w:rPr>
        <w:t>Про затвердження Порядку прийняття рішення посадовою особою податкового органу про нарахування пені та накладення штрафу на платників внеску на підтримку працевлаштування осіб з інвалідністю</w:t>
      </w:r>
      <w:r w:rsidR="00BF3DD8" w:rsidRPr="0022277B">
        <w:rPr>
          <w:rFonts w:eastAsia="Times New Roman" w:cs="Times New Roman"/>
          <w:szCs w:val="28"/>
          <w:lang w:eastAsia="uk-UA"/>
        </w:rPr>
        <w:t>»</w:t>
      </w:r>
      <w:r w:rsidR="00BF3DD8">
        <w:rPr>
          <w:szCs w:val="28"/>
          <w:lang w:eastAsia="uk-UA"/>
        </w:rPr>
        <w:t xml:space="preserve"> (далі – </w:t>
      </w:r>
      <w:r w:rsidR="00357322">
        <w:rPr>
          <w:szCs w:val="28"/>
          <w:lang w:eastAsia="uk-UA"/>
        </w:rPr>
        <w:t>п</w:t>
      </w:r>
      <w:r>
        <w:rPr>
          <w:szCs w:val="28"/>
          <w:lang w:eastAsia="uk-UA"/>
        </w:rPr>
        <w:t xml:space="preserve">роєкт </w:t>
      </w:r>
      <w:r w:rsidR="00A259AC">
        <w:rPr>
          <w:szCs w:val="28"/>
          <w:lang w:eastAsia="uk-UA"/>
        </w:rPr>
        <w:t>акта</w:t>
      </w:r>
      <w:r>
        <w:rPr>
          <w:szCs w:val="28"/>
          <w:lang w:eastAsia="uk-UA"/>
        </w:rPr>
        <w:t xml:space="preserve">) є </w:t>
      </w:r>
      <w:r w:rsidR="0022277B" w:rsidRPr="0022277B">
        <w:rPr>
          <w:szCs w:val="28"/>
          <w:lang w:eastAsia="uk-UA"/>
        </w:rPr>
        <w:t>визнач</w:t>
      </w:r>
      <w:r w:rsidR="0022277B">
        <w:rPr>
          <w:szCs w:val="28"/>
          <w:lang w:eastAsia="uk-UA"/>
        </w:rPr>
        <w:t xml:space="preserve">ення </w:t>
      </w:r>
      <w:r w:rsidR="0022277B" w:rsidRPr="0022277B">
        <w:rPr>
          <w:szCs w:val="28"/>
          <w:lang w:eastAsia="uk-UA"/>
        </w:rPr>
        <w:t>процедур</w:t>
      </w:r>
      <w:r w:rsidR="0022277B">
        <w:rPr>
          <w:szCs w:val="28"/>
          <w:lang w:eastAsia="uk-UA"/>
        </w:rPr>
        <w:t>и</w:t>
      </w:r>
      <w:r w:rsidR="0022277B" w:rsidRPr="0022277B">
        <w:rPr>
          <w:szCs w:val="28"/>
          <w:lang w:eastAsia="uk-UA"/>
        </w:rPr>
        <w:t xml:space="preserve"> </w:t>
      </w:r>
      <w:bookmarkStart w:id="1" w:name="n163"/>
      <w:bookmarkEnd w:id="1"/>
      <w:r w:rsidR="0022277B" w:rsidRPr="0022277B">
        <w:rPr>
          <w:bCs/>
          <w:szCs w:val="28"/>
          <w:lang w:eastAsia="uk-UA"/>
        </w:rPr>
        <w:t xml:space="preserve">прийняття рішення посадовою особою податкового органу про нарахування пені та накладення штрафу на платників внеску </w:t>
      </w:r>
      <w:bookmarkStart w:id="2" w:name="_Hlk204169416"/>
      <w:r w:rsidR="0022277B" w:rsidRPr="0022277B">
        <w:rPr>
          <w:bCs/>
          <w:szCs w:val="28"/>
          <w:lang w:eastAsia="uk-UA"/>
        </w:rPr>
        <w:t>на підтримку працевлаштування осіб з інвалідністю</w:t>
      </w:r>
      <w:bookmarkEnd w:id="2"/>
      <w:r w:rsidR="0022277B" w:rsidRPr="0022277B">
        <w:rPr>
          <w:szCs w:val="28"/>
          <w:lang w:eastAsia="uk-UA"/>
        </w:rPr>
        <w:t xml:space="preserve"> (далі – </w:t>
      </w:r>
      <w:r w:rsidR="00357322">
        <w:rPr>
          <w:szCs w:val="28"/>
          <w:lang w:eastAsia="uk-UA"/>
        </w:rPr>
        <w:t>в</w:t>
      </w:r>
      <w:r w:rsidR="0022277B" w:rsidRPr="0022277B">
        <w:rPr>
          <w:szCs w:val="28"/>
          <w:lang w:eastAsia="uk-UA"/>
        </w:rPr>
        <w:t>несок)</w:t>
      </w:r>
      <w:r w:rsidR="005D0515">
        <w:rPr>
          <w:szCs w:val="28"/>
          <w:lang w:eastAsia="uk-UA"/>
        </w:rPr>
        <w:t>.</w:t>
      </w:r>
    </w:p>
    <w:p w:rsidR="005D0515" w:rsidRDefault="005D0515" w:rsidP="00ED4770">
      <w:pPr>
        <w:ind w:firstLine="567"/>
        <w:rPr>
          <w:szCs w:val="28"/>
          <w:lang w:eastAsia="uk-UA"/>
        </w:rPr>
      </w:pPr>
    </w:p>
    <w:p w:rsidR="00AB7D7D" w:rsidRPr="00182969" w:rsidRDefault="00AB7D7D" w:rsidP="00ED4770">
      <w:pPr>
        <w:ind w:firstLine="567"/>
        <w:rPr>
          <w:rFonts w:cs="Times New Roman"/>
          <w:b/>
          <w:szCs w:val="28"/>
        </w:rPr>
      </w:pPr>
      <w:r w:rsidRPr="000660BE">
        <w:rPr>
          <w:rFonts w:cs="Times New Roman"/>
          <w:b/>
          <w:szCs w:val="28"/>
        </w:rPr>
        <w:t>2. Обґрунтування необхідності прийняття акта</w:t>
      </w:r>
    </w:p>
    <w:p w:rsidR="00EB4F13" w:rsidRDefault="008150BD" w:rsidP="00ED4770">
      <w:pPr>
        <w:ind w:firstLine="567"/>
        <w:rPr>
          <w:rFonts w:cs="Times New Roman"/>
          <w:szCs w:val="28"/>
        </w:rPr>
      </w:pPr>
      <w:r>
        <w:rPr>
          <w:rFonts w:cs="Times New Roman"/>
          <w:szCs w:val="28"/>
        </w:rPr>
        <w:t xml:space="preserve">Проєкт </w:t>
      </w:r>
      <w:r w:rsidR="00661E5C">
        <w:rPr>
          <w:rFonts w:cs="Times New Roman"/>
          <w:szCs w:val="28"/>
        </w:rPr>
        <w:t xml:space="preserve">акта </w:t>
      </w:r>
      <w:r>
        <w:rPr>
          <w:rFonts w:cs="Times New Roman"/>
          <w:szCs w:val="28"/>
        </w:rPr>
        <w:t xml:space="preserve">розроблено на виконання </w:t>
      </w:r>
      <w:r w:rsidR="0022277B" w:rsidRPr="0022277B">
        <w:rPr>
          <w:rFonts w:cs="Times New Roman"/>
          <w:szCs w:val="28"/>
        </w:rPr>
        <w:t>абзац</w:t>
      </w:r>
      <w:r w:rsidR="0022277B">
        <w:rPr>
          <w:rFonts w:cs="Times New Roman"/>
          <w:szCs w:val="28"/>
        </w:rPr>
        <w:t xml:space="preserve">у двадцять шостого </w:t>
      </w:r>
      <w:r w:rsidR="0022277B" w:rsidRPr="0022277B">
        <w:rPr>
          <w:rFonts w:cs="Times New Roman"/>
          <w:szCs w:val="28"/>
        </w:rPr>
        <w:t xml:space="preserve">підпункту 2 пункту 2 розділу ІІ </w:t>
      </w:r>
      <w:r w:rsidR="00CC76E6">
        <w:rPr>
          <w:rFonts w:cs="Times New Roman"/>
          <w:szCs w:val="28"/>
        </w:rPr>
        <w:t xml:space="preserve">«Прикінцеві та перехідні положення» </w:t>
      </w:r>
      <w:bookmarkStart w:id="3" w:name="_Hlk215151662"/>
      <w:r w:rsidR="00117AD9">
        <w:rPr>
          <w:rFonts w:cs="Times New Roman"/>
          <w:szCs w:val="28"/>
        </w:rPr>
        <w:t xml:space="preserve">Закону </w:t>
      </w:r>
      <w:r w:rsidR="00CF1A6A" w:rsidRPr="00742CAB">
        <w:rPr>
          <w:szCs w:val="28"/>
        </w:rPr>
        <w:t xml:space="preserve">України </w:t>
      </w:r>
      <w:r w:rsidR="0022277B">
        <w:rPr>
          <w:szCs w:val="28"/>
        </w:rPr>
        <w:t xml:space="preserve">            </w:t>
      </w:r>
      <w:r w:rsidR="00CF1A6A">
        <w:rPr>
          <w:szCs w:val="28"/>
        </w:rPr>
        <w:t xml:space="preserve">від </w:t>
      </w:r>
      <w:r w:rsidR="00136875">
        <w:rPr>
          <w:szCs w:val="28"/>
        </w:rPr>
        <w:t>15</w:t>
      </w:r>
      <w:r w:rsidR="00CF1A6A">
        <w:rPr>
          <w:szCs w:val="28"/>
        </w:rPr>
        <w:t xml:space="preserve"> </w:t>
      </w:r>
      <w:r w:rsidR="00136875">
        <w:rPr>
          <w:szCs w:val="28"/>
        </w:rPr>
        <w:t>січня</w:t>
      </w:r>
      <w:r w:rsidR="00CF1A6A">
        <w:rPr>
          <w:szCs w:val="28"/>
        </w:rPr>
        <w:t xml:space="preserve"> 202</w:t>
      </w:r>
      <w:r w:rsidR="00136875">
        <w:rPr>
          <w:szCs w:val="28"/>
        </w:rPr>
        <w:t>5</w:t>
      </w:r>
      <w:r w:rsidR="00CF1A6A">
        <w:rPr>
          <w:szCs w:val="28"/>
        </w:rPr>
        <w:t xml:space="preserve"> року № </w:t>
      </w:r>
      <w:r w:rsidR="00136875">
        <w:rPr>
          <w:szCs w:val="28"/>
        </w:rPr>
        <w:t>4219</w:t>
      </w:r>
      <w:r w:rsidR="00CF1A6A">
        <w:rPr>
          <w:szCs w:val="28"/>
        </w:rPr>
        <w:t xml:space="preserve">-ІХ </w:t>
      </w:r>
      <w:r w:rsidR="00CF1A6A" w:rsidRPr="00742CAB">
        <w:rPr>
          <w:szCs w:val="28"/>
        </w:rPr>
        <w:t xml:space="preserve">«Про внесення змін до </w:t>
      </w:r>
      <w:r w:rsidR="00CA20C4">
        <w:rPr>
          <w:szCs w:val="28"/>
        </w:rPr>
        <w:t>деяких законодавчих актів України щодо забезпечення права осіб з інвалідністю на працю</w:t>
      </w:r>
      <w:r w:rsidR="00CF1A6A" w:rsidRPr="00742CAB">
        <w:rPr>
          <w:szCs w:val="28"/>
        </w:rPr>
        <w:t>»</w:t>
      </w:r>
      <w:r w:rsidR="00CF1A6A">
        <w:rPr>
          <w:szCs w:val="28"/>
        </w:rPr>
        <w:t xml:space="preserve"> </w:t>
      </w:r>
      <w:bookmarkEnd w:id="3"/>
      <w:r w:rsidR="00CF1A6A">
        <w:rPr>
          <w:szCs w:val="28"/>
        </w:rPr>
        <w:t xml:space="preserve">(далі – Закон № </w:t>
      </w:r>
      <w:r w:rsidR="00CA20C4">
        <w:rPr>
          <w:szCs w:val="28"/>
        </w:rPr>
        <w:t>4219</w:t>
      </w:r>
      <w:r w:rsidR="00CF1A6A">
        <w:rPr>
          <w:szCs w:val="28"/>
        </w:rPr>
        <w:t>)</w:t>
      </w:r>
      <w:r w:rsidR="00822697">
        <w:rPr>
          <w:rFonts w:cs="Times New Roman"/>
          <w:szCs w:val="28"/>
        </w:rPr>
        <w:t>.</w:t>
      </w:r>
    </w:p>
    <w:p w:rsidR="00EB4F13" w:rsidRDefault="00EB4F13" w:rsidP="00ED4770">
      <w:pPr>
        <w:ind w:firstLine="567"/>
        <w:rPr>
          <w:rFonts w:cs="Times New Roman"/>
          <w:b/>
          <w:szCs w:val="28"/>
        </w:rPr>
      </w:pPr>
    </w:p>
    <w:p w:rsidR="00AB7D7D" w:rsidRPr="00182969" w:rsidRDefault="00AB7D7D" w:rsidP="00ED4770">
      <w:pPr>
        <w:ind w:firstLine="567"/>
        <w:rPr>
          <w:rFonts w:cs="Times New Roman"/>
          <w:b/>
          <w:szCs w:val="28"/>
        </w:rPr>
      </w:pPr>
      <w:r w:rsidRPr="000660BE">
        <w:rPr>
          <w:rFonts w:cs="Times New Roman"/>
          <w:b/>
          <w:szCs w:val="28"/>
        </w:rPr>
        <w:t>3. Основні положення про</w:t>
      </w:r>
      <w:r w:rsidR="0054618F" w:rsidRPr="000660BE">
        <w:rPr>
          <w:rFonts w:cs="Times New Roman"/>
          <w:b/>
          <w:szCs w:val="28"/>
        </w:rPr>
        <w:t>є</w:t>
      </w:r>
      <w:r w:rsidRPr="000660BE">
        <w:rPr>
          <w:rFonts w:cs="Times New Roman"/>
          <w:b/>
          <w:szCs w:val="28"/>
        </w:rPr>
        <w:t>кту акта</w:t>
      </w:r>
    </w:p>
    <w:p w:rsidR="00A624F3" w:rsidRPr="00A624F3" w:rsidRDefault="00A624F3" w:rsidP="00A624F3">
      <w:pPr>
        <w:ind w:firstLine="567"/>
        <w:rPr>
          <w:rFonts w:cs="Times New Roman"/>
          <w:szCs w:val="28"/>
        </w:rPr>
      </w:pPr>
      <w:bookmarkStart w:id="4" w:name="n186"/>
      <w:bookmarkStart w:id="5" w:name="n187"/>
      <w:bookmarkStart w:id="6" w:name="n188"/>
      <w:bookmarkStart w:id="7" w:name="n189"/>
      <w:bookmarkStart w:id="8" w:name="n190"/>
      <w:bookmarkStart w:id="9" w:name="n191"/>
      <w:bookmarkStart w:id="10" w:name="_Hlk204174823"/>
      <w:bookmarkStart w:id="11" w:name="_Hlk215151630"/>
      <w:bookmarkEnd w:id="4"/>
      <w:bookmarkEnd w:id="5"/>
      <w:bookmarkEnd w:id="6"/>
      <w:bookmarkEnd w:id="7"/>
      <w:bookmarkEnd w:id="8"/>
      <w:bookmarkEnd w:id="9"/>
      <w:r w:rsidRPr="00A624F3">
        <w:rPr>
          <w:rFonts w:cs="Times New Roman"/>
          <w:szCs w:val="28"/>
        </w:rPr>
        <w:t xml:space="preserve">Згідно з абзацами другим – четвертим підпункту 2 пункту 2 розділу ІІ </w:t>
      </w:r>
      <w:bookmarkEnd w:id="10"/>
      <w:r w:rsidRPr="00A624F3">
        <w:rPr>
          <w:rFonts w:cs="Times New Roman"/>
          <w:szCs w:val="28"/>
        </w:rPr>
        <w:t>«Прикінцеві та перехідні положення» Закону №</w:t>
      </w:r>
      <w:r w:rsidR="00D920E1">
        <w:rPr>
          <w:rFonts w:cs="Times New Roman"/>
          <w:szCs w:val="28"/>
        </w:rPr>
        <w:t xml:space="preserve"> </w:t>
      </w:r>
      <w:r w:rsidRPr="00A624F3">
        <w:rPr>
          <w:rFonts w:cs="Times New Roman"/>
          <w:szCs w:val="28"/>
        </w:rPr>
        <w:t xml:space="preserve"> 4219 </w:t>
      </w:r>
      <w:bookmarkEnd w:id="11"/>
      <w:r w:rsidRPr="00A624F3">
        <w:rPr>
          <w:rFonts w:cs="Times New Roman"/>
          <w:szCs w:val="28"/>
        </w:rPr>
        <w:t xml:space="preserve">у разі несвоєчасної або не </w:t>
      </w:r>
      <w:r w:rsidR="0093009C">
        <w:rPr>
          <w:rFonts w:cs="Times New Roman"/>
          <w:szCs w:val="28"/>
        </w:rPr>
        <w:t>у</w:t>
      </w:r>
      <w:r w:rsidRPr="00A624F3">
        <w:rPr>
          <w:rFonts w:cs="Times New Roman"/>
          <w:szCs w:val="28"/>
        </w:rPr>
        <w:t xml:space="preserve"> повному обсязі сплати </w:t>
      </w:r>
      <w:r>
        <w:rPr>
          <w:rFonts w:cs="Times New Roman"/>
          <w:szCs w:val="28"/>
        </w:rPr>
        <w:t>в</w:t>
      </w:r>
      <w:r w:rsidRPr="00A624F3">
        <w:rPr>
          <w:rFonts w:cs="Times New Roman"/>
          <w:szCs w:val="28"/>
        </w:rPr>
        <w:t xml:space="preserve">неску, передбаченого </w:t>
      </w:r>
      <w:bookmarkStart w:id="12" w:name="_Hlk215149934"/>
      <w:r w:rsidRPr="00A624F3">
        <w:rPr>
          <w:rFonts w:cs="Times New Roman"/>
          <w:szCs w:val="28"/>
        </w:rPr>
        <w:t>статтею 18</w:t>
      </w:r>
      <w:r w:rsidRPr="0093009C">
        <w:rPr>
          <w:rFonts w:cs="Times New Roman"/>
          <w:bCs/>
          <w:szCs w:val="28"/>
          <w:vertAlign w:val="superscript"/>
        </w:rPr>
        <w:t>2</w:t>
      </w:r>
      <w:r w:rsidRPr="00A624F3">
        <w:rPr>
          <w:rFonts w:cs="Times New Roman"/>
          <w:b/>
          <w:bCs/>
          <w:szCs w:val="28"/>
          <w:vertAlign w:val="superscript"/>
        </w:rPr>
        <w:t xml:space="preserve"> </w:t>
      </w:r>
      <w:r w:rsidRPr="00A624F3">
        <w:rPr>
          <w:rFonts w:cs="Times New Roman"/>
          <w:szCs w:val="28"/>
        </w:rPr>
        <w:t>Закону України «Про основи соціальної захищеності осіб з інвалідністю»</w:t>
      </w:r>
      <w:bookmarkEnd w:id="12"/>
      <w:r w:rsidRPr="00A624F3">
        <w:rPr>
          <w:rFonts w:cs="Times New Roman"/>
          <w:szCs w:val="28"/>
        </w:rPr>
        <w:t xml:space="preserve">, до платника </w:t>
      </w:r>
      <w:r w:rsidR="00357322">
        <w:rPr>
          <w:rFonts w:cs="Times New Roman"/>
          <w:szCs w:val="28"/>
        </w:rPr>
        <w:t>в</w:t>
      </w:r>
      <w:r w:rsidRPr="00A624F3">
        <w:rPr>
          <w:rFonts w:cs="Times New Roman"/>
          <w:szCs w:val="28"/>
        </w:rPr>
        <w:t>неску застосовуються фінансові санкції.</w:t>
      </w:r>
    </w:p>
    <w:p w:rsidR="00A624F3" w:rsidRPr="00A624F3" w:rsidRDefault="00A624F3" w:rsidP="00A624F3">
      <w:pPr>
        <w:ind w:firstLine="567"/>
        <w:rPr>
          <w:rFonts w:cs="Times New Roman"/>
          <w:szCs w:val="28"/>
        </w:rPr>
      </w:pPr>
      <w:bookmarkStart w:id="13" w:name="n439"/>
      <w:bookmarkStart w:id="14" w:name="_Hlk204161850"/>
      <w:bookmarkStart w:id="15" w:name="_Hlk204164479"/>
      <w:bookmarkEnd w:id="13"/>
      <w:r w:rsidRPr="00A624F3">
        <w:rPr>
          <w:rFonts w:cs="Times New Roman"/>
          <w:szCs w:val="28"/>
        </w:rPr>
        <w:t>Згідно з абзацами двадцятим – двадцять третім підпункту 2 пункту 2 розділу</w:t>
      </w:r>
      <w:r w:rsidR="0093009C">
        <w:rPr>
          <w:rFonts w:cs="Times New Roman"/>
          <w:szCs w:val="28"/>
        </w:rPr>
        <w:t> </w:t>
      </w:r>
      <w:r w:rsidRPr="00A624F3">
        <w:rPr>
          <w:rFonts w:cs="Times New Roman"/>
          <w:szCs w:val="28"/>
        </w:rPr>
        <w:t>ІІ «Прикінцеві та перехідні положення» Закону №</w:t>
      </w:r>
      <w:r w:rsidR="00D920E1">
        <w:rPr>
          <w:rFonts w:cs="Times New Roman"/>
          <w:szCs w:val="28"/>
        </w:rPr>
        <w:t xml:space="preserve"> </w:t>
      </w:r>
      <w:r w:rsidRPr="00A624F3">
        <w:rPr>
          <w:rFonts w:cs="Times New Roman"/>
          <w:szCs w:val="28"/>
        </w:rPr>
        <w:t> 4219</w:t>
      </w:r>
      <w:bookmarkEnd w:id="14"/>
      <w:r w:rsidRPr="00A624F3">
        <w:rPr>
          <w:rFonts w:cs="Times New Roman"/>
          <w:szCs w:val="28"/>
        </w:rPr>
        <w:t xml:space="preserve"> </w:t>
      </w:r>
      <w:bookmarkStart w:id="16" w:name="_Hlk215151467"/>
      <w:bookmarkEnd w:id="15"/>
      <w:r w:rsidRPr="00A624F3">
        <w:rPr>
          <w:rFonts w:cs="Times New Roman"/>
          <w:szCs w:val="28"/>
        </w:rPr>
        <w:t xml:space="preserve">податковий орган накладає на платника </w:t>
      </w:r>
      <w:r w:rsidR="00357322">
        <w:rPr>
          <w:rFonts w:cs="Times New Roman"/>
          <w:szCs w:val="28"/>
        </w:rPr>
        <w:t>в</w:t>
      </w:r>
      <w:r w:rsidRPr="00A624F3">
        <w:rPr>
          <w:rFonts w:cs="Times New Roman"/>
          <w:szCs w:val="28"/>
        </w:rPr>
        <w:t>неску штрафи у таких розмірах:</w:t>
      </w:r>
      <w:bookmarkEnd w:id="16"/>
    </w:p>
    <w:p w:rsidR="00A624F3" w:rsidRPr="00A624F3" w:rsidRDefault="003A4187" w:rsidP="00A624F3">
      <w:pPr>
        <w:ind w:firstLine="567"/>
        <w:rPr>
          <w:rFonts w:cs="Times New Roman"/>
          <w:szCs w:val="28"/>
        </w:rPr>
      </w:pPr>
      <w:bookmarkStart w:id="17" w:name="n457"/>
      <w:bookmarkEnd w:id="17"/>
      <w:r>
        <w:rPr>
          <w:rFonts w:cs="Times New Roman"/>
          <w:szCs w:val="28"/>
        </w:rPr>
        <w:t>«</w:t>
      </w:r>
      <w:r w:rsidR="00A624F3" w:rsidRPr="00A624F3">
        <w:rPr>
          <w:rFonts w:cs="Times New Roman"/>
          <w:szCs w:val="28"/>
        </w:rPr>
        <w:t xml:space="preserve">1) за несплату (неперерахування) або несвоєчасну сплату (несвоєчасне перерахування) внеску – у розмірі 7 відсотків </w:t>
      </w:r>
      <w:bookmarkStart w:id="18" w:name="_Hlk204169989"/>
      <w:r w:rsidR="00A624F3" w:rsidRPr="00A624F3">
        <w:rPr>
          <w:rFonts w:cs="Times New Roman"/>
          <w:szCs w:val="28"/>
        </w:rPr>
        <w:t>своєчасно не сплачених сум</w:t>
      </w:r>
      <w:bookmarkEnd w:id="18"/>
      <w:r w:rsidR="00A624F3" w:rsidRPr="00A624F3">
        <w:rPr>
          <w:rFonts w:cs="Times New Roman"/>
          <w:szCs w:val="28"/>
        </w:rPr>
        <w:t>;</w:t>
      </w:r>
    </w:p>
    <w:p w:rsidR="00A624F3" w:rsidRPr="00A624F3" w:rsidRDefault="00A624F3" w:rsidP="00A624F3">
      <w:pPr>
        <w:ind w:firstLine="567"/>
        <w:rPr>
          <w:rFonts w:cs="Times New Roman"/>
          <w:szCs w:val="28"/>
        </w:rPr>
      </w:pPr>
      <w:bookmarkStart w:id="19" w:name="n458"/>
      <w:bookmarkEnd w:id="19"/>
      <w:r w:rsidRPr="00A624F3">
        <w:rPr>
          <w:rFonts w:cs="Times New Roman"/>
          <w:szCs w:val="28"/>
        </w:rPr>
        <w:t>2) за донарахування податковим органом або платником несвоєчасно нарахованого внеску – у розмірі 10 відсотків зазначеної суми за кожний звітний період, за який донараховано таку суму, але не більш як 50 відсотків суми донарахованого внеску;</w:t>
      </w:r>
    </w:p>
    <w:p w:rsidR="00A624F3" w:rsidRPr="00A624F3" w:rsidRDefault="00A624F3" w:rsidP="00A624F3">
      <w:pPr>
        <w:ind w:firstLine="567"/>
        <w:rPr>
          <w:rFonts w:cs="Times New Roman"/>
          <w:szCs w:val="28"/>
        </w:rPr>
      </w:pPr>
      <w:bookmarkStart w:id="20" w:name="n459"/>
      <w:bookmarkEnd w:id="20"/>
      <w:r w:rsidRPr="00A624F3">
        <w:rPr>
          <w:rFonts w:cs="Times New Roman"/>
          <w:szCs w:val="28"/>
        </w:rPr>
        <w:t>3) за неподання, несвоєчасне подання, подання не за встановленою формою звітності про нарахування внеску – у розмірі 10 неоподатковуваних мінімумів доходів громадян</w:t>
      </w:r>
      <w:r w:rsidR="003A4187">
        <w:rPr>
          <w:rFonts w:cs="Times New Roman"/>
          <w:szCs w:val="28"/>
        </w:rPr>
        <w:t>»</w:t>
      </w:r>
      <w:r w:rsidRPr="00A624F3">
        <w:rPr>
          <w:rFonts w:cs="Times New Roman"/>
          <w:szCs w:val="28"/>
        </w:rPr>
        <w:t>.</w:t>
      </w:r>
    </w:p>
    <w:p w:rsidR="00A624F3" w:rsidRDefault="00A624F3" w:rsidP="00A624F3">
      <w:pPr>
        <w:ind w:firstLine="567"/>
        <w:rPr>
          <w:rFonts w:cs="Times New Roman"/>
          <w:bCs/>
          <w:szCs w:val="28"/>
        </w:rPr>
      </w:pPr>
      <w:bookmarkStart w:id="21" w:name="n460"/>
      <w:bookmarkEnd w:id="21"/>
      <w:r>
        <w:rPr>
          <w:rFonts w:cs="Times New Roman"/>
          <w:szCs w:val="28"/>
        </w:rPr>
        <w:t xml:space="preserve">Проєктом акта затверджується </w:t>
      </w:r>
      <w:r w:rsidRPr="00A624F3">
        <w:rPr>
          <w:rFonts w:cs="Times New Roman"/>
          <w:szCs w:val="28"/>
        </w:rPr>
        <w:t xml:space="preserve">Порядок </w:t>
      </w:r>
      <w:bookmarkStart w:id="22" w:name="_Hlk204174483"/>
      <w:r w:rsidRPr="00A624F3">
        <w:rPr>
          <w:rFonts w:cs="Times New Roman"/>
          <w:bCs/>
          <w:szCs w:val="28"/>
        </w:rPr>
        <w:t>прийняття рішення посадовою особою податкового органу про нарахування пені та накладення штрафу на платників внеску</w:t>
      </w:r>
      <w:r>
        <w:rPr>
          <w:rFonts w:cs="Times New Roman"/>
          <w:bCs/>
          <w:szCs w:val="28"/>
        </w:rPr>
        <w:t>, відповідні форми рішень</w:t>
      </w:r>
      <w:r w:rsidRPr="00A624F3">
        <w:rPr>
          <w:rFonts w:cs="Times New Roman"/>
          <w:bCs/>
          <w:szCs w:val="28"/>
        </w:rPr>
        <w:t xml:space="preserve"> </w:t>
      </w:r>
      <w:r>
        <w:rPr>
          <w:rFonts w:cs="Times New Roman"/>
          <w:bCs/>
          <w:szCs w:val="28"/>
        </w:rPr>
        <w:t xml:space="preserve">та направлення таких рішень платникам </w:t>
      </w:r>
      <w:r w:rsidR="00357322">
        <w:rPr>
          <w:rFonts w:cs="Times New Roman"/>
          <w:bCs/>
          <w:szCs w:val="28"/>
        </w:rPr>
        <w:t>в</w:t>
      </w:r>
      <w:r>
        <w:rPr>
          <w:rFonts w:cs="Times New Roman"/>
          <w:bCs/>
          <w:szCs w:val="28"/>
        </w:rPr>
        <w:t>неску.</w:t>
      </w:r>
    </w:p>
    <w:p w:rsidR="00A624F3" w:rsidRDefault="00A624F3" w:rsidP="00A624F3">
      <w:pPr>
        <w:ind w:firstLine="567"/>
        <w:rPr>
          <w:rFonts w:cs="Times New Roman"/>
          <w:bCs/>
          <w:szCs w:val="28"/>
        </w:rPr>
      </w:pPr>
    </w:p>
    <w:bookmarkEnd w:id="22"/>
    <w:p w:rsidR="00AB7D7D" w:rsidRPr="000660BE" w:rsidRDefault="00AB7D7D" w:rsidP="00ED4770">
      <w:pPr>
        <w:ind w:firstLine="567"/>
        <w:rPr>
          <w:rFonts w:cs="Times New Roman"/>
          <w:b/>
          <w:szCs w:val="28"/>
        </w:rPr>
      </w:pPr>
      <w:r w:rsidRPr="000660BE">
        <w:rPr>
          <w:rFonts w:cs="Times New Roman"/>
          <w:b/>
          <w:szCs w:val="28"/>
        </w:rPr>
        <w:lastRenderedPageBreak/>
        <w:t>4. Правові аспекти</w:t>
      </w:r>
    </w:p>
    <w:p w:rsidR="0015693F" w:rsidRDefault="00717DD0" w:rsidP="00ED4770">
      <w:pPr>
        <w:ind w:firstLine="567"/>
        <w:rPr>
          <w:szCs w:val="28"/>
        </w:rPr>
      </w:pPr>
      <w:r>
        <w:rPr>
          <w:rFonts w:cs="Times New Roman"/>
          <w:szCs w:val="28"/>
        </w:rPr>
        <w:t xml:space="preserve">Проєкт акта розроблено відповідно до </w:t>
      </w:r>
      <w:r w:rsidR="003859A0">
        <w:t xml:space="preserve">Закону України від 15 січня 2025 року № 4219 «Про внесення змін до деяких законодавчих актів України щодо забезпечення права осіб з інвалідністю на працю», Положення про Міністерство фінансів України, затвердженого постановою Кабінету Міністрів України </w:t>
      </w:r>
      <w:r w:rsidR="003859A0">
        <w:br/>
        <w:t>від 20 серпня 2014 року № 375.</w:t>
      </w:r>
    </w:p>
    <w:p w:rsidR="000660BE" w:rsidRDefault="000660BE" w:rsidP="00ED4770">
      <w:pPr>
        <w:ind w:firstLine="567"/>
        <w:rPr>
          <w:rFonts w:cs="Times New Roman"/>
          <w:szCs w:val="28"/>
        </w:rPr>
      </w:pPr>
    </w:p>
    <w:p w:rsidR="00AB7D7D" w:rsidRPr="004942AC" w:rsidRDefault="00AB7D7D" w:rsidP="00ED4770">
      <w:pPr>
        <w:ind w:firstLine="567"/>
        <w:rPr>
          <w:rFonts w:cs="Times New Roman"/>
          <w:b/>
          <w:szCs w:val="28"/>
        </w:rPr>
      </w:pPr>
      <w:r w:rsidRPr="004942AC">
        <w:rPr>
          <w:rFonts w:cs="Times New Roman"/>
          <w:b/>
          <w:szCs w:val="28"/>
        </w:rPr>
        <w:t>5. Фінансово-економічне обґрунтування</w:t>
      </w:r>
    </w:p>
    <w:p w:rsidR="00AB7D7D" w:rsidRPr="001D1605" w:rsidRDefault="00B528BC" w:rsidP="00ED4770">
      <w:pPr>
        <w:ind w:firstLine="567"/>
        <w:rPr>
          <w:rFonts w:cs="Times New Roman"/>
          <w:szCs w:val="28"/>
        </w:rPr>
      </w:pPr>
      <w:r w:rsidRPr="00B528BC">
        <w:rPr>
          <w:rFonts w:cs="Times New Roman"/>
          <w:szCs w:val="28"/>
        </w:rPr>
        <w:t xml:space="preserve">Реалізація </w:t>
      </w:r>
      <w:r w:rsidR="00357322">
        <w:rPr>
          <w:rFonts w:cs="Times New Roman"/>
          <w:szCs w:val="28"/>
        </w:rPr>
        <w:t>п</w:t>
      </w:r>
      <w:r w:rsidR="000D43B3">
        <w:rPr>
          <w:rFonts w:cs="Times New Roman"/>
          <w:szCs w:val="28"/>
        </w:rPr>
        <w:t xml:space="preserve">роєкту </w:t>
      </w:r>
      <w:r w:rsidRPr="00B528BC">
        <w:rPr>
          <w:rFonts w:cs="Times New Roman"/>
          <w:szCs w:val="28"/>
        </w:rPr>
        <w:t xml:space="preserve">акта </w:t>
      </w:r>
      <w:r w:rsidR="000D43B3">
        <w:rPr>
          <w:rFonts w:cs="Times New Roman"/>
          <w:szCs w:val="28"/>
        </w:rPr>
        <w:t>не потребуватиме додаткових фінансових витрат</w:t>
      </w:r>
      <w:r w:rsidR="00AB7D7D" w:rsidRPr="001D1605">
        <w:rPr>
          <w:rFonts w:cs="Times New Roman"/>
          <w:szCs w:val="28"/>
        </w:rPr>
        <w:t xml:space="preserve"> </w:t>
      </w:r>
      <w:r w:rsidR="00A65F8F">
        <w:rPr>
          <w:rFonts w:cs="Times New Roman"/>
          <w:szCs w:val="28"/>
        </w:rPr>
        <w:t>і</w:t>
      </w:r>
      <w:r w:rsidR="00AB7D7D" w:rsidRPr="001D1605">
        <w:rPr>
          <w:rFonts w:cs="Times New Roman"/>
          <w:szCs w:val="28"/>
        </w:rPr>
        <w:t xml:space="preserve">з </w:t>
      </w:r>
      <w:r w:rsidR="001D1605" w:rsidRPr="001D1605">
        <w:rPr>
          <w:rFonts w:cs="Times New Roman"/>
          <w:szCs w:val="28"/>
        </w:rPr>
        <w:t>державного чи місцевих бюджетів</w:t>
      </w:r>
      <w:r w:rsidR="00AB7D7D" w:rsidRPr="001D1605">
        <w:rPr>
          <w:rFonts w:cs="Times New Roman"/>
          <w:szCs w:val="28"/>
        </w:rPr>
        <w:t>.</w:t>
      </w:r>
    </w:p>
    <w:p w:rsidR="00B21BEC" w:rsidRPr="00F67AB1" w:rsidRDefault="00B21BEC" w:rsidP="00ED4770">
      <w:pPr>
        <w:ind w:firstLine="567"/>
        <w:rPr>
          <w:rFonts w:cs="Times New Roman"/>
          <w:szCs w:val="28"/>
          <w:highlight w:val="yellow"/>
        </w:rPr>
      </w:pPr>
    </w:p>
    <w:p w:rsidR="00AB7D7D" w:rsidRPr="001D1605" w:rsidRDefault="00AB7D7D" w:rsidP="00ED4770">
      <w:pPr>
        <w:ind w:firstLine="567"/>
        <w:rPr>
          <w:rFonts w:cs="Times New Roman"/>
          <w:b/>
          <w:szCs w:val="28"/>
        </w:rPr>
      </w:pPr>
      <w:r w:rsidRPr="001D1605">
        <w:rPr>
          <w:rFonts w:cs="Times New Roman"/>
          <w:b/>
          <w:szCs w:val="28"/>
        </w:rPr>
        <w:t>6. Позиція заінтересованих сторін</w:t>
      </w:r>
    </w:p>
    <w:p w:rsidR="00086399" w:rsidRDefault="00086399" w:rsidP="00ED4770">
      <w:pPr>
        <w:ind w:firstLine="567"/>
        <w:rPr>
          <w:rFonts w:cs="Times New Roman"/>
          <w:szCs w:val="28"/>
        </w:rPr>
      </w:pPr>
      <w:r w:rsidRPr="00086399">
        <w:rPr>
          <w:rFonts w:cs="Times New Roman"/>
          <w:szCs w:val="28"/>
        </w:rPr>
        <w:t>Проєкт акта не стосується сфери наукової та науково-технічної діяльності.</w:t>
      </w:r>
    </w:p>
    <w:p w:rsidR="000660BE" w:rsidRPr="00086399" w:rsidRDefault="000660BE" w:rsidP="00ED4770">
      <w:pPr>
        <w:ind w:firstLine="567"/>
        <w:rPr>
          <w:rFonts w:cs="Times New Roman"/>
          <w:szCs w:val="28"/>
        </w:rPr>
      </w:pPr>
      <w:r>
        <w:rPr>
          <w:rFonts w:cs="Times New Roman"/>
          <w:szCs w:val="28"/>
        </w:rPr>
        <w:t>Проєкт акта підлягає державній реєстрації у Міністерстві юстиції України.</w:t>
      </w:r>
    </w:p>
    <w:p w:rsidR="002D4D54" w:rsidRPr="004D6268" w:rsidRDefault="00086399" w:rsidP="002D4D54">
      <w:pPr>
        <w:pStyle w:val="2"/>
        <w:spacing w:before="0" w:beforeAutospacing="0" w:after="0" w:afterAutospacing="0"/>
        <w:ind w:firstLine="567"/>
        <w:jc w:val="both"/>
        <w:rPr>
          <w:b w:val="0"/>
          <w:sz w:val="28"/>
          <w:szCs w:val="28"/>
          <w:lang w:val="uk-UA"/>
        </w:rPr>
      </w:pPr>
      <w:r w:rsidRPr="002D4D54">
        <w:rPr>
          <w:b w:val="0"/>
          <w:sz w:val="28"/>
          <w:szCs w:val="28"/>
          <w:lang w:val="uk-UA"/>
        </w:rPr>
        <w:t>Проєкт акта потребує погодження з</w:t>
      </w:r>
      <w:r w:rsidR="002D4D54" w:rsidRPr="002D4D54">
        <w:rPr>
          <w:b w:val="0"/>
          <w:sz w:val="28"/>
          <w:szCs w:val="28"/>
          <w:lang w:val="uk-UA"/>
        </w:rPr>
        <w:t xml:space="preserve"> Міністерством</w:t>
      </w:r>
      <w:r w:rsidR="002D4D54" w:rsidRPr="004D6268">
        <w:rPr>
          <w:b w:val="0"/>
          <w:sz w:val="28"/>
          <w:szCs w:val="28"/>
          <w:lang w:val="uk-UA"/>
        </w:rPr>
        <w:t xml:space="preserve"> соціальної політики</w:t>
      </w:r>
      <w:r w:rsidR="002D4D54">
        <w:rPr>
          <w:b w:val="0"/>
          <w:sz w:val="28"/>
          <w:szCs w:val="28"/>
          <w:lang w:val="uk-UA"/>
        </w:rPr>
        <w:t xml:space="preserve">, сім’ї та єдності </w:t>
      </w:r>
      <w:r w:rsidR="002D4D54" w:rsidRPr="004D6268">
        <w:rPr>
          <w:b w:val="0"/>
          <w:sz w:val="28"/>
          <w:szCs w:val="28"/>
          <w:lang w:val="uk-UA"/>
        </w:rPr>
        <w:t>України, Міністерством цифрової трансформації України, Державною податковою службою України, Пенсійним фондом України, Державною регуляторною службою України, Спільним представницьким органом репрезентативних всеукраїнських об’єднань профспілок на національному рівні, Спільним представницьким органом сторони роботодавців на національному рівні та Спілкою орендарів і підприємців України.</w:t>
      </w:r>
    </w:p>
    <w:p w:rsidR="00086399" w:rsidRPr="009D1153" w:rsidRDefault="00086399" w:rsidP="00ED4770">
      <w:pPr>
        <w:ind w:firstLine="567"/>
        <w:rPr>
          <w:rFonts w:cs="Times New Roman"/>
          <w:szCs w:val="28"/>
          <w:highlight w:val="yellow"/>
        </w:rPr>
      </w:pPr>
    </w:p>
    <w:p w:rsidR="00AB7D7D" w:rsidRPr="00807310" w:rsidRDefault="00AB7D7D" w:rsidP="00ED4770">
      <w:pPr>
        <w:ind w:firstLine="567"/>
        <w:rPr>
          <w:rFonts w:cs="Times New Roman"/>
          <w:b/>
          <w:szCs w:val="28"/>
        </w:rPr>
      </w:pPr>
      <w:r w:rsidRPr="000660BE">
        <w:rPr>
          <w:rFonts w:cs="Times New Roman"/>
          <w:b/>
          <w:szCs w:val="28"/>
        </w:rPr>
        <w:t>7. Оцінка відповідності</w:t>
      </w:r>
    </w:p>
    <w:p w:rsidR="00AB7D7D" w:rsidRDefault="001D1605" w:rsidP="00ED4770">
      <w:pPr>
        <w:ind w:firstLine="567"/>
        <w:rPr>
          <w:rFonts w:cs="Times New Roman"/>
          <w:szCs w:val="28"/>
        </w:rPr>
      </w:pPr>
      <w:r w:rsidRPr="0067018E">
        <w:rPr>
          <w:rFonts w:cs="Times New Roman"/>
          <w:szCs w:val="28"/>
        </w:rPr>
        <w:t>У</w:t>
      </w:r>
      <w:r w:rsidR="00AB7D7D" w:rsidRPr="0067018E">
        <w:rPr>
          <w:rFonts w:cs="Times New Roman"/>
          <w:szCs w:val="28"/>
        </w:rPr>
        <w:t xml:space="preserve"> </w:t>
      </w:r>
      <w:r w:rsidR="00357322">
        <w:rPr>
          <w:rFonts w:cs="Times New Roman"/>
          <w:szCs w:val="28"/>
        </w:rPr>
        <w:t>п</w:t>
      </w:r>
      <w:r w:rsidR="00AB7D7D" w:rsidRPr="0067018E">
        <w:rPr>
          <w:rFonts w:cs="Times New Roman"/>
          <w:szCs w:val="28"/>
        </w:rPr>
        <w:t>ро</w:t>
      </w:r>
      <w:r w:rsidR="0054618F" w:rsidRPr="0067018E">
        <w:rPr>
          <w:rFonts w:cs="Times New Roman"/>
          <w:szCs w:val="28"/>
        </w:rPr>
        <w:t>є</w:t>
      </w:r>
      <w:r w:rsidR="0063158D" w:rsidRPr="0067018E">
        <w:rPr>
          <w:rFonts w:cs="Times New Roman"/>
          <w:szCs w:val="28"/>
        </w:rPr>
        <w:t xml:space="preserve">кті </w:t>
      </w:r>
      <w:r w:rsidR="00485EB2">
        <w:rPr>
          <w:rFonts w:cs="Times New Roman"/>
          <w:szCs w:val="28"/>
        </w:rPr>
        <w:t xml:space="preserve">акта </w:t>
      </w:r>
      <w:r w:rsidR="0063158D">
        <w:rPr>
          <w:rFonts w:cs="Times New Roman"/>
          <w:szCs w:val="28"/>
        </w:rPr>
        <w:t xml:space="preserve">відсутні </w:t>
      </w:r>
      <w:r w:rsidR="0067018E">
        <w:rPr>
          <w:rFonts w:cs="Times New Roman"/>
          <w:szCs w:val="28"/>
        </w:rPr>
        <w:t>положення,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виникнути під час реалізації акта.</w:t>
      </w:r>
    </w:p>
    <w:p w:rsidR="001E3C91" w:rsidRPr="00807310" w:rsidRDefault="001E3C91" w:rsidP="00ED4770">
      <w:pPr>
        <w:ind w:firstLine="567"/>
        <w:rPr>
          <w:rFonts w:cs="Times New Roman"/>
          <w:szCs w:val="28"/>
        </w:rPr>
      </w:pPr>
      <w:r>
        <w:rPr>
          <w:rFonts w:cs="Times New Roman"/>
          <w:szCs w:val="28"/>
        </w:rPr>
        <w:t>Проєкт акта не потребує проведення громадської антикорупційної та громадської антидискримінаційної експертизи.</w:t>
      </w:r>
    </w:p>
    <w:p w:rsidR="003859A0" w:rsidRDefault="003859A0" w:rsidP="00ED4770">
      <w:pPr>
        <w:ind w:firstLine="567"/>
        <w:rPr>
          <w:rFonts w:cs="Times New Roman"/>
          <w:b/>
          <w:szCs w:val="28"/>
        </w:rPr>
      </w:pPr>
    </w:p>
    <w:p w:rsidR="00AB7D7D" w:rsidRPr="005A58B3" w:rsidRDefault="00AB7D7D" w:rsidP="00ED4770">
      <w:pPr>
        <w:ind w:firstLine="567"/>
        <w:rPr>
          <w:rFonts w:cs="Times New Roman"/>
          <w:b/>
          <w:szCs w:val="28"/>
        </w:rPr>
      </w:pPr>
      <w:r w:rsidRPr="005A58B3">
        <w:rPr>
          <w:rFonts w:cs="Times New Roman"/>
          <w:b/>
          <w:szCs w:val="28"/>
        </w:rPr>
        <w:t>8. Прогноз результатів</w:t>
      </w:r>
    </w:p>
    <w:p w:rsidR="00AB7D7D" w:rsidRDefault="005A58B3" w:rsidP="005A58B3">
      <w:pPr>
        <w:ind w:firstLine="567"/>
        <w:rPr>
          <w:rFonts w:cs="Times New Roman"/>
          <w:szCs w:val="28"/>
        </w:rPr>
      </w:pPr>
      <w:r w:rsidRPr="005A58B3">
        <w:rPr>
          <w:rFonts w:cs="Times New Roman"/>
          <w:szCs w:val="28"/>
        </w:rPr>
        <w:t>Р</w:t>
      </w:r>
      <w:r w:rsidR="00AB7D7D" w:rsidRPr="005A58B3">
        <w:rPr>
          <w:rFonts w:cs="Times New Roman"/>
          <w:szCs w:val="28"/>
        </w:rPr>
        <w:t xml:space="preserve">еалізація </w:t>
      </w:r>
      <w:r w:rsidR="00357322">
        <w:rPr>
          <w:rFonts w:cs="Times New Roman"/>
          <w:szCs w:val="28"/>
        </w:rPr>
        <w:t>п</w:t>
      </w:r>
      <w:r w:rsidR="009D1153">
        <w:rPr>
          <w:rFonts w:cs="Times New Roman"/>
          <w:szCs w:val="28"/>
        </w:rPr>
        <w:t>роєкту</w:t>
      </w:r>
      <w:r w:rsidR="005C26DC">
        <w:rPr>
          <w:rFonts w:cs="Times New Roman"/>
          <w:szCs w:val="28"/>
        </w:rPr>
        <w:t xml:space="preserve"> </w:t>
      </w:r>
      <w:r w:rsidR="00AB7D7D" w:rsidRPr="005A58B3">
        <w:rPr>
          <w:rFonts w:cs="Times New Roman"/>
          <w:szCs w:val="28"/>
        </w:rPr>
        <w:t xml:space="preserve">акта </w:t>
      </w:r>
      <w:r w:rsidRPr="005A58B3">
        <w:rPr>
          <w:rFonts w:cs="Times New Roman"/>
          <w:szCs w:val="28"/>
        </w:rPr>
        <w:t xml:space="preserve">не </w:t>
      </w:r>
      <w:r w:rsidR="00AB7D7D" w:rsidRPr="005A58B3">
        <w:rPr>
          <w:rFonts w:cs="Times New Roman"/>
          <w:szCs w:val="28"/>
        </w:rPr>
        <w:t>мат</w:t>
      </w:r>
      <w:r w:rsidRPr="005A58B3">
        <w:rPr>
          <w:rFonts w:cs="Times New Roman"/>
          <w:szCs w:val="28"/>
        </w:rPr>
        <w:t>име вплив на ринкове середовище</w:t>
      </w:r>
      <w:r w:rsidR="00AB7D7D" w:rsidRPr="005A58B3">
        <w:rPr>
          <w:rFonts w:cs="Times New Roman"/>
          <w:szCs w:val="28"/>
        </w:rPr>
        <w:t xml:space="preserve">; розвиток регіонів, підвищення чи зниження спроможності територіальних громад; ринок праці, рівень зайнятості населення; громадське </w:t>
      </w:r>
      <w:r w:rsidRPr="005A58B3">
        <w:rPr>
          <w:rFonts w:cs="Times New Roman"/>
          <w:szCs w:val="28"/>
        </w:rPr>
        <w:t>здоров’я</w:t>
      </w:r>
      <w:r w:rsidR="00AB7D7D" w:rsidRPr="005A58B3">
        <w:rPr>
          <w:rFonts w:cs="Times New Roman"/>
          <w:szCs w:val="28"/>
        </w:rPr>
        <w:t xml:space="preserve">, покращення чи погіршення стану </w:t>
      </w:r>
      <w:r w:rsidRPr="005A58B3">
        <w:rPr>
          <w:rFonts w:cs="Times New Roman"/>
          <w:szCs w:val="28"/>
        </w:rPr>
        <w:t>здоров’я</w:t>
      </w:r>
      <w:r w:rsidR="00AB7D7D" w:rsidRPr="005A58B3">
        <w:rPr>
          <w:rFonts w:cs="Times New Roman"/>
          <w:szCs w:val="28"/>
        </w:rPr>
        <w:t xml:space="preserve">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w:t>
      </w:r>
      <w:r w:rsidR="00F7620E">
        <w:rPr>
          <w:rFonts w:cs="Times New Roman"/>
          <w:szCs w:val="28"/>
        </w:rPr>
        <w:t>одами, інші суспільні відносини</w:t>
      </w:r>
      <w:r w:rsidR="00AB7D7D" w:rsidRPr="005A58B3">
        <w:rPr>
          <w:rFonts w:cs="Times New Roman"/>
          <w:szCs w:val="28"/>
        </w:rPr>
        <w:t>.</w:t>
      </w:r>
    </w:p>
    <w:p w:rsidR="003E3CB6" w:rsidRDefault="003E3CB6" w:rsidP="003E3CB6">
      <w:pPr>
        <w:ind w:firstLine="567"/>
        <w:rPr>
          <w:rFonts w:cs="Times New Roman"/>
          <w:szCs w:val="28"/>
        </w:rPr>
      </w:pPr>
      <w:r w:rsidRPr="005A58B3">
        <w:rPr>
          <w:rFonts w:cs="Times New Roman"/>
          <w:szCs w:val="28"/>
        </w:rPr>
        <w:t xml:space="preserve">Реалізація </w:t>
      </w:r>
      <w:r w:rsidR="00357322">
        <w:rPr>
          <w:rFonts w:cs="Times New Roman"/>
          <w:szCs w:val="28"/>
        </w:rPr>
        <w:t>п</w:t>
      </w:r>
      <w:r w:rsidR="00515977">
        <w:rPr>
          <w:rFonts w:cs="Times New Roman"/>
          <w:szCs w:val="28"/>
        </w:rPr>
        <w:t>роєкту</w:t>
      </w:r>
      <w:r>
        <w:rPr>
          <w:rFonts w:cs="Times New Roman"/>
          <w:szCs w:val="28"/>
        </w:rPr>
        <w:t xml:space="preserve"> </w:t>
      </w:r>
      <w:r w:rsidRPr="005A58B3">
        <w:rPr>
          <w:rFonts w:cs="Times New Roman"/>
          <w:szCs w:val="28"/>
        </w:rPr>
        <w:t>акта матиме вплив на забезпечення захисту прав та інтересів суб’єктів господарювання, громадян і держави.</w:t>
      </w:r>
    </w:p>
    <w:p w:rsidR="007B1BAE" w:rsidRDefault="007B1BAE" w:rsidP="003E3CB6">
      <w:pPr>
        <w:ind w:firstLine="567"/>
        <w:rPr>
          <w:rFonts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3"/>
        <w:gridCol w:w="4082"/>
      </w:tblGrid>
      <w:tr w:rsidR="00AB7D7D" w:rsidRPr="00AB7D7D" w:rsidTr="003859A0">
        <w:tc>
          <w:tcPr>
            <w:tcW w:w="2014" w:type="dxa"/>
            <w:vAlign w:val="center"/>
          </w:tcPr>
          <w:p w:rsidR="00AB7D7D" w:rsidRPr="00174112" w:rsidRDefault="00AB7D7D" w:rsidP="00B8022F">
            <w:pPr>
              <w:jc w:val="center"/>
              <w:rPr>
                <w:rFonts w:cs="Times New Roman"/>
                <w:szCs w:val="28"/>
              </w:rPr>
            </w:pPr>
            <w:r w:rsidRPr="00174112">
              <w:rPr>
                <w:rFonts w:cs="Times New Roman"/>
                <w:szCs w:val="28"/>
              </w:rPr>
              <w:lastRenderedPageBreak/>
              <w:t>Заінтересована сторона</w:t>
            </w:r>
          </w:p>
        </w:tc>
        <w:tc>
          <w:tcPr>
            <w:tcW w:w="3543" w:type="dxa"/>
            <w:vAlign w:val="center"/>
          </w:tcPr>
          <w:p w:rsidR="00AB7D7D" w:rsidRPr="00174112" w:rsidRDefault="00AB7D7D" w:rsidP="00B8022F">
            <w:pPr>
              <w:jc w:val="center"/>
              <w:rPr>
                <w:rFonts w:cs="Times New Roman"/>
                <w:szCs w:val="28"/>
              </w:rPr>
            </w:pPr>
            <w:r w:rsidRPr="00174112">
              <w:rPr>
                <w:rFonts w:cs="Times New Roman"/>
                <w:szCs w:val="28"/>
              </w:rPr>
              <w:t>Вплив реалізації акта на заінтересовану сторону</w:t>
            </w:r>
          </w:p>
        </w:tc>
        <w:tc>
          <w:tcPr>
            <w:tcW w:w="4082" w:type="dxa"/>
            <w:vAlign w:val="center"/>
          </w:tcPr>
          <w:p w:rsidR="00AB7D7D" w:rsidRPr="00AB7D7D" w:rsidRDefault="00AB7D7D" w:rsidP="00B8022F">
            <w:pPr>
              <w:jc w:val="center"/>
              <w:rPr>
                <w:rFonts w:cs="Times New Roman"/>
                <w:szCs w:val="28"/>
              </w:rPr>
            </w:pPr>
            <w:r w:rsidRPr="00174112">
              <w:rPr>
                <w:rFonts w:cs="Times New Roman"/>
                <w:szCs w:val="28"/>
              </w:rPr>
              <w:t>Пояснення очікуваного впливу</w:t>
            </w:r>
          </w:p>
        </w:tc>
      </w:tr>
      <w:tr w:rsidR="003E3CB6" w:rsidRPr="00B21BEC" w:rsidTr="003859A0">
        <w:trPr>
          <w:trHeight w:val="2513"/>
        </w:trPr>
        <w:tc>
          <w:tcPr>
            <w:tcW w:w="2014" w:type="dxa"/>
          </w:tcPr>
          <w:p w:rsidR="00515977" w:rsidRDefault="00515977" w:rsidP="00B8022F">
            <w:pPr>
              <w:rPr>
                <w:szCs w:val="24"/>
              </w:rPr>
            </w:pPr>
            <w:r>
              <w:rPr>
                <w:szCs w:val="24"/>
              </w:rPr>
              <w:t xml:space="preserve">Податкові органи </w:t>
            </w:r>
          </w:p>
          <w:p w:rsidR="00515977" w:rsidRDefault="00515977" w:rsidP="00B8022F">
            <w:pPr>
              <w:rPr>
                <w:szCs w:val="24"/>
              </w:rPr>
            </w:pPr>
          </w:p>
          <w:p w:rsidR="003E3CB6" w:rsidRPr="00B21BEC" w:rsidRDefault="00A57A8C" w:rsidP="00B8022F">
            <w:pPr>
              <w:rPr>
                <w:szCs w:val="24"/>
              </w:rPr>
            </w:pPr>
            <w:r>
              <w:rPr>
                <w:szCs w:val="24"/>
              </w:rPr>
              <w:t xml:space="preserve">Платники </w:t>
            </w:r>
            <w:r w:rsidR="00357322">
              <w:rPr>
                <w:szCs w:val="24"/>
              </w:rPr>
              <w:t>в</w:t>
            </w:r>
            <w:r w:rsidR="00B25A16">
              <w:rPr>
                <w:szCs w:val="24"/>
              </w:rPr>
              <w:t>неску</w:t>
            </w:r>
          </w:p>
          <w:p w:rsidR="003E3CB6" w:rsidRPr="00B21BEC" w:rsidRDefault="003E3CB6" w:rsidP="00B8022F">
            <w:pPr>
              <w:rPr>
                <w:szCs w:val="24"/>
              </w:rPr>
            </w:pPr>
          </w:p>
          <w:p w:rsidR="003E3CB6" w:rsidRPr="00B21BEC" w:rsidRDefault="003E3CB6" w:rsidP="00B8022F">
            <w:pPr>
              <w:rPr>
                <w:rFonts w:cs="Times New Roman"/>
                <w:szCs w:val="28"/>
              </w:rPr>
            </w:pPr>
          </w:p>
        </w:tc>
        <w:tc>
          <w:tcPr>
            <w:tcW w:w="3543" w:type="dxa"/>
          </w:tcPr>
          <w:p w:rsidR="003E3CB6" w:rsidRPr="00B21BEC" w:rsidRDefault="003E3CB6" w:rsidP="00B25A16">
            <w:pPr>
              <w:ind w:firstLine="294"/>
              <w:rPr>
                <w:rFonts w:cs="Times New Roman"/>
                <w:szCs w:val="28"/>
              </w:rPr>
            </w:pPr>
            <w:r w:rsidRPr="00B21BEC">
              <w:rPr>
                <w:rFonts w:cs="Times New Roman"/>
                <w:szCs w:val="28"/>
              </w:rPr>
              <w:t>Позитивний</w:t>
            </w:r>
            <w:r w:rsidR="001D2CFE">
              <w:rPr>
                <w:rFonts w:cs="Times New Roman"/>
                <w:szCs w:val="28"/>
              </w:rPr>
              <w:t xml:space="preserve">, забезпечить </w:t>
            </w:r>
            <w:r w:rsidR="00515977">
              <w:rPr>
                <w:rFonts w:cs="Times New Roman"/>
                <w:szCs w:val="28"/>
              </w:rPr>
              <w:t xml:space="preserve">встановлення </w:t>
            </w:r>
            <w:r w:rsidR="00A624F3">
              <w:rPr>
                <w:rFonts w:cs="Times New Roman"/>
                <w:szCs w:val="28"/>
              </w:rPr>
              <w:t xml:space="preserve">єдиного порядку </w:t>
            </w:r>
            <w:r w:rsidR="00A624F3" w:rsidRPr="00A624F3">
              <w:rPr>
                <w:rFonts w:cs="Times New Roman"/>
                <w:bCs/>
                <w:szCs w:val="28"/>
              </w:rPr>
              <w:t xml:space="preserve">прийняття рішення посадовою особою податкового органу про нарахування пені та накладення штрафу на платників </w:t>
            </w:r>
            <w:r w:rsidR="00357322">
              <w:rPr>
                <w:rFonts w:cs="Times New Roman"/>
                <w:bCs/>
                <w:szCs w:val="28"/>
              </w:rPr>
              <w:t>в</w:t>
            </w:r>
            <w:r w:rsidR="00A624F3" w:rsidRPr="00A624F3">
              <w:rPr>
                <w:rFonts w:cs="Times New Roman"/>
                <w:bCs/>
                <w:szCs w:val="28"/>
              </w:rPr>
              <w:t>неску</w:t>
            </w:r>
            <w:r w:rsidR="003859A0">
              <w:rPr>
                <w:rFonts w:cs="Times New Roman"/>
                <w:bCs/>
                <w:szCs w:val="28"/>
              </w:rPr>
              <w:t>.</w:t>
            </w:r>
          </w:p>
        </w:tc>
        <w:tc>
          <w:tcPr>
            <w:tcW w:w="4082" w:type="dxa"/>
          </w:tcPr>
          <w:p w:rsidR="001D4473" w:rsidRDefault="00BA186E" w:rsidP="00B25A16">
            <w:pPr>
              <w:ind w:firstLine="294"/>
              <w:rPr>
                <w:szCs w:val="24"/>
              </w:rPr>
            </w:pPr>
            <w:r>
              <w:rPr>
                <w:szCs w:val="24"/>
              </w:rPr>
              <w:t xml:space="preserve">Прийняття </w:t>
            </w:r>
            <w:r w:rsidR="00485EB2">
              <w:rPr>
                <w:szCs w:val="24"/>
              </w:rPr>
              <w:t xml:space="preserve">акта </w:t>
            </w:r>
            <w:r>
              <w:rPr>
                <w:szCs w:val="24"/>
              </w:rPr>
              <w:t>забезпеч</w:t>
            </w:r>
            <w:r w:rsidR="00400626">
              <w:rPr>
                <w:szCs w:val="24"/>
              </w:rPr>
              <w:t>ить</w:t>
            </w:r>
            <w:r>
              <w:rPr>
                <w:szCs w:val="24"/>
              </w:rPr>
              <w:t xml:space="preserve"> захист прав та інтересів </w:t>
            </w:r>
            <w:r w:rsidR="00B25A16">
              <w:rPr>
                <w:szCs w:val="24"/>
              </w:rPr>
              <w:t xml:space="preserve">платників </w:t>
            </w:r>
            <w:r w:rsidR="00357322">
              <w:rPr>
                <w:szCs w:val="24"/>
              </w:rPr>
              <w:t>в</w:t>
            </w:r>
            <w:r w:rsidR="00B25A16">
              <w:rPr>
                <w:szCs w:val="24"/>
              </w:rPr>
              <w:t>неску</w:t>
            </w:r>
            <w:r w:rsidR="002F7FDD">
              <w:rPr>
                <w:szCs w:val="24"/>
              </w:rPr>
              <w:t xml:space="preserve"> під час </w:t>
            </w:r>
            <w:r w:rsidR="001D4473">
              <w:rPr>
                <w:szCs w:val="24"/>
              </w:rPr>
              <w:t xml:space="preserve">застосування податковими </w:t>
            </w:r>
            <w:r w:rsidR="002D4D54">
              <w:rPr>
                <w:szCs w:val="24"/>
              </w:rPr>
              <w:t>органами</w:t>
            </w:r>
            <w:r w:rsidR="001D4473">
              <w:rPr>
                <w:szCs w:val="24"/>
              </w:rPr>
              <w:t xml:space="preserve"> фінансових санкцій.</w:t>
            </w:r>
          </w:p>
          <w:p w:rsidR="003E3CB6" w:rsidRPr="00B21BEC" w:rsidRDefault="003E3CB6" w:rsidP="00B25A16">
            <w:pPr>
              <w:ind w:firstLine="294"/>
              <w:rPr>
                <w:rFonts w:cs="Times New Roman"/>
                <w:szCs w:val="28"/>
              </w:rPr>
            </w:pPr>
          </w:p>
        </w:tc>
      </w:tr>
    </w:tbl>
    <w:p w:rsidR="00B8022F" w:rsidRDefault="00B8022F" w:rsidP="00AB7D7D">
      <w:pPr>
        <w:rPr>
          <w:rFonts w:cs="Times New Roman"/>
          <w:szCs w:val="28"/>
        </w:rPr>
      </w:pPr>
    </w:p>
    <w:p w:rsidR="00B8022F" w:rsidRPr="00AB7D7D" w:rsidRDefault="00B8022F" w:rsidP="00AB7D7D">
      <w:pPr>
        <w:rPr>
          <w:rFonts w:cs="Times New Roman"/>
          <w:szCs w:val="28"/>
        </w:rPr>
      </w:pPr>
    </w:p>
    <w:tbl>
      <w:tblPr>
        <w:tblW w:w="9781" w:type="dxa"/>
        <w:tblInd w:w="108" w:type="dxa"/>
        <w:tblLayout w:type="fixed"/>
        <w:tblLook w:val="0000" w:firstRow="0" w:lastRow="0" w:firstColumn="0" w:lastColumn="0" w:noHBand="0" w:noVBand="0"/>
      </w:tblPr>
      <w:tblGrid>
        <w:gridCol w:w="4219"/>
        <w:gridCol w:w="2693"/>
        <w:gridCol w:w="2869"/>
      </w:tblGrid>
      <w:tr w:rsidR="00AB7D7D" w:rsidRPr="00B21BEC" w:rsidTr="00BD189F">
        <w:tc>
          <w:tcPr>
            <w:tcW w:w="4219" w:type="dxa"/>
            <w:shd w:val="clear" w:color="auto" w:fill="auto"/>
          </w:tcPr>
          <w:p w:rsidR="00AB7D7D" w:rsidRPr="00F05CDB" w:rsidRDefault="00E76308" w:rsidP="00B8022F">
            <w:pPr>
              <w:ind w:left="-108"/>
              <w:rPr>
                <w:rFonts w:cs="Times New Roman"/>
                <w:b/>
                <w:szCs w:val="28"/>
              </w:rPr>
            </w:pPr>
            <w:r w:rsidRPr="00F05CDB">
              <w:rPr>
                <w:rFonts w:cs="Times New Roman"/>
                <w:b/>
                <w:szCs w:val="28"/>
              </w:rPr>
              <w:t>Міністр фінансів України</w:t>
            </w:r>
          </w:p>
        </w:tc>
        <w:tc>
          <w:tcPr>
            <w:tcW w:w="2693" w:type="dxa"/>
            <w:shd w:val="clear" w:color="auto" w:fill="auto"/>
          </w:tcPr>
          <w:p w:rsidR="00AB7D7D" w:rsidRPr="00BD189F" w:rsidRDefault="00AB7D7D" w:rsidP="00B8022F">
            <w:pPr>
              <w:rPr>
                <w:rFonts w:cs="Times New Roman"/>
                <w:b/>
                <w:szCs w:val="28"/>
                <w:highlight w:val="yellow"/>
              </w:rPr>
            </w:pPr>
          </w:p>
        </w:tc>
        <w:tc>
          <w:tcPr>
            <w:tcW w:w="2869" w:type="dxa"/>
            <w:shd w:val="clear" w:color="auto" w:fill="auto"/>
          </w:tcPr>
          <w:p w:rsidR="00AB7D7D" w:rsidRPr="00455F56" w:rsidRDefault="00E76308" w:rsidP="00BD189F">
            <w:pPr>
              <w:ind w:left="-74" w:right="34"/>
              <w:jc w:val="center"/>
              <w:rPr>
                <w:rFonts w:cs="Times New Roman"/>
                <w:b/>
                <w:szCs w:val="28"/>
              </w:rPr>
            </w:pPr>
            <w:r w:rsidRPr="00455F56">
              <w:rPr>
                <w:rFonts w:cs="Times New Roman"/>
                <w:b/>
                <w:szCs w:val="28"/>
              </w:rPr>
              <w:t>Сергій МАРЧЕНКО</w:t>
            </w:r>
          </w:p>
        </w:tc>
      </w:tr>
    </w:tbl>
    <w:p w:rsidR="0040131E" w:rsidRPr="00AB7D7D" w:rsidRDefault="0040131E" w:rsidP="00AB7D7D">
      <w:pPr>
        <w:rPr>
          <w:rFonts w:cs="Times New Roman"/>
          <w:szCs w:val="28"/>
        </w:rPr>
      </w:pPr>
    </w:p>
    <w:p w:rsidR="00AB7D7D" w:rsidRPr="00AB7D7D" w:rsidRDefault="00AB7D7D" w:rsidP="00AB7D7D">
      <w:pPr>
        <w:rPr>
          <w:rFonts w:cs="Times New Roman"/>
          <w:szCs w:val="28"/>
        </w:rPr>
      </w:pPr>
      <w:r w:rsidRPr="00AB7D7D">
        <w:rPr>
          <w:rFonts w:cs="Times New Roman"/>
          <w:szCs w:val="28"/>
        </w:rPr>
        <w:t>___ ____________ 20</w:t>
      </w:r>
      <w:r w:rsidR="00B8022F">
        <w:rPr>
          <w:rFonts w:cs="Times New Roman"/>
          <w:szCs w:val="28"/>
        </w:rPr>
        <w:t>2</w:t>
      </w:r>
      <w:r w:rsidR="003917C4">
        <w:rPr>
          <w:rFonts w:cs="Times New Roman"/>
          <w:szCs w:val="28"/>
        </w:rPr>
        <w:t>6</w:t>
      </w:r>
      <w:r w:rsidRPr="00AB7D7D">
        <w:rPr>
          <w:rFonts w:cs="Times New Roman"/>
          <w:szCs w:val="28"/>
        </w:rPr>
        <w:t xml:space="preserve"> р.</w:t>
      </w:r>
    </w:p>
    <w:sectPr w:rsidR="00AB7D7D" w:rsidRPr="00AB7D7D" w:rsidSect="00C102B1">
      <w:headerReference w:type="default" r:id="rId8"/>
      <w:pgSz w:w="11906" w:h="16838" w:code="9"/>
      <w:pgMar w:top="1134" w:right="567" w:bottom="1134" w:left="1701" w:header="113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3B" w:rsidRDefault="00951C3B" w:rsidP="00AB7D7D">
      <w:r>
        <w:separator/>
      </w:r>
    </w:p>
  </w:endnote>
  <w:endnote w:type="continuationSeparator" w:id="0">
    <w:p w:rsidR="00951C3B" w:rsidRDefault="00951C3B" w:rsidP="00AB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3B" w:rsidRDefault="00951C3B" w:rsidP="00AB7D7D">
      <w:r>
        <w:separator/>
      </w:r>
    </w:p>
  </w:footnote>
  <w:footnote w:type="continuationSeparator" w:id="0">
    <w:p w:rsidR="00951C3B" w:rsidRDefault="00951C3B" w:rsidP="00AB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75154"/>
      <w:docPartObj>
        <w:docPartGallery w:val="Page Numbers (Top of Page)"/>
        <w:docPartUnique/>
      </w:docPartObj>
    </w:sdtPr>
    <w:sdtEndPr>
      <w:rPr>
        <w:szCs w:val="28"/>
      </w:rPr>
    </w:sdtEndPr>
    <w:sdtContent>
      <w:p w:rsidR="00B21BEC" w:rsidRPr="000D2AE0" w:rsidRDefault="00B21BEC">
        <w:pPr>
          <w:pStyle w:val="a3"/>
          <w:jc w:val="center"/>
          <w:rPr>
            <w:szCs w:val="28"/>
          </w:rPr>
        </w:pPr>
        <w:r w:rsidRPr="000D2AE0">
          <w:rPr>
            <w:szCs w:val="28"/>
          </w:rPr>
          <w:fldChar w:fldCharType="begin"/>
        </w:r>
        <w:r w:rsidRPr="000D2AE0">
          <w:rPr>
            <w:szCs w:val="28"/>
          </w:rPr>
          <w:instrText>PAGE   \* MERGEFORMAT</w:instrText>
        </w:r>
        <w:r w:rsidRPr="000D2AE0">
          <w:rPr>
            <w:szCs w:val="28"/>
          </w:rPr>
          <w:fldChar w:fldCharType="separate"/>
        </w:r>
        <w:r w:rsidR="009825D8">
          <w:rPr>
            <w:noProof/>
            <w:szCs w:val="28"/>
          </w:rPr>
          <w:t>2</w:t>
        </w:r>
        <w:r w:rsidRPr="000D2AE0">
          <w:rPr>
            <w:szCs w:val="28"/>
          </w:rPr>
          <w:fldChar w:fldCharType="end"/>
        </w:r>
      </w:p>
    </w:sdtContent>
  </w:sdt>
  <w:p w:rsidR="00B21BEC" w:rsidRDefault="00B21B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7D97"/>
    <w:multiLevelType w:val="hybridMultilevel"/>
    <w:tmpl w:val="B4DA91EE"/>
    <w:lvl w:ilvl="0" w:tplc="3C588D8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1F"/>
    <w:rsid w:val="0004156F"/>
    <w:rsid w:val="00041827"/>
    <w:rsid w:val="000538B2"/>
    <w:rsid w:val="0005713B"/>
    <w:rsid w:val="000571AE"/>
    <w:rsid w:val="000660BE"/>
    <w:rsid w:val="0007623D"/>
    <w:rsid w:val="000857FC"/>
    <w:rsid w:val="00086399"/>
    <w:rsid w:val="00090FCB"/>
    <w:rsid w:val="000B6910"/>
    <w:rsid w:val="000C32FF"/>
    <w:rsid w:val="000D2052"/>
    <w:rsid w:val="000D2AE0"/>
    <w:rsid w:val="000D43B3"/>
    <w:rsid w:val="000F15B4"/>
    <w:rsid w:val="00103305"/>
    <w:rsid w:val="00107ECB"/>
    <w:rsid w:val="00117AD9"/>
    <w:rsid w:val="00136875"/>
    <w:rsid w:val="00147D2E"/>
    <w:rsid w:val="00152B45"/>
    <w:rsid w:val="0015693F"/>
    <w:rsid w:val="0017368B"/>
    <w:rsid w:val="00174112"/>
    <w:rsid w:val="00182969"/>
    <w:rsid w:val="001840D0"/>
    <w:rsid w:val="001B4326"/>
    <w:rsid w:val="001D1605"/>
    <w:rsid w:val="001D2CFE"/>
    <w:rsid w:val="001D4473"/>
    <w:rsid w:val="001E3C91"/>
    <w:rsid w:val="00203583"/>
    <w:rsid w:val="0022277B"/>
    <w:rsid w:val="00235581"/>
    <w:rsid w:val="00241262"/>
    <w:rsid w:val="002665D3"/>
    <w:rsid w:val="00267FEC"/>
    <w:rsid w:val="00273C6F"/>
    <w:rsid w:val="00293DD0"/>
    <w:rsid w:val="002D4D54"/>
    <w:rsid w:val="002F7FDD"/>
    <w:rsid w:val="00320DA1"/>
    <w:rsid w:val="00345500"/>
    <w:rsid w:val="00350688"/>
    <w:rsid w:val="00357322"/>
    <w:rsid w:val="00376081"/>
    <w:rsid w:val="00377543"/>
    <w:rsid w:val="003859A0"/>
    <w:rsid w:val="003917C4"/>
    <w:rsid w:val="00396A61"/>
    <w:rsid w:val="003A13EE"/>
    <w:rsid w:val="003A37AE"/>
    <w:rsid w:val="003A4187"/>
    <w:rsid w:val="003E3CB6"/>
    <w:rsid w:val="00400626"/>
    <w:rsid w:val="0040131E"/>
    <w:rsid w:val="00401929"/>
    <w:rsid w:val="00403BC6"/>
    <w:rsid w:val="00412F91"/>
    <w:rsid w:val="004271DB"/>
    <w:rsid w:val="00443C1F"/>
    <w:rsid w:val="00455F56"/>
    <w:rsid w:val="00471C65"/>
    <w:rsid w:val="00485EB2"/>
    <w:rsid w:val="004942AC"/>
    <w:rsid w:val="004A3318"/>
    <w:rsid w:val="004C7EA2"/>
    <w:rsid w:val="004E0A40"/>
    <w:rsid w:val="004E2C82"/>
    <w:rsid w:val="004F1D09"/>
    <w:rsid w:val="004F50A6"/>
    <w:rsid w:val="00510BED"/>
    <w:rsid w:val="00515977"/>
    <w:rsid w:val="005363CD"/>
    <w:rsid w:val="0054618F"/>
    <w:rsid w:val="00551846"/>
    <w:rsid w:val="005A58B3"/>
    <w:rsid w:val="005B6BC8"/>
    <w:rsid w:val="005C26DC"/>
    <w:rsid w:val="005C63BA"/>
    <w:rsid w:val="005D0515"/>
    <w:rsid w:val="005F24E5"/>
    <w:rsid w:val="00614FC1"/>
    <w:rsid w:val="0063158D"/>
    <w:rsid w:val="0063593D"/>
    <w:rsid w:val="00661E5C"/>
    <w:rsid w:val="0067018E"/>
    <w:rsid w:val="00684F83"/>
    <w:rsid w:val="006C31D2"/>
    <w:rsid w:val="006D1EB7"/>
    <w:rsid w:val="006D3C46"/>
    <w:rsid w:val="006F2C0B"/>
    <w:rsid w:val="00711001"/>
    <w:rsid w:val="00717DD0"/>
    <w:rsid w:val="00732F78"/>
    <w:rsid w:val="00774931"/>
    <w:rsid w:val="00786B9C"/>
    <w:rsid w:val="007B1BAE"/>
    <w:rsid w:val="007C17CF"/>
    <w:rsid w:val="007D227A"/>
    <w:rsid w:val="007E4629"/>
    <w:rsid w:val="007F2349"/>
    <w:rsid w:val="00805A4C"/>
    <w:rsid w:val="00807310"/>
    <w:rsid w:val="008150BD"/>
    <w:rsid w:val="00822697"/>
    <w:rsid w:val="00853567"/>
    <w:rsid w:val="00885B34"/>
    <w:rsid w:val="00887E42"/>
    <w:rsid w:val="00894A0F"/>
    <w:rsid w:val="0092390B"/>
    <w:rsid w:val="0093009C"/>
    <w:rsid w:val="00931BF8"/>
    <w:rsid w:val="00932D23"/>
    <w:rsid w:val="009330E7"/>
    <w:rsid w:val="00951C3B"/>
    <w:rsid w:val="009825D8"/>
    <w:rsid w:val="00983C04"/>
    <w:rsid w:val="009B44B4"/>
    <w:rsid w:val="009B662B"/>
    <w:rsid w:val="009D1153"/>
    <w:rsid w:val="009F1B47"/>
    <w:rsid w:val="00A07126"/>
    <w:rsid w:val="00A259AC"/>
    <w:rsid w:val="00A4536B"/>
    <w:rsid w:val="00A57A8C"/>
    <w:rsid w:val="00A624F3"/>
    <w:rsid w:val="00A65F8F"/>
    <w:rsid w:val="00A81939"/>
    <w:rsid w:val="00A85D02"/>
    <w:rsid w:val="00A923D5"/>
    <w:rsid w:val="00AA6CFD"/>
    <w:rsid w:val="00AB4823"/>
    <w:rsid w:val="00AB7D7D"/>
    <w:rsid w:val="00AC7076"/>
    <w:rsid w:val="00AE7364"/>
    <w:rsid w:val="00AF0CFD"/>
    <w:rsid w:val="00B066AC"/>
    <w:rsid w:val="00B21BEC"/>
    <w:rsid w:val="00B25A16"/>
    <w:rsid w:val="00B32FEA"/>
    <w:rsid w:val="00B528BC"/>
    <w:rsid w:val="00B53518"/>
    <w:rsid w:val="00B5381E"/>
    <w:rsid w:val="00B8022F"/>
    <w:rsid w:val="00B841D2"/>
    <w:rsid w:val="00B97FE6"/>
    <w:rsid w:val="00BA186E"/>
    <w:rsid w:val="00BD189F"/>
    <w:rsid w:val="00BF3DD8"/>
    <w:rsid w:val="00C102B1"/>
    <w:rsid w:val="00C14F1F"/>
    <w:rsid w:val="00C222DB"/>
    <w:rsid w:val="00C32D50"/>
    <w:rsid w:val="00C763BF"/>
    <w:rsid w:val="00C8390E"/>
    <w:rsid w:val="00C85035"/>
    <w:rsid w:val="00C90EAE"/>
    <w:rsid w:val="00CA20C4"/>
    <w:rsid w:val="00CB1B9B"/>
    <w:rsid w:val="00CC76E6"/>
    <w:rsid w:val="00CF1A6A"/>
    <w:rsid w:val="00D147B0"/>
    <w:rsid w:val="00D15EF9"/>
    <w:rsid w:val="00D20F2E"/>
    <w:rsid w:val="00D252E2"/>
    <w:rsid w:val="00D27BD4"/>
    <w:rsid w:val="00D42609"/>
    <w:rsid w:val="00D546CE"/>
    <w:rsid w:val="00D62138"/>
    <w:rsid w:val="00D63797"/>
    <w:rsid w:val="00D665AC"/>
    <w:rsid w:val="00D73B8F"/>
    <w:rsid w:val="00D8111A"/>
    <w:rsid w:val="00D818E9"/>
    <w:rsid w:val="00D920E1"/>
    <w:rsid w:val="00DC384A"/>
    <w:rsid w:val="00DE52CA"/>
    <w:rsid w:val="00DF014A"/>
    <w:rsid w:val="00DF56C1"/>
    <w:rsid w:val="00E0076A"/>
    <w:rsid w:val="00E043E3"/>
    <w:rsid w:val="00E24DAE"/>
    <w:rsid w:val="00E43C9E"/>
    <w:rsid w:val="00E5557B"/>
    <w:rsid w:val="00E60328"/>
    <w:rsid w:val="00E76308"/>
    <w:rsid w:val="00E77F94"/>
    <w:rsid w:val="00E81A58"/>
    <w:rsid w:val="00E83FD4"/>
    <w:rsid w:val="00E85CBF"/>
    <w:rsid w:val="00EB4F13"/>
    <w:rsid w:val="00EB5A0F"/>
    <w:rsid w:val="00EC42DB"/>
    <w:rsid w:val="00ED4770"/>
    <w:rsid w:val="00EF3C3D"/>
    <w:rsid w:val="00F05CDB"/>
    <w:rsid w:val="00F10616"/>
    <w:rsid w:val="00F47203"/>
    <w:rsid w:val="00F66F06"/>
    <w:rsid w:val="00F67AB1"/>
    <w:rsid w:val="00F7620E"/>
    <w:rsid w:val="00F87615"/>
    <w:rsid w:val="00FA6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5A571E-5E6F-48F3-81C6-8A9FE70D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2D4D54"/>
    <w:pPr>
      <w:spacing w:before="100" w:beforeAutospacing="1" w:after="100" w:afterAutospacing="1"/>
      <w:jc w:val="left"/>
      <w:outlineLvl w:val="1"/>
    </w:pPr>
    <w:rPr>
      <w:rFonts w:eastAsia="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D7D"/>
    <w:pPr>
      <w:tabs>
        <w:tab w:val="center" w:pos="4819"/>
        <w:tab w:val="right" w:pos="9639"/>
      </w:tabs>
    </w:pPr>
  </w:style>
  <w:style w:type="character" w:customStyle="1" w:styleId="a4">
    <w:name w:val="Верхній колонтитул Знак"/>
    <w:basedOn w:val="a0"/>
    <w:link w:val="a3"/>
    <w:uiPriority w:val="99"/>
    <w:rsid w:val="00AB7D7D"/>
  </w:style>
  <w:style w:type="paragraph" w:styleId="a5">
    <w:name w:val="footer"/>
    <w:basedOn w:val="a"/>
    <w:link w:val="a6"/>
    <w:uiPriority w:val="99"/>
    <w:unhideWhenUsed/>
    <w:rsid w:val="00AB7D7D"/>
    <w:pPr>
      <w:tabs>
        <w:tab w:val="center" w:pos="4819"/>
        <w:tab w:val="right" w:pos="9639"/>
      </w:tabs>
    </w:pPr>
  </w:style>
  <w:style w:type="character" w:customStyle="1" w:styleId="a6">
    <w:name w:val="Нижній колонтитул Знак"/>
    <w:basedOn w:val="a0"/>
    <w:link w:val="a5"/>
    <w:uiPriority w:val="99"/>
    <w:rsid w:val="00AB7D7D"/>
  </w:style>
  <w:style w:type="character" w:customStyle="1" w:styleId="rvts9">
    <w:name w:val="rvts9"/>
    <w:basedOn w:val="a0"/>
    <w:rsid w:val="000857FC"/>
  </w:style>
  <w:style w:type="paragraph" w:customStyle="1" w:styleId="rvps2">
    <w:name w:val="rvps2"/>
    <w:basedOn w:val="a"/>
    <w:rsid w:val="000857FC"/>
    <w:pPr>
      <w:spacing w:before="100" w:beforeAutospacing="1" w:after="100" w:afterAutospacing="1"/>
      <w:jc w:val="left"/>
    </w:pPr>
    <w:rPr>
      <w:rFonts w:eastAsia="Times New Roman" w:cs="Times New Roman"/>
      <w:sz w:val="24"/>
      <w:szCs w:val="24"/>
      <w:lang w:val="ru-RU" w:eastAsia="ru-RU"/>
    </w:rPr>
  </w:style>
  <w:style w:type="paragraph" w:styleId="a7">
    <w:name w:val="Balloon Text"/>
    <w:basedOn w:val="a"/>
    <w:link w:val="a8"/>
    <w:uiPriority w:val="99"/>
    <w:semiHidden/>
    <w:unhideWhenUsed/>
    <w:rsid w:val="000D2052"/>
    <w:rPr>
      <w:rFonts w:ascii="Tahoma" w:hAnsi="Tahoma" w:cs="Tahoma"/>
      <w:sz w:val="16"/>
      <w:szCs w:val="16"/>
    </w:rPr>
  </w:style>
  <w:style w:type="character" w:customStyle="1" w:styleId="a8">
    <w:name w:val="Текст у виносці Знак"/>
    <w:basedOn w:val="a0"/>
    <w:link w:val="a7"/>
    <w:uiPriority w:val="99"/>
    <w:semiHidden/>
    <w:rsid w:val="000D2052"/>
    <w:rPr>
      <w:rFonts w:ascii="Tahoma" w:hAnsi="Tahoma" w:cs="Tahoma"/>
      <w:sz w:val="16"/>
      <w:szCs w:val="16"/>
    </w:rPr>
  </w:style>
  <w:style w:type="paragraph" w:styleId="a9">
    <w:name w:val="List Paragraph"/>
    <w:basedOn w:val="a"/>
    <w:uiPriority w:val="34"/>
    <w:qFormat/>
    <w:rsid w:val="007E4629"/>
    <w:pPr>
      <w:spacing w:after="160" w:line="259" w:lineRule="auto"/>
      <w:ind w:left="720"/>
      <w:contextualSpacing/>
      <w:jc w:val="left"/>
    </w:pPr>
    <w:rPr>
      <w:rFonts w:asciiTheme="minorHAnsi" w:hAnsiTheme="minorHAnsi"/>
      <w:sz w:val="22"/>
    </w:rPr>
  </w:style>
  <w:style w:type="character" w:customStyle="1" w:styleId="20">
    <w:name w:val="Заголовок 2 Знак"/>
    <w:basedOn w:val="a0"/>
    <w:link w:val="2"/>
    <w:rsid w:val="002D4D54"/>
    <w:rPr>
      <w:rFonts w:eastAsia="Times New Roman" w:cs="Times New Roman"/>
      <w:b/>
      <w:bCs/>
      <w:sz w:val="36"/>
      <w:szCs w:val="3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E313-0E93-41DC-9C3C-915CC386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3373</Words>
  <Characters>1923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2025-07-17T09:38:00Z</cp:lastPrinted>
  <dcterms:created xsi:type="dcterms:W3CDTF">2026-06-26T05:45:00Z</dcterms:created>
  <dcterms:modified xsi:type="dcterms:W3CDTF">2026-06-26T05:45:00Z</dcterms:modified>
</cp:coreProperties>
</file>